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377E7" w14:textId="15BD3319" w:rsidR="00C96BED" w:rsidRPr="007F430A" w:rsidRDefault="00C6608B" w:rsidP="00627E14">
      <w:pPr>
        <w:pStyle w:val="MainTitle"/>
        <w:rPr>
          <w:rFonts w:ascii="Franklin Gothic Book" w:hAnsi="Franklin Gothic Book"/>
          <w:sz w:val="22"/>
          <w:szCs w:val="22"/>
        </w:rPr>
      </w:pPr>
      <w:r w:rsidRPr="007F430A">
        <w:rPr>
          <w:rFonts w:ascii="Franklin Gothic Book" w:hAnsi="Franklin Gothic Book"/>
          <w:sz w:val="22"/>
          <w:szCs w:val="22"/>
        </w:rPr>
        <w:t>[</w:t>
      </w:r>
      <w:r w:rsidR="003637D2" w:rsidRPr="007F430A">
        <w:rPr>
          <w:rFonts w:ascii="Franklin Gothic Book" w:hAnsi="Franklin Gothic Book"/>
          <w:sz w:val="22"/>
          <w:szCs w:val="22"/>
        </w:rPr>
        <w:t>Trinidad and Tobago</w:t>
      </w:r>
      <w:r w:rsidRPr="007F430A">
        <w:rPr>
          <w:rFonts w:ascii="Franklin Gothic Book" w:hAnsi="Franklin Gothic Book"/>
          <w:sz w:val="22"/>
          <w:szCs w:val="22"/>
        </w:rPr>
        <w:t xml:space="preserve">, </w:t>
      </w:r>
      <w:r w:rsidR="003637D2" w:rsidRPr="007F430A">
        <w:rPr>
          <w:rFonts w:ascii="Franklin Gothic Book" w:hAnsi="Franklin Gothic Book"/>
          <w:sz w:val="22"/>
          <w:szCs w:val="22"/>
        </w:rPr>
        <w:t>2022</w:t>
      </w:r>
      <w:r w:rsidRPr="007F430A">
        <w:rPr>
          <w:rFonts w:ascii="Franklin Gothic Book" w:hAnsi="Franklin Gothic Book"/>
          <w:sz w:val="22"/>
          <w:szCs w:val="22"/>
        </w:rPr>
        <w:t>]</w:t>
      </w:r>
    </w:p>
    <w:p w14:paraId="06DA6930" w14:textId="388D23FF" w:rsidR="00C6608B" w:rsidRPr="007F430A" w:rsidRDefault="00C6608B" w:rsidP="00C6608B">
      <w:pPr>
        <w:pStyle w:val="TOCHeading"/>
        <w:rPr>
          <w:rFonts w:ascii="Franklin Gothic Book" w:eastAsia="MS Gothic" w:hAnsi="Franklin Gothic Book" w:cs="Times New Roman"/>
          <w:color w:val="1A4066"/>
          <w:sz w:val="22"/>
          <w:szCs w:val="22"/>
        </w:rPr>
      </w:pPr>
      <w:r w:rsidRPr="007F430A">
        <w:rPr>
          <w:rFonts w:ascii="Franklin Gothic Book" w:eastAsia="MS Gothic" w:hAnsi="Franklin Gothic Book" w:cs="Times New Roman"/>
          <w:color w:val="1A4066"/>
          <w:sz w:val="22"/>
          <w:szCs w:val="22"/>
        </w:rPr>
        <w:t>MSG review of the outcomes and impact of the EITI</w:t>
      </w:r>
    </w:p>
    <w:sdt>
      <w:sdtPr>
        <w:rPr>
          <w:rFonts w:ascii="Franklin Gothic Book" w:eastAsiaTheme="minorHAnsi" w:hAnsi="Franklin Gothic Book" w:cstheme="minorBidi"/>
          <w:color w:val="auto"/>
          <w:sz w:val="22"/>
          <w:szCs w:val="22"/>
          <w:lang w:val="en-GB"/>
        </w:rPr>
        <w:id w:val="-552155441"/>
        <w:docPartObj>
          <w:docPartGallery w:val="Table of Contents"/>
          <w:docPartUnique/>
        </w:docPartObj>
      </w:sdtPr>
      <w:sdtEndPr>
        <w:rPr>
          <w:rFonts w:eastAsia="Cambria" w:cs="Arial"/>
          <w:b/>
          <w:bCs/>
          <w:lang w:val="en-US"/>
        </w:rPr>
      </w:sdtEndPr>
      <w:sdtContent>
        <w:p w14:paraId="257294E8" w14:textId="7E7C6FD0" w:rsidR="00C6608B" w:rsidRPr="007F430A" w:rsidRDefault="00C6608B" w:rsidP="00C6608B">
          <w:pPr>
            <w:pStyle w:val="TOCHeading"/>
            <w:rPr>
              <w:rFonts w:ascii="Franklin Gothic Book" w:hAnsi="Franklin Gothic Book"/>
              <w:sz w:val="22"/>
              <w:szCs w:val="22"/>
              <w:lang w:val="en-GB"/>
            </w:rPr>
          </w:pPr>
          <w:r w:rsidRPr="007F430A">
            <w:rPr>
              <w:rFonts w:ascii="Franklin Gothic Book" w:hAnsi="Franklin Gothic Book"/>
              <w:sz w:val="22"/>
              <w:szCs w:val="22"/>
              <w:lang w:val="en-GB"/>
            </w:rPr>
            <w:t>Contents</w:t>
          </w:r>
        </w:p>
        <w:p w14:paraId="72B59A72" w14:textId="6CE86878" w:rsidR="00C6608B" w:rsidRPr="007F430A" w:rsidRDefault="00C6608B">
          <w:pPr>
            <w:pStyle w:val="TOC1"/>
            <w:tabs>
              <w:tab w:val="right" w:leader="dot" w:pos="9062"/>
            </w:tabs>
            <w:rPr>
              <w:rFonts w:eastAsiaTheme="minorEastAsia"/>
              <w:noProof/>
              <w:lang w:eastAsia="en-GB"/>
            </w:rPr>
          </w:pPr>
          <w:r w:rsidRPr="007F430A">
            <w:fldChar w:fldCharType="begin"/>
          </w:r>
          <w:r w:rsidRPr="007F430A">
            <w:instrText xml:space="preserve"> TOC \o "1-3" \h \z \u </w:instrText>
          </w:r>
          <w:r w:rsidRPr="007F430A">
            <w:fldChar w:fldCharType="separate"/>
          </w:r>
          <w:hyperlink w:anchor="_Toc57973524" w:history="1">
            <w:r w:rsidRPr="007F430A">
              <w:rPr>
                <w:rStyle w:val="Hyperlink"/>
                <w:noProof/>
              </w:rPr>
              <w:t>Introduction</w:t>
            </w:r>
            <w:r w:rsidRPr="007F430A">
              <w:rPr>
                <w:noProof/>
                <w:webHidden/>
              </w:rPr>
              <w:tab/>
            </w:r>
            <w:r w:rsidRPr="007F430A">
              <w:rPr>
                <w:noProof/>
                <w:webHidden/>
              </w:rPr>
              <w:fldChar w:fldCharType="begin"/>
            </w:r>
            <w:r w:rsidRPr="007F430A">
              <w:rPr>
                <w:noProof/>
                <w:webHidden/>
              </w:rPr>
              <w:instrText xml:space="preserve"> PAGEREF _Toc57973524 \h </w:instrText>
            </w:r>
            <w:r w:rsidRPr="007F430A">
              <w:rPr>
                <w:noProof/>
                <w:webHidden/>
              </w:rPr>
            </w:r>
            <w:r w:rsidRPr="007F430A">
              <w:rPr>
                <w:noProof/>
                <w:webHidden/>
              </w:rPr>
              <w:fldChar w:fldCharType="separate"/>
            </w:r>
            <w:r w:rsidRPr="007F430A">
              <w:rPr>
                <w:noProof/>
                <w:webHidden/>
              </w:rPr>
              <w:t>1</w:t>
            </w:r>
            <w:r w:rsidRPr="007F430A">
              <w:rPr>
                <w:noProof/>
                <w:webHidden/>
              </w:rPr>
              <w:fldChar w:fldCharType="end"/>
            </w:r>
          </w:hyperlink>
        </w:p>
        <w:p w14:paraId="3BF309CA" w14:textId="3708D87D" w:rsidR="00C6608B" w:rsidRPr="007F430A" w:rsidRDefault="002F5457">
          <w:pPr>
            <w:pStyle w:val="TOC1"/>
            <w:tabs>
              <w:tab w:val="right" w:leader="dot" w:pos="9062"/>
            </w:tabs>
            <w:rPr>
              <w:rFonts w:eastAsiaTheme="minorEastAsia"/>
              <w:noProof/>
              <w:lang w:eastAsia="en-GB"/>
            </w:rPr>
          </w:pPr>
          <w:hyperlink w:anchor="_Toc57973525" w:history="1">
            <w:r w:rsidR="00C6608B" w:rsidRPr="007F430A">
              <w:rPr>
                <w:rStyle w:val="Hyperlink"/>
                <w:noProof/>
              </w:rPr>
              <w:t>Part I: Relevance of EITI implementation</w:t>
            </w:r>
            <w:r w:rsidR="00C6608B" w:rsidRPr="007F430A">
              <w:rPr>
                <w:noProof/>
                <w:webHidden/>
              </w:rPr>
              <w:tab/>
            </w:r>
            <w:r w:rsidR="00C6608B" w:rsidRPr="007F430A">
              <w:rPr>
                <w:noProof/>
                <w:webHidden/>
              </w:rPr>
              <w:fldChar w:fldCharType="begin"/>
            </w:r>
            <w:r w:rsidR="00C6608B" w:rsidRPr="007F430A">
              <w:rPr>
                <w:noProof/>
                <w:webHidden/>
              </w:rPr>
              <w:instrText xml:space="preserve"> PAGEREF _Toc57973525 \h </w:instrText>
            </w:r>
            <w:r w:rsidR="00C6608B" w:rsidRPr="007F430A">
              <w:rPr>
                <w:noProof/>
                <w:webHidden/>
              </w:rPr>
            </w:r>
            <w:r w:rsidR="00C6608B" w:rsidRPr="007F430A">
              <w:rPr>
                <w:noProof/>
                <w:webHidden/>
              </w:rPr>
              <w:fldChar w:fldCharType="separate"/>
            </w:r>
            <w:r w:rsidR="00C6608B" w:rsidRPr="007F430A">
              <w:rPr>
                <w:noProof/>
                <w:webHidden/>
              </w:rPr>
              <w:t>2</w:t>
            </w:r>
            <w:r w:rsidR="00C6608B" w:rsidRPr="007F430A">
              <w:rPr>
                <w:noProof/>
                <w:webHidden/>
              </w:rPr>
              <w:fldChar w:fldCharType="end"/>
            </w:r>
          </w:hyperlink>
        </w:p>
        <w:p w14:paraId="75CB6651" w14:textId="490FEF69" w:rsidR="00C6608B" w:rsidRPr="007F430A" w:rsidRDefault="002F5457">
          <w:pPr>
            <w:pStyle w:val="TOC2"/>
            <w:tabs>
              <w:tab w:val="right" w:leader="dot" w:pos="9062"/>
            </w:tabs>
            <w:rPr>
              <w:rFonts w:eastAsiaTheme="minorEastAsia"/>
              <w:noProof/>
              <w:lang w:eastAsia="en-GB"/>
            </w:rPr>
          </w:pPr>
          <w:hyperlink w:anchor="_Toc57973526" w:history="1">
            <w:r w:rsidR="00C6608B" w:rsidRPr="007F430A">
              <w:rPr>
                <w:rStyle w:val="Hyperlink"/>
                <w:noProof/>
              </w:rPr>
              <w:t>Work plan (Requirement 1.5)</w:t>
            </w:r>
            <w:r w:rsidR="00C6608B" w:rsidRPr="007F430A">
              <w:rPr>
                <w:noProof/>
                <w:webHidden/>
              </w:rPr>
              <w:tab/>
            </w:r>
            <w:r w:rsidR="00C6608B" w:rsidRPr="007F430A">
              <w:rPr>
                <w:noProof/>
                <w:webHidden/>
              </w:rPr>
              <w:fldChar w:fldCharType="begin"/>
            </w:r>
            <w:r w:rsidR="00C6608B" w:rsidRPr="007F430A">
              <w:rPr>
                <w:noProof/>
                <w:webHidden/>
              </w:rPr>
              <w:instrText xml:space="preserve"> PAGEREF _Toc57973526 \h </w:instrText>
            </w:r>
            <w:r w:rsidR="00C6608B" w:rsidRPr="007F430A">
              <w:rPr>
                <w:noProof/>
                <w:webHidden/>
              </w:rPr>
            </w:r>
            <w:r w:rsidR="00C6608B" w:rsidRPr="007F430A">
              <w:rPr>
                <w:noProof/>
                <w:webHidden/>
              </w:rPr>
              <w:fldChar w:fldCharType="separate"/>
            </w:r>
            <w:r w:rsidR="00C6608B" w:rsidRPr="007F430A">
              <w:rPr>
                <w:noProof/>
                <w:webHidden/>
              </w:rPr>
              <w:t>2</w:t>
            </w:r>
            <w:r w:rsidR="00C6608B" w:rsidRPr="007F430A">
              <w:rPr>
                <w:noProof/>
                <w:webHidden/>
              </w:rPr>
              <w:fldChar w:fldCharType="end"/>
            </w:r>
          </w:hyperlink>
        </w:p>
        <w:p w14:paraId="17212CC3" w14:textId="39C24C43" w:rsidR="00C6608B" w:rsidRPr="007F430A" w:rsidRDefault="002F5457">
          <w:pPr>
            <w:pStyle w:val="TOC2"/>
            <w:tabs>
              <w:tab w:val="right" w:leader="dot" w:pos="9062"/>
            </w:tabs>
            <w:rPr>
              <w:rFonts w:eastAsiaTheme="minorEastAsia"/>
              <w:noProof/>
              <w:lang w:eastAsia="en-GB"/>
            </w:rPr>
          </w:pPr>
          <w:hyperlink w:anchor="_Toc57973527" w:history="1">
            <w:r w:rsidR="00C6608B" w:rsidRPr="007F430A">
              <w:rPr>
                <w:rStyle w:val="Hyperlink"/>
                <w:noProof/>
              </w:rPr>
              <w:t>Monitoring progress</w:t>
            </w:r>
            <w:r w:rsidR="00C6608B" w:rsidRPr="007F430A">
              <w:rPr>
                <w:noProof/>
                <w:webHidden/>
              </w:rPr>
              <w:tab/>
            </w:r>
            <w:r w:rsidR="00C6608B" w:rsidRPr="007F430A">
              <w:rPr>
                <w:noProof/>
                <w:webHidden/>
              </w:rPr>
              <w:fldChar w:fldCharType="begin"/>
            </w:r>
            <w:r w:rsidR="00C6608B" w:rsidRPr="007F430A">
              <w:rPr>
                <w:noProof/>
                <w:webHidden/>
              </w:rPr>
              <w:instrText xml:space="preserve"> PAGEREF _Toc57973527 \h </w:instrText>
            </w:r>
            <w:r w:rsidR="00C6608B" w:rsidRPr="007F430A">
              <w:rPr>
                <w:noProof/>
                <w:webHidden/>
              </w:rPr>
            </w:r>
            <w:r w:rsidR="00C6608B" w:rsidRPr="007F430A">
              <w:rPr>
                <w:noProof/>
                <w:webHidden/>
              </w:rPr>
              <w:fldChar w:fldCharType="separate"/>
            </w:r>
            <w:r w:rsidR="00C6608B" w:rsidRPr="007F430A">
              <w:rPr>
                <w:noProof/>
                <w:webHidden/>
              </w:rPr>
              <w:t>3</w:t>
            </w:r>
            <w:r w:rsidR="00C6608B" w:rsidRPr="007F430A">
              <w:rPr>
                <w:noProof/>
                <w:webHidden/>
              </w:rPr>
              <w:fldChar w:fldCharType="end"/>
            </w:r>
          </w:hyperlink>
        </w:p>
        <w:p w14:paraId="6EBEE7B7" w14:textId="4315F85F" w:rsidR="00C6608B" w:rsidRPr="007F430A" w:rsidRDefault="002F5457">
          <w:pPr>
            <w:pStyle w:val="TOC2"/>
            <w:tabs>
              <w:tab w:val="right" w:leader="dot" w:pos="9062"/>
            </w:tabs>
            <w:rPr>
              <w:rFonts w:eastAsiaTheme="minorEastAsia"/>
              <w:noProof/>
              <w:lang w:eastAsia="en-GB"/>
            </w:rPr>
          </w:pPr>
          <w:hyperlink w:anchor="_Toc57973528" w:history="1">
            <w:r w:rsidR="00C6608B" w:rsidRPr="007F430A">
              <w:rPr>
                <w:rStyle w:val="Hyperlink"/>
                <w:noProof/>
              </w:rPr>
              <w:t>Innovations and impact</w:t>
            </w:r>
            <w:r w:rsidR="00C6608B" w:rsidRPr="007F430A">
              <w:rPr>
                <w:noProof/>
                <w:webHidden/>
              </w:rPr>
              <w:tab/>
            </w:r>
            <w:r w:rsidR="00C6608B" w:rsidRPr="007F430A">
              <w:rPr>
                <w:noProof/>
                <w:webHidden/>
              </w:rPr>
              <w:fldChar w:fldCharType="begin"/>
            </w:r>
            <w:r w:rsidR="00C6608B" w:rsidRPr="007F430A">
              <w:rPr>
                <w:noProof/>
                <w:webHidden/>
              </w:rPr>
              <w:instrText xml:space="preserve"> PAGEREF _Toc57973528 \h </w:instrText>
            </w:r>
            <w:r w:rsidR="00C6608B" w:rsidRPr="007F430A">
              <w:rPr>
                <w:noProof/>
                <w:webHidden/>
              </w:rPr>
            </w:r>
            <w:r w:rsidR="00C6608B" w:rsidRPr="007F430A">
              <w:rPr>
                <w:noProof/>
                <w:webHidden/>
              </w:rPr>
              <w:fldChar w:fldCharType="separate"/>
            </w:r>
            <w:r w:rsidR="00C6608B" w:rsidRPr="007F430A">
              <w:rPr>
                <w:noProof/>
                <w:webHidden/>
              </w:rPr>
              <w:t>4</w:t>
            </w:r>
            <w:r w:rsidR="00C6608B" w:rsidRPr="007F430A">
              <w:rPr>
                <w:noProof/>
                <w:webHidden/>
              </w:rPr>
              <w:fldChar w:fldCharType="end"/>
            </w:r>
          </w:hyperlink>
        </w:p>
        <w:p w14:paraId="2CCC3E22" w14:textId="01F9CD9A" w:rsidR="00C6608B" w:rsidRPr="007F430A" w:rsidRDefault="002F5457">
          <w:pPr>
            <w:pStyle w:val="TOC1"/>
            <w:tabs>
              <w:tab w:val="right" w:leader="dot" w:pos="9062"/>
            </w:tabs>
            <w:rPr>
              <w:rFonts w:eastAsiaTheme="minorEastAsia"/>
              <w:noProof/>
              <w:lang w:eastAsia="en-GB"/>
            </w:rPr>
          </w:pPr>
          <w:hyperlink w:anchor="_Toc57973529" w:history="1">
            <w:r w:rsidR="00C6608B" w:rsidRPr="007F430A">
              <w:rPr>
                <w:rStyle w:val="Hyperlink"/>
                <w:noProof/>
              </w:rPr>
              <w:t>Part II: Public debate</w:t>
            </w:r>
            <w:r w:rsidR="00C6608B" w:rsidRPr="007F430A">
              <w:rPr>
                <w:noProof/>
                <w:webHidden/>
              </w:rPr>
              <w:tab/>
            </w:r>
            <w:r w:rsidR="00C6608B" w:rsidRPr="007F430A">
              <w:rPr>
                <w:noProof/>
                <w:webHidden/>
              </w:rPr>
              <w:fldChar w:fldCharType="begin"/>
            </w:r>
            <w:r w:rsidR="00C6608B" w:rsidRPr="007F430A">
              <w:rPr>
                <w:noProof/>
                <w:webHidden/>
              </w:rPr>
              <w:instrText xml:space="preserve"> PAGEREF _Toc57973529 \h </w:instrText>
            </w:r>
            <w:r w:rsidR="00C6608B" w:rsidRPr="007F430A">
              <w:rPr>
                <w:noProof/>
                <w:webHidden/>
              </w:rPr>
            </w:r>
            <w:r w:rsidR="00C6608B" w:rsidRPr="007F430A">
              <w:rPr>
                <w:noProof/>
                <w:webHidden/>
              </w:rPr>
              <w:fldChar w:fldCharType="separate"/>
            </w:r>
            <w:r w:rsidR="00C6608B" w:rsidRPr="007F430A">
              <w:rPr>
                <w:noProof/>
                <w:webHidden/>
              </w:rPr>
              <w:t>6</w:t>
            </w:r>
            <w:r w:rsidR="00C6608B" w:rsidRPr="007F430A">
              <w:rPr>
                <w:noProof/>
                <w:webHidden/>
              </w:rPr>
              <w:fldChar w:fldCharType="end"/>
            </w:r>
          </w:hyperlink>
        </w:p>
        <w:p w14:paraId="3278727F" w14:textId="60B5B3CA" w:rsidR="00C6608B" w:rsidRPr="007F430A" w:rsidRDefault="002F5457">
          <w:pPr>
            <w:pStyle w:val="TOC2"/>
            <w:tabs>
              <w:tab w:val="right" w:leader="dot" w:pos="9062"/>
            </w:tabs>
            <w:rPr>
              <w:rFonts w:eastAsiaTheme="minorEastAsia"/>
              <w:noProof/>
              <w:lang w:eastAsia="en-GB"/>
            </w:rPr>
          </w:pPr>
          <w:hyperlink w:anchor="_Toc57973530" w:history="1">
            <w:r w:rsidR="00C6608B" w:rsidRPr="007F430A">
              <w:rPr>
                <w:rStyle w:val="Hyperlink"/>
                <w:noProof/>
              </w:rPr>
              <w:t>Open data (Requirement 7.2)</w:t>
            </w:r>
            <w:r w:rsidR="00C6608B" w:rsidRPr="007F430A">
              <w:rPr>
                <w:noProof/>
                <w:webHidden/>
              </w:rPr>
              <w:tab/>
            </w:r>
            <w:r w:rsidR="00C6608B" w:rsidRPr="007F430A">
              <w:rPr>
                <w:noProof/>
                <w:webHidden/>
              </w:rPr>
              <w:fldChar w:fldCharType="begin"/>
            </w:r>
            <w:r w:rsidR="00C6608B" w:rsidRPr="007F430A">
              <w:rPr>
                <w:noProof/>
                <w:webHidden/>
              </w:rPr>
              <w:instrText xml:space="preserve"> PAGEREF _Toc57973530 \h </w:instrText>
            </w:r>
            <w:r w:rsidR="00C6608B" w:rsidRPr="007F430A">
              <w:rPr>
                <w:noProof/>
                <w:webHidden/>
              </w:rPr>
            </w:r>
            <w:r w:rsidR="00C6608B" w:rsidRPr="007F430A">
              <w:rPr>
                <w:noProof/>
                <w:webHidden/>
              </w:rPr>
              <w:fldChar w:fldCharType="separate"/>
            </w:r>
            <w:r w:rsidR="00C6608B" w:rsidRPr="007F430A">
              <w:rPr>
                <w:noProof/>
                <w:webHidden/>
              </w:rPr>
              <w:t>6</w:t>
            </w:r>
            <w:r w:rsidR="00C6608B" w:rsidRPr="007F430A">
              <w:rPr>
                <w:noProof/>
                <w:webHidden/>
              </w:rPr>
              <w:fldChar w:fldCharType="end"/>
            </w:r>
          </w:hyperlink>
        </w:p>
        <w:p w14:paraId="51CD4B4D" w14:textId="478D32E7" w:rsidR="00C6608B" w:rsidRPr="007F430A" w:rsidRDefault="002F5457">
          <w:pPr>
            <w:pStyle w:val="TOC2"/>
            <w:tabs>
              <w:tab w:val="right" w:leader="dot" w:pos="9062"/>
            </w:tabs>
            <w:rPr>
              <w:rFonts w:eastAsiaTheme="minorEastAsia"/>
              <w:noProof/>
              <w:lang w:eastAsia="en-GB"/>
            </w:rPr>
          </w:pPr>
          <w:hyperlink w:anchor="_Toc57973531" w:history="1">
            <w:r w:rsidR="00C6608B" w:rsidRPr="007F430A">
              <w:rPr>
                <w:rStyle w:val="Hyperlink"/>
                <w:noProof/>
              </w:rPr>
              <w:t>Outreach and communications (Requirement 7.1)</w:t>
            </w:r>
            <w:r w:rsidR="00C6608B" w:rsidRPr="007F430A">
              <w:rPr>
                <w:noProof/>
                <w:webHidden/>
              </w:rPr>
              <w:tab/>
            </w:r>
            <w:r w:rsidR="00C6608B" w:rsidRPr="007F430A">
              <w:rPr>
                <w:noProof/>
                <w:webHidden/>
              </w:rPr>
              <w:fldChar w:fldCharType="begin"/>
            </w:r>
            <w:r w:rsidR="00C6608B" w:rsidRPr="007F430A">
              <w:rPr>
                <w:noProof/>
                <w:webHidden/>
              </w:rPr>
              <w:instrText xml:space="preserve"> PAGEREF _Toc57973531 \h </w:instrText>
            </w:r>
            <w:r w:rsidR="00C6608B" w:rsidRPr="007F430A">
              <w:rPr>
                <w:noProof/>
                <w:webHidden/>
              </w:rPr>
            </w:r>
            <w:r w:rsidR="00C6608B" w:rsidRPr="007F430A">
              <w:rPr>
                <w:noProof/>
                <w:webHidden/>
              </w:rPr>
              <w:fldChar w:fldCharType="separate"/>
            </w:r>
            <w:r w:rsidR="00C6608B" w:rsidRPr="007F430A">
              <w:rPr>
                <w:noProof/>
                <w:webHidden/>
              </w:rPr>
              <w:t>6</w:t>
            </w:r>
            <w:r w:rsidR="00C6608B" w:rsidRPr="007F430A">
              <w:rPr>
                <w:noProof/>
                <w:webHidden/>
              </w:rPr>
              <w:fldChar w:fldCharType="end"/>
            </w:r>
          </w:hyperlink>
        </w:p>
        <w:p w14:paraId="4BCEA8A8" w14:textId="2D2B2274" w:rsidR="00C6608B" w:rsidRPr="007F430A" w:rsidRDefault="002F5457">
          <w:pPr>
            <w:pStyle w:val="TOC1"/>
            <w:tabs>
              <w:tab w:val="right" w:leader="dot" w:pos="9062"/>
            </w:tabs>
            <w:rPr>
              <w:rFonts w:eastAsiaTheme="minorEastAsia"/>
              <w:noProof/>
              <w:lang w:eastAsia="en-GB"/>
            </w:rPr>
          </w:pPr>
          <w:hyperlink w:anchor="_Toc57973532" w:history="1">
            <w:r w:rsidR="00C6608B" w:rsidRPr="007F430A">
              <w:rPr>
                <w:rStyle w:val="Hyperlink"/>
                <w:noProof/>
              </w:rPr>
              <w:t>Part III: Sustainability and effectiveness</w:t>
            </w:r>
            <w:r w:rsidR="00C6608B" w:rsidRPr="007F430A">
              <w:rPr>
                <w:noProof/>
                <w:webHidden/>
              </w:rPr>
              <w:tab/>
            </w:r>
            <w:r w:rsidR="00C6608B" w:rsidRPr="007F430A">
              <w:rPr>
                <w:noProof/>
                <w:webHidden/>
              </w:rPr>
              <w:fldChar w:fldCharType="begin"/>
            </w:r>
            <w:r w:rsidR="00C6608B" w:rsidRPr="007F430A">
              <w:rPr>
                <w:noProof/>
                <w:webHidden/>
              </w:rPr>
              <w:instrText xml:space="preserve"> PAGEREF _Toc57973532 \h </w:instrText>
            </w:r>
            <w:r w:rsidR="00C6608B" w:rsidRPr="007F430A">
              <w:rPr>
                <w:noProof/>
                <w:webHidden/>
              </w:rPr>
            </w:r>
            <w:r w:rsidR="00C6608B" w:rsidRPr="007F430A">
              <w:rPr>
                <w:noProof/>
                <w:webHidden/>
              </w:rPr>
              <w:fldChar w:fldCharType="separate"/>
            </w:r>
            <w:r w:rsidR="00C6608B" w:rsidRPr="007F430A">
              <w:rPr>
                <w:noProof/>
                <w:webHidden/>
              </w:rPr>
              <w:t>9</w:t>
            </w:r>
            <w:r w:rsidR="00C6608B" w:rsidRPr="007F430A">
              <w:rPr>
                <w:noProof/>
                <w:webHidden/>
              </w:rPr>
              <w:fldChar w:fldCharType="end"/>
            </w:r>
          </w:hyperlink>
        </w:p>
        <w:p w14:paraId="52290D25" w14:textId="29980B17" w:rsidR="00C6608B" w:rsidRPr="007F430A" w:rsidRDefault="002F5457">
          <w:pPr>
            <w:pStyle w:val="TOC1"/>
            <w:tabs>
              <w:tab w:val="right" w:leader="dot" w:pos="9062"/>
            </w:tabs>
            <w:rPr>
              <w:rFonts w:eastAsiaTheme="minorEastAsia"/>
              <w:noProof/>
              <w:lang w:eastAsia="en-GB"/>
            </w:rPr>
          </w:pPr>
          <w:hyperlink w:anchor="_Toc57973533" w:history="1">
            <w:r w:rsidR="00C6608B" w:rsidRPr="007F430A">
              <w:rPr>
                <w:rStyle w:val="Hyperlink"/>
                <w:noProof/>
              </w:rPr>
              <w:t>Part IV: Stakeholder feedback and MSG approval</w:t>
            </w:r>
            <w:r w:rsidR="00C6608B" w:rsidRPr="007F430A">
              <w:rPr>
                <w:noProof/>
                <w:webHidden/>
              </w:rPr>
              <w:tab/>
            </w:r>
            <w:r w:rsidR="00C6608B" w:rsidRPr="007F430A">
              <w:rPr>
                <w:noProof/>
                <w:webHidden/>
              </w:rPr>
              <w:fldChar w:fldCharType="begin"/>
            </w:r>
            <w:r w:rsidR="00C6608B" w:rsidRPr="007F430A">
              <w:rPr>
                <w:noProof/>
                <w:webHidden/>
              </w:rPr>
              <w:instrText xml:space="preserve"> PAGEREF _Toc57973533 \h </w:instrText>
            </w:r>
            <w:r w:rsidR="00C6608B" w:rsidRPr="007F430A">
              <w:rPr>
                <w:noProof/>
                <w:webHidden/>
              </w:rPr>
            </w:r>
            <w:r w:rsidR="00C6608B" w:rsidRPr="007F430A">
              <w:rPr>
                <w:noProof/>
                <w:webHidden/>
              </w:rPr>
              <w:fldChar w:fldCharType="separate"/>
            </w:r>
            <w:r w:rsidR="00C6608B" w:rsidRPr="007F430A">
              <w:rPr>
                <w:noProof/>
                <w:webHidden/>
              </w:rPr>
              <w:t>10</w:t>
            </w:r>
            <w:r w:rsidR="00C6608B" w:rsidRPr="007F430A">
              <w:rPr>
                <w:noProof/>
                <w:webHidden/>
              </w:rPr>
              <w:fldChar w:fldCharType="end"/>
            </w:r>
          </w:hyperlink>
        </w:p>
        <w:p w14:paraId="10813CF5" w14:textId="0BEA35A9" w:rsidR="00C6608B" w:rsidRPr="0022643A" w:rsidRDefault="00C6608B" w:rsidP="00C6608B">
          <w:pPr>
            <w:rPr>
              <w:szCs w:val="22"/>
            </w:rPr>
          </w:pPr>
          <w:r w:rsidRPr="007F430A">
            <w:rPr>
              <w:b/>
              <w:bCs/>
              <w:szCs w:val="22"/>
            </w:rPr>
            <w:fldChar w:fldCharType="end"/>
          </w:r>
        </w:p>
      </w:sdtContent>
    </w:sdt>
    <w:p w14:paraId="33222696" w14:textId="77777777" w:rsidR="00C6608B" w:rsidRPr="007F430A" w:rsidRDefault="00C6608B" w:rsidP="00C6608B">
      <w:pPr>
        <w:rPr>
          <w:b/>
          <w:bCs/>
          <w:szCs w:val="22"/>
        </w:rPr>
      </w:pPr>
    </w:p>
    <w:p w14:paraId="402F1704" w14:textId="77777777" w:rsidR="00C6608B" w:rsidRPr="007F430A" w:rsidRDefault="00C6608B" w:rsidP="00C6608B">
      <w:pPr>
        <w:pStyle w:val="Heading1"/>
        <w:rPr>
          <w:rFonts w:ascii="Franklin Gothic Book" w:hAnsi="Franklin Gothic Book"/>
          <w:sz w:val="22"/>
          <w:szCs w:val="22"/>
        </w:rPr>
      </w:pPr>
      <w:bookmarkStart w:id="0" w:name="_Toc57973524"/>
      <w:r w:rsidRPr="007F430A">
        <w:rPr>
          <w:rFonts w:ascii="Franklin Gothic Book" w:hAnsi="Franklin Gothic Book"/>
          <w:sz w:val="22"/>
          <w:szCs w:val="22"/>
        </w:rPr>
        <w:t>Introduction</w:t>
      </w:r>
      <w:bookmarkEnd w:id="0"/>
    </w:p>
    <w:p w14:paraId="6992DC14" w14:textId="77777777" w:rsidR="00C6608B" w:rsidRPr="007F430A" w:rsidRDefault="00C6608B" w:rsidP="00C6608B">
      <w:pPr>
        <w:rPr>
          <w:szCs w:val="22"/>
        </w:rPr>
      </w:pPr>
      <w:r w:rsidRPr="0022643A">
        <w:rPr>
          <w:szCs w:val="22"/>
        </w:rPr>
        <w:t>Regular disclosure of extractive industry data is of little practical use without public awareness, understanding of what the figures mean, and public debate about how resource revenues can be used effective</w:t>
      </w:r>
      <w:r w:rsidRPr="007F430A">
        <w:rPr>
          <w:szCs w:val="22"/>
        </w:rPr>
        <w:t>ly. The EITI Requirements related to outcomes and impact seek to ensure that stakeholders are engaged in dialogue about natural resource revenue management. EITI disclosures lead to the fulfilment of the EITI Principles by contributing to wider public debate. It is also vital that lessons learnt during implementation are acted upon, that recommendations from EITI implementations are considered and acted on where appropriate and that EITI implementation is on a stable, sustainable footing.</w:t>
      </w:r>
    </w:p>
    <w:p w14:paraId="4211CD1F" w14:textId="77777777" w:rsidR="00C6608B" w:rsidRPr="007F430A" w:rsidRDefault="00C6608B" w:rsidP="00C6608B">
      <w:pPr>
        <w:rPr>
          <w:szCs w:val="22"/>
        </w:rPr>
      </w:pPr>
      <w:r w:rsidRPr="007F430A">
        <w:rPr>
          <w:szCs w:val="22"/>
        </w:rPr>
        <w:t>The multi-stakeholder group may use this template to monitor the outcomes and impact of EITI implementation. Where information is already available elsewhere, it is sufficient to include a link to other publicly available documentation. The scope of this template reflects EITI Requirement 1.5 on work plan and Requirements 7.1 to 7.4 on outcomes and impact.</w:t>
      </w:r>
    </w:p>
    <w:p w14:paraId="3FF700A5" w14:textId="77777777" w:rsidR="00C6608B" w:rsidRPr="007F430A" w:rsidRDefault="00C6608B" w:rsidP="00C6608B">
      <w:pPr>
        <w:rPr>
          <w:szCs w:val="22"/>
        </w:rPr>
      </w:pPr>
      <w:r w:rsidRPr="007F430A">
        <w:rPr>
          <w:szCs w:val="22"/>
        </w:rPr>
        <w:t xml:space="preserve">The MSG is required to review the outcomes and impact of EITI implementation annually (Requirement 7.4). The MSG is encouraged to update this document annually to monitor progress, keep track of efforts to improve data accessibility and inform work planning. </w:t>
      </w:r>
    </w:p>
    <w:p w14:paraId="01E08061" w14:textId="77777777" w:rsidR="00C6608B" w:rsidRPr="007F430A" w:rsidRDefault="00C6608B" w:rsidP="00C6608B">
      <w:pPr>
        <w:rPr>
          <w:szCs w:val="22"/>
        </w:rPr>
      </w:pPr>
      <w:r w:rsidRPr="007F430A">
        <w:rPr>
          <w:szCs w:val="22"/>
        </w:rPr>
        <w:t xml:space="preserve">To inform Validation, the MSG is required to submit the completed form to the International Secretariat Validation team by the Validation commencement date. The period captured in this </w:t>
      </w:r>
      <w:r w:rsidRPr="007F430A">
        <w:rPr>
          <w:szCs w:val="22"/>
        </w:rPr>
        <w:lastRenderedPageBreak/>
        <w:t>review may be the period since the previous Validation or the previous calendar/fiscal year. The MSG should clearly indicate the period covered by its review.</w:t>
      </w:r>
    </w:p>
    <w:p w14:paraId="1CA9B2D3" w14:textId="77777777" w:rsidR="00C6608B" w:rsidRPr="007F430A" w:rsidRDefault="00C6608B" w:rsidP="00C6608B">
      <w:pPr>
        <w:rPr>
          <w:szCs w:val="22"/>
        </w:rPr>
      </w:pPr>
      <w:r w:rsidRPr="007F430A">
        <w:rPr>
          <w:szCs w:val="22"/>
        </w:rPr>
        <w:t>The MSG’s annual review of the outcomes and impact of EITI implementation should be publicly available, and stakeholders beyond MSG members should have an opportunity to provide feedback on the EITI process (Requirement 7.4).</w:t>
      </w:r>
    </w:p>
    <w:p w14:paraId="353E1B3A" w14:textId="77777777" w:rsidR="00C6608B" w:rsidRPr="007F430A" w:rsidRDefault="00C6608B" w:rsidP="00C6608B">
      <w:pPr>
        <w:pStyle w:val="Heading1"/>
        <w:rPr>
          <w:rFonts w:ascii="Franklin Gothic Book" w:hAnsi="Franklin Gothic Book"/>
          <w:sz w:val="22"/>
          <w:szCs w:val="22"/>
        </w:rPr>
      </w:pPr>
      <w:r w:rsidRPr="007F430A">
        <w:rPr>
          <w:rFonts w:ascii="Franklin Gothic Book" w:hAnsi="Franklin Gothic Book"/>
          <w:sz w:val="22"/>
          <w:szCs w:val="22"/>
        </w:rPr>
        <w:br/>
      </w:r>
      <w:bookmarkStart w:id="1" w:name="_Toc57973525"/>
      <w:r w:rsidRPr="007F430A">
        <w:rPr>
          <w:rFonts w:ascii="Franklin Gothic Book" w:hAnsi="Franklin Gothic Book"/>
          <w:sz w:val="22"/>
          <w:szCs w:val="22"/>
        </w:rPr>
        <w:t>Part I: Relevance of EITI implementation</w:t>
      </w:r>
      <w:bookmarkEnd w:id="1"/>
    </w:p>
    <w:p w14:paraId="2AA750FF" w14:textId="77777777" w:rsidR="00C6608B" w:rsidRPr="0022643A" w:rsidRDefault="00C6608B" w:rsidP="00C6608B">
      <w:pPr>
        <w:rPr>
          <w:szCs w:val="22"/>
        </w:rPr>
      </w:pPr>
    </w:p>
    <w:p w14:paraId="6FDB00B4" w14:textId="77777777" w:rsidR="00C6608B" w:rsidRPr="007F430A" w:rsidRDefault="00C6608B" w:rsidP="00C6608B">
      <w:pPr>
        <w:pStyle w:val="Heading2"/>
        <w:rPr>
          <w:sz w:val="22"/>
          <w:szCs w:val="22"/>
        </w:rPr>
      </w:pPr>
      <w:bookmarkStart w:id="2" w:name="_Toc57973526"/>
      <w:r w:rsidRPr="007F430A">
        <w:rPr>
          <w:sz w:val="22"/>
          <w:szCs w:val="22"/>
        </w:rPr>
        <w:t>Work plan (Requirement 1.5)</w:t>
      </w:r>
      <w:bookmarkEnd w:id="2"/>
    </w:p>
    <w:p w14:paraId="3FB6F0D4" w14:textId="77777777" w:rsidR="00C6608B" w:rsidRPr="007F430A" w:rsidRDefault="00C6608B" w:rsidP="00C6608B">
      <w:pPr>
        <w:rPr>
          <w:b/>
          <w:bCs/>
          <w:szCs w:val="22"/>
        </w:rPr>
      </w:pPr>
      <w:r w:rsidRPr="0022643A">
        <w:rPr>
          <w:b/>
          <w:bCs/>
          <w:szCs w:val="22"/>
        </w:rPr>
        <w:t>1. Basic information about the current</w:t>
      </w:r>
      <w:r w:rsidRPr="007F430A">
        <w:rPr>
          <w:b/>
          <w:bCs/>
          <w:szCs w:val="22"/>
        </w:rPr>
        <w:t xml:space="preserve"> EITI work plan.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5098"/>
      </w:tblGrid>
      <w:tr w:rsidR="00C6608B" w:rsidRPr="007F430A" w14:paraId="3AB307A1" w14:textId="77777777" w:rsidTr="002644D9">
        <w:tc>
          <w:tcPr>
            <w:tcW w:w="3964" w:type="dxa"/>
          </w:tcPr>
          <w:p w14:paraId="6841BD2B" w14:textId="77777777" w:rsidR="00C6608B" w:rsidRPr="007F430A" w:rsidRDefault="00C6608B" w:rsidP="002644D9">
            <w:pPr>
              <w:rPr>
                <w:szCs w:val="22"/>
              </w:rPr>
            </w:pPr>
            <w:r w:rsidRPr="007F430A">
              <w:rPr>
                <w:szCs w:val="22"/>
              </w:rPr>
              <w:t>Period covered by the current EITI work plan</w:t>
            </w:r>
          </w:p>
        </w:tc>
        <w:tc>
          <w:tcPr>
            <w:tcW w:w="5098" w:type="dxa"/>
          </w:tcPr>
          <w:p w14:paraId="3D0317C0" w14:textId="60AB711A" w:rsidR="00C6608B" w:rsidRPr="007F430A" w:rsidRDefault="00C6608B" w:rsidP="002644D9">
            <w:pPr>
              <w:rPr>
                <w:i/>
                <w:iCs/>
                <w:szCs w:val="22"/>
              </w:rPr>
            </w:pPr>
            <w:r w:rsidRPr="007F430A">
              <w:rPr>
                <w:i/>
                <w:iCs/>
                <w:szCs w:val="22"/>
              </w:rPr>
              <w:t>[Insert period covered here, e.g. 2021]</w:t>
            </w:r>
            <w:r w:rsidR="00264DE7" w:rsidRPr="007F430A">
              <w:rPr>
                <w:i/>
                <w:iCs/>
                <w:szCs w:val="22"/>
              </w:rPr>
              <w:t xml:space="preserve"> 2021-2023</w:t>
            </w:r>
          </w:p>
        </w:tc>
      </w:tr>
      <w:tr w:rsidR="00C6608B" w:rsidRPr="007F430A" w14:paraId="2BC59BD5" w14:textId="77777777" w:rsidTr="002644D9">
        <w:tc>
          <w:tcPr>
            <w:tcW w:w="3964" w:type="dxa"/>
          </w:tcPr>
          <w:p w14:paraId="01386E07" w14:textId="77777777" w:rsidR="00C6608B" w:rsidRPr="007F430A" w:rsidRDefault="00C6608B" w:rsidP="002644D9">
            <w:pPr>
              <w:rPr>
                <w:szCs w:val="22"/>
              </w:rPr>
            </w:pPr>
            <w:r w:rsidRPr="007F430A">
              <w:rPr>
                <w:szCs w:val="22"/>
              </w:rPr>
              <w:t>Information on how the public can access the work plan.</w:t>
            </w:r>
          </w:p>
        </w:tc>
        <w:tc>
          <w:tcPr>
            <w:tcW w:w="5098" w:type="dxa"/>
          </w:tcPr>
          <w:p w14:paraId="6CE1C168" w14:textId="15105D77" w:rsidR="00C6608B" w:rsidRPr="007F430A" w:rsidRDefault="00264DE7" w:rsidP="002644D9">
            <w:pPr>
              <w:rPr>
                <w:i/>
                <w:iCs/>
                <w:szCs w:val="22"/>
              </w:rPr>
            </w:pPr>
            <w:r w:rsidRPr="007F430A">
              <w:rPr>
                <w:i/>
                <w:iCs/>
                <w:szCs w:val="22"/>
              </w:rPr>
              <w:t xml:space="preserve"> </w:t>
            </w:r>
            <w:hyperlink r:id="rId11" w:history="1">
              <w:r w:rsidRPr="007F430A">
                <w:rPr>
                  <w:rStyle w:val="Hyperlink"/>
                  <w:i/>
                  <w:iCs/>
                  <w:szCs w:val="22"/>
                </w:rPr>
                <w:t>www.ttieiti.com</w:t>
              </w:r>
            </w:hyperlink>
            <w:r w:rsidRPr="0022643A">
              <w:rPr>
                <w:i/>
                <w:iCs/>
                <w:szCs w:val="22"/>
              </w:rPr>
              <w:t xml:space="preserve"> </w:t>
            </w:r>
          </w:p>
        </w:tc>
      </w:tr>
      <w:tr w:rsidR="00C6608B" w:rsidRPr="007F430A" w14:paraId="55D17F07" w14:textId="77777777" w:rsidTr="002644D9">
        <w:tc>
          <w:tcPr>
            <w:tcW w:w="3964" w:type="dxa"/>
          </w:tcPr>
          <w:p w14:paraId="56F812B8" w14:textId="77777777" w:rsidR="00C6608B" w:rsidRPr="007F430A" w:rsidRDefault="00C6608B" w:rsidP="002644D9">
            <w:pPr>
              <w:rPr>
                <w:szCs w:val="22"/>
              </w:rPr>
            </w:pPr>
            <w:r w:rsidRPr="007F430A">
              <w:rPr>
                <w:szCs w:val="22"/>
              </w:rPr>
              <w:t>Process for producing the current EITI work plan</w:t>
            </w:r>
          </w:p>
        </w:tc>
        <w:tc>
          <w:tcPr>
            <w:tcW w:w="5098" w:type="dxa"/>
          </w:tcPr>
          <w:p w14:paraId="62CAEC73" w14:textId="1DDDD2AB" w:rsidR="00D41D68" w:rsidRPr="0022643A" w:rsidRDefault="00D41D68" w:rsidP="002644D9">
            <w:pPr>
              <w:rPr>
                <w:i/>
                <w:iCs/>
                <w:szCs w:val="22"/>
              </w:rPr>
            </w:pPr>
            <w:r w:rsidRPr="007F430A">
              <w:rPr>
                <w:i/>
                <w:iCs/>
                <w:szCs w:val="22"/>
              </w:rPr>
              <w:t>[</w:t>
            </w:r>
            <w:proofErr w:type="spellStart"/>
            <w:r w:rsidRPr="007F430A">
              <w:rPr>
                <w:i/>
                <w:iCs/>
                <w:szCs w:val="22"/>
              </w:rPr>
              <w:t>Summarise</w:t>
            </w:r>
            <w:proofErr w:type="spellEnd"/>
            <w:r w:rsidRPr="007F430A">
              <w:rPr>
                <w:i/>
                <w:iCs/>
                <w:szCs w:val="22"/>
              </w:rPr>
              <w:t xml:space="preserve"> the process here. Include references to MSG meetings and other events where the work plan was discussed</w:t>
            </w:r>
            <w:r w:rsidRPr="0022643A">
              <w:rPr>
                <w:i/>
                <w:iCs/>
                <w:szCs w:val="22"/>
              </w:rPr>
              <w:t>.]</w:t>
            </w:r>
          </w:p>
          <w:p w14:paraId="0A9DED75" w14:textId="44CAA1DE" w:rsidR="00312F53" w:rsidRPr="007F430A" w:rsidRDefault="00312F53" w:rsidP="002644D9">
            <w:pPr>
              <w:rPr>
                <w:i/>
                <w:iCs/>
                <w:szCs w:val="22"/>
              </w:rPr>
            </w:pPr>
            <w:r w:rsidRPr="007F430A">
              <w:rPr>
                <w:i/>
                <w:iCs/>
                <w:szCs w:val="22"/>
              </w:rPr>
              <w:t xml:space="preserve">To develop the workplan, the MSG members completed surveys outlining </w:t>
            </w:r>
            <w:r w:rsidR="0069742B" w:rsidRPr="007F430A">
              <w:rPr>
                <w:i/>
                <w:iCs/>
                <w:szCs w:val="22"/>
              </w:rPr>
              <w:t>the issues they deemed to be important to national development an</w:t>
            </w:r>
            <w:r w:rsidR="00E965BC" w:rsidRPr="007F430A">
              <w:rPr>
                <w:i/>
                <w:iCs/>
                <w:szCs w:val="22"/>
              </w:rPr>
              <w:t>d</w:t>
            </w:r>
            <w:r w:rsidR="0069742B" w:rsidRPr="007F430A">
              <w:rPr>
                <w:i/>
                <w:iCs/>
                <w:szCs w:val="22"/>
              </w:rPr>
              <w:t xml:space="preserve"> extractive sector governance. Key areas of consensus were established and members of the MSG developed targets and indicators and held Blue Sky sessions to refine the final work plan. Other </w:t>
            </w:r>
            <w:r w:rsidR="00B9336E" w:rsidRPr="007F430A">
              <w:rPr>
                <w:i/>
                <w:iCs/>
                <w:szCs w:val="22"/>
              </w:rPr>
              <w:t xml:space="preserve">non-MSG </w:t>
            </w:r>
            <w:r w:rsidR="0069742B" w:rsidRPr="007F430A">
              <w:rPr>
                <w:i/>
                <w:iCs/>
                <w:szCs w:val="22"/>
              </w:rPr>
              <w:t>civil society stakeholders</w:t>
            </w:r>
            <w:r w:rsidR="000E283F" w:rsidRPr="007F430A">
              <w:rPr>
                <w:i/>
                <w:iCs/>
                <w:szCs w:val="22"/>
              </w:rPr>
              <w:t xml:space="preserve"> were surveyed </w:t>
            </w:r>
            <w:r w:rsidR="00B9336E" w:rsidRPr="007F430A">
              <w:rPr>
                <w:i/>
                <w:iCs/>
                <w:szCs w:val="22"/>
              </w:rPr>
              <w:t xml:space="preserve">on EITI implementation and </w:t>
            </w:r>
            <w:r w:rsidR="00961106" w:rsidRPr="007F430A">
              <w:rPr>
                <w:i/>
                <w:iCs/>
                <w:szCs w:val="22"/>
              </w:rPr>
              <w:t xml:space="preserve">asked to outlined their </w:t>
            </w:r>
            <w:r w:rsidR="00B9336E" w:rsidRPr="007F430A">
              <w:rPr>
                <w:i/>
                <w:iCs/>
                <w:szCs w:val="22"/>
              </w:rPr>
              <w:t xml:space="preserve">preferred areas of focus </w:t>
            </w:r>
            <w:r w:rsidR="00961106" w:rsidRPr="007F430A">
              <w:rPr>
                <w:i/>
                <w:iCs/>
                <w:szCs w:val="22"/>
              </w:rPr>
              <w:t xml:space="preserve">for the TTEITI’s </w:t>
            </w:r>
            <w:r w:rsidR="00B9336E" w:rsidRPr="007F430A">
              <w:rPr>
                <w:i/>
                <w:iCs/>
                <w:szCs w:val="22"/>
              </w:rPr>
              <w:t xml:space="preserve"> 2021-2023</w:t>
            </w:r>
            <w:r w:rsidR="00961106" w:rsidRPr="007F430A">
              <w:rPr>
                <w:i/>
                <w:iCs/>
                <w:szCs w:val="22"/>
              </w:rPr>
              <w:t xml:space="preserve"> work plan</w:t>
            </w:r>
            <w:r w:rsidR="00B9336E" w:rsidRPr="007F430A">
              <w:rPr>
                <w:i/>
                <w:iCs/>
                <w:szCs w:val="22"/>
              </w:rPr>
              <w:t>.</w:t>
            </w:r>
            <w:r w:rsidR="000E283F" w:rsidRPr="007F430A">
              <w:rPr>
                <w:i/>
                <w:iCs/>
                <w:szCs w:val="22"/>
              </w:rPr>
              <w:t xml:space="preserve"> </w:t>
            </w:r>
          </w:p>
          <w:p w14:paraId="2CB0A41B" w14:textId="74614527" w:rsidR="00752028" w:rsidRPr="007F430A" w:rsidRDefault="00752028" w:rsidP="002644D9">
            <w:pPr>
              <w:rPr>
                <w:i/>
                <w:iCs/>
                <w:szCs w:val="22"/>
              </w:rPr>
            </w:pPr>
            <w:r w:rsidRPr="007F430A">
              <w:rPr>
                <w:rFonts w:cstheme="minorHAnsi"/>
                <w:szCs w:val="22"/>
              </w:rPr>
              <w:t>SC Approved the 2021-2023 Workplan at the 123</w:t>
            </w:r>
            <w:r w:rsidRPr="007F430A">
              <w:rPr>
                <w:rFonts w:cstheme="minorHAnsi"/>
                <w:szCs w:val="22"/>
                <w:vertAlign w:val="superscript"/>
              </w:rPr>
              <w:t>rd</w:t>
            </w:r>
            <w:r w:rsidRPr="007F430A">
              <w:rPr>
                <w:rFonts w:cstheme="minorHAnsi"/>
                <w:szCs w:val="22"/>
              </w:rPr>
              <w:t xml:space="preserve"> SC Meeting (January 2021).</w:t>
            </w:r>
          </w:p>
          <w:p w14:paraId="05F2FC9B" w14:textId="7D872EB8" w:rsidR="00C6608B" w:rsidRPr="007F430A" w:rsidRDefault="00C6608B" w:rsidP="002644D9">
            <w:pPr>
              <w:rPr>
                <w:i/>
                <w:iCs/>
                <w:szCs w:val="22"/>
              </w:rPr>
            </w:pPr>
          </w:p>
        </w:tc>
      </w:tr>
      <w:tr w:rsidR="00C6608B" w:rsidRPr="007F430A" w14:paraId="5DF292B8" w14:textId="77777777" w:rsidTr="002644D9">
        <w:tc>
          <w:tcPr>
            <w:tcW w:w="3964" w:type="dxa"/>
          </w:tcPr>
          <w:p w14:paraId="61031CA3" w14:textId="77777777" w:rsidR="00C6608B" w:rsidRPr="007F430A" w:rsidRDefault="00C6608B" w:rsidP="002644D9">
            <w:pPr>
              <w:rPr>
                <w:szCs w:val="22"/>
              </w:rPr>
            </w:pPr>
            <w:r w:rsidRPr="007F430A">
              <w:rPr>
                <w:szCs w:val="22"/>
              </w:rPr>
              <w:t>MSG approval of the work plan</w:t>
            </w:r>
          </w:p>
        </w:tc>
        <w:tc>
          <w:tcPr>
            <w:tcW w:w="5098" w:type="dxa"/>
          </w:tcPr>
          <w:p w14:paraId="6185DA23" w14:textId="77777777" w:rsidR="00752028" w:rsidRPr="007F430A" w:rsidRDefault="00C6608B" w:rsidP="00752028">
            <w:pPr>
              <w:spacing w:before="0" w:after="0"/>
              <w:rPr>
                <w:i/>
                <w:iCs/>
                <w:szCs w:val="22"/>
              </w:rPr>
            </w:pPr>
            <w:r w:rsidRPr="007F430A">
              <w:rPr>
                <w:i/>
                <w:iCs/>
                <w:szCs w:val="22"/>
              </w:rPr>
              <w:t>[Date of approval]</w:t>
            </w:r>
          </w:p>
          <w:p w14:paraId="3E60F44C" w14:textId="6AF559E0" w:rsidR="00752028" w:rsidRPr="007F430A" w:rsidRDefault="00752028" w:rsidP="00752028">
            <w:pPr>
              <w:spacing w:before="0" w:after="0"/>
              <w:rPr>
                <w:rFonts w:cs="Times New Roman"/>
                <w:szCs w:val="22"/>
              </w:rPr>
            </w:pPr>
            <w:r w:rsidRPr="007F430A">
              <w:rPr>
                <w:i/>
                <w:iCs/>
                <w:szCs w:val="22"/>
              </w:rPr>
              <w:t xml:space="preserve"> The MSG approved the 2021-2023 work plan at the 123rd Steering Committee meeting held on January 21</w:t>
            </w:r>
            <w:proofErr w:type="gramStart"/>
            <w:r w:rsidRPr="007F430A">
              <w:rPr>
                <w:i/>
                <w:iCs/>
                <w:szCs w:val="22"/>
                <w:vertAlign w:val="superscript"/>
              </w:rPr>
              <w:t>st</w:t>
            </w:r>
            <w:r w:rsidRPr="007F430A">
              <w:rPr>
                <w:i/>
                <w:iCs/>
                <w:szCs w:val="22"/>
              </w:rPr>
              <w:t xml:space="preserve"> ,</w:t>
            </w:r>
            <w:proofErr w:type="gramEnd"/>
            <w:r w:rsidRPr="007F430A">
              <w:rPr>
                <w:i/>
                <w:iCs/>
                <w:szCs w:val="22"/>
              </w:rPr>
              <w:t xml:space="preserve"> 2021.</w:t>
            </w:r>
            <w:r w:rsidRPr="007F430A">
              <w:rPr>
                <w:rFonts w:cs="Times New Roman"/>
                <w:szCs w:val="22"/>
              </w:rPr>
              <w:t xml:space="preserve"> </w:t>
            </w:r>
          </w:p>
          <w:p w14:paraId="4F6E8509" w14:textId="474C4B6A" w:rsidR="00C6608B" w:rsidRPr="0022643A" w:rsidRDefault="00C6608B" w:rsidP="002644D9">
            <w:pPr>
              <w:rPr>
                <w:i/>
                <w:iCs/>
                <w:szCs w:val="22"/>
              </w:rPr>
            </w:pPr>
          </w:p>
        </w:tc>
      </w:tr>
    </w:tbl>
    <w:p w14:paraId="3DF37EA0" w14:textId="77777777" w:rsidR="00C6608B" w:rsidRPr="007F430A" w:rsidRDefault="00C6608B" w:rsidP="00C6608B">
      <w:pPr>
        <w:rPr>
          <w:szCs w:val="22"/>
        </w:rPr>
      </w:pPr>
    </w:p>
    <w:p w14:paraId="414D9B8A" w14:textId="77777777" w:rsidR="00C6608B" w:rsidRPr="007F430A" w:rsidRDefault="00C6608B" w:rsidP="00C6608B">
      <w:pPr>
        <w:rPr>
          <w:b/>
          <w:bCs/>
          <w:szCs w:val="22"/>
        </w:rPr>
      </w:pPr>
      <w:r w:rsidRPr="007F430A">
        <w:rPr>
          <w:b/>
          <w:bCs/>
          <w:szCs w:val="22"/>
        </w:rPr>
        <w:t>2. Explain how the work plan’s objectives reflect national priorities for the extractive industry. Provide links to supporting documentation, such as studies or national development plans, if available.</w:t>
      </w:r>
    </w:p>
    <w:tbl>
      <w:tblPr>
        <w:tblStyle w:val="TableGrid"/>
        <w:tblW w:w="0" w:type="auto"/>
        <w:tblLook w:val="04A0" w:firstRow="1" w:lastRow="0" w:firstColumn="1" w:lastColumn="0" w:noHBand="0" w:noVBand="1"/>
      </w:tblPr>
      <w:tblGrid>
        <w:gridCol w:w="9062"/>
      </w:tblGrid>
      <w:tr w:rsidR="00C6608B" w:rsidRPr="00202866" w14:paraId="17330D1A" w14:textId="77777777" w:rsidTr="002644D9">
        <w:tc>
          <w:tcPr>
            <w:tcW w:w="9062" w:type="dxa"/>
          </w:tcPr>
          <w:p w14:paraId="2CFE6C88" w14:textId="58A61F7B" w:rsidR="000D034C" w:rsidRDefault="00B9336E" w:rsidP="002644D9">
            <w:r w:rsidRPr="007F430A">
              <w:rPr>
                <w:szCs w:val="22"/>
              </w:rPr>
              <w:t xml:space="preserve">The work plan’s </w:t>
            </w:r>
            <w:r w:rsidR="00CD0A35" w:rsidRPr="007F430A">
              <w:rPr>
                <w:szCs w:val="22"/>
              </w:rPr>
              <w:t xml:space="preserve">objectives </w:t>
            </w:r>
            <w:proofErr w:type="spellStart"/>
            <w:r w:rsidR="00CD0A35" w:rsidRPr="007F430A">
              <w:rPr>
                <w:szCs w:val="22"/>
              </w:rPr>
              <w:t>centre</w:t>
            </w:r>
            <w:proofErr w:type="spellEnd"/>
            <w:r w:rsidR="00CD0A35" w:rsidRPr="007F430A">
              <w:rPr>
                <w:szCs w:val="22"/>
              </w:rPr>
              <w:t xml:space="preserve"> on mainstreaming</w:t>
            </w:r>
            <w:r w:rsidR="000D034C">
              <w:rPr>
                <w:szCs w:val="22"/>
              </w:rPr>
              <w:t>/systematic disclosure</w:t>
            </w:r>
            <w:r w:rsidR="00CD0A35" w:rsidRPr="007F430A">
              <w:rPr>
                <w:szCs w:val="22"/>
              </w:rPr>
              <w:t xml:space="preserve">, </w:t>
            </w:r>
            <w:r w:rsidR="0005238C" w:rsidRPr="007F430A">
              <w:rPr>
                <w:szCs w:val="22"/>
              </w:rPr>
              <w:t xml:space="preserve">increasing </w:t>
            </w:r>
            <w:r w:rsidR="00CD0A35" w:rsidRPr="007F430A">
              <w:rPr>
                <w:szCs w:val="22"/>
              </w:rPr>
              <w:t xml:space="preserve">mining sector participation, </w:t>
            </w:r>
            <w:r w:rsidR="000D034C">
              <w:rPr>
                <w:szCs w:val="22"/>
              </w:rPr>
              <w:t xml:space="preserve">promoting </w:t>
            </w:r>
            <w:r w:rsidR="00CD0A35" w:rsidRPr="007F430A">
              <w:rPr>
                <w:szCs w:val="22"/>
              </w:rPr>
              <w:t xml:space="preserve">environmental reporting, increasing public awareness and </w:t>
            </w:r>
            <w:r w:rsidR="000D034C">
              <w:rPr>
                <w:szCs w:val="22"/>
              </w:rPr>
              <w:t xml:space="preserve">facilitating </w:t>
            </w:r>
            <w:r w:rsidR="00CD0A35" w:rsidRPr="007F430A">
              <w:rPr>
                <w:szCs w:val="22"/>
              </w:rPr>
              <w:t>legislative change</w:t>
            </w:r>
            <w:r w:rsidR="008D62EF" w:rsidRPr="007F430A">
              <w:rPr>
                <w:szCs w:val="22"/>
              </w:rPr>
              <w:t xml:space="preserve"> to </w:t>
            </w:r>
            <w:r w:rsidR="00BE05C9" w:rsidRPr="007F430A">
              <w:rPr>
                <w:szCs w:val="22"/>
              </w:rPr>
              <w:t>barriers to EITI implementation</w:t>
            </w:r>
            <w:r w:rsidR="00CD0A35" w:rsidRPr="007F430A">
              <w:rPr>
                <w:szCs w:val="22"/>
              </w:rPr>
              <w:t xml:space="preserve">. These </w:t>
            </w:r>
            <w:r w:rsidR="002644D9" w:rsidRPr="007F430A">
              <w:rPr>
                <w:szCs w:val="22"/>
              </w:rPr>
              <w:t>objectives are in sync with several of Government’s policy priorities</w:t>
            </w:r>
            <w:r w:rsidR="00E56146" w:rsidRPr="007F430A">
              <w:rPr>
                <w:szCs w:val="22"/>
              </w:rPr>
              <w:t xml:space="preserve"> and are linked to the State’s development plans including the Vision 2030 national development strategy and the Post-Covid 19 Road Map for Trinidad and Tobago. </w:t>
            </w:r>
            <w:r w:rsidR="00CC5065">
              <w:rPr>
                <w:szCs w:val="22"/>
              </w:rPr>
              <w:t xml:space="preserve">The Vision 2030 strategy focuses on achieving the </w:t>
            </w:r>
            <w:proofErr w:type="spellStart"/>
            <w:r w:rsidR="00CC5065">
              <w:rPr>
                <w:szCs w:val="22"/>
              </w:rPr>
              <w:t>Millenium</w:t>
            </w:r>
            <w:proofErr w:type="spellEnd"/>
            <w:r w:rsidR="00CC5065">
              <w:rPr>
                <w:szCs w:val="22"/>
              </w:rPr>
              <w:t xml:space="preserve"> Development Goals and two of its strategic themes are linked to the work plan. These themes are </w:t>
            </w:r>
            <w:r w:rsidR="00CC5065">
              <w:t>theme II: Delivering Good Governance and theme V</w:t>
            </w:r>
            <w:r w:rsidR="000D034C">
              <w:t>:</w:t>
            </w:r>
            <w:r w:rsidR="00CC5065">
              <w:t xml:space="preserve"> Placing the Environment at the Centre of Social and Economic Development. </w:t>
            </w:r>
            <w:r w:rsidR="00CC5065">
              <w:rPr>
                <w:szCs w:val="22"/>
              </w:rPr>
              <w:t>The Post-</w:t>
            </w:r>
            <w:proofErr w:type="spellStart"/>
            <w:r w:rsidR="00CC5065">
              <w:rPr>
                <w:szCs w:val="22"/>
              </w:rPr>
              <w:t>Covid</w:t>
            </w:r>
            <w:proofErr w:type="spellEnd"/>
            <w:r w:rsidR="00CC5065">
              <w:rPr>
                <w:szCs w:val="22"/>
              </w:rPr>
              <w:t xml:space="preserve"> 19 Roadmap for Trinidad and Tobago’s priorities </w:t>
            </w:r>
            <w:proofErr w:type="gramStart"/>
            <w:r w:rsidR="00CC5065">
              <w:rPr>
                <w:szCs w:val="22"/>
              </w:rPr>
              <w:t>include</w:t>
            </w:r>
            <w:proofErr w:type="gramEnd"/>
            <w:r w:rsidR="00CC5065">
              <w:rPr>
                <w:szCs w:val="22"/>
              </w:rPr>
              <w:t xml:space="preserve"> </w:t>
            </w:r>
            <w:r w:rsidR="00CC5065">
              <w:t>(i) addressing and mitigat</w:t>
            </w:r>
            <w:r w:rsidR="000D034C">
              <w:t>ing</w:t>
            </w:r>
            <w:r w:rsidR="00CC5065">
              <w:t xml:space="preserve"> the hardship inflicted by COVID-19; (ii) restarting the economy; and (iii) laying the foundation for sustained economic recovery.</w:t>
            </w:r>
          </w:p>
          <w:p w14:paraId="1B8779DF" w14:textId="5FA08AEC" w:rsidR="00E56146" w:rsidRPr="007F430A" w:rsidRDefault="00E56146" w:rsidP="002644D9">
            <w:pPr>
              <w:rPr>
                <w:szCs w:val="22"/>
              </w:rPr>
            </w:pPr>
            <w:r w:rsidRPr="007F430A">
              <w:rPr>
                <w:szCs w:val="22"/>
              </w:rPr>
              <w:t>For mainstreaming, the TTEITI Steering Committee’s focus is on delivering up to date and digitized data to citizens</w:t>
            </w:r>
            <w:r w:rsidR="0005238C" w:rsidRPr="007F430A">
              <w:rPr>
                <w:szCs w:val="22"/>
              </w:rPr>
              <w:t xml:space="preserve"> as well as undertaking a gap analysis to </w:t>
            </w:r>
            <w:r w:rsidR="008371D1" w:rsidRPr="007F430A">
              <w:rPr>
                <w:szCs w:val="22"/>
              </w:rPr>
              <w:t xml:space="preserve">identify impediments to mainstreaming and offer corrective recommendations. </w:t>
            </w:r>
            <w:r w:rsidR="00A45C85" w:rsidRPr="007F430A">
              <w:rPr>
                <w:szCs w:val="22"/>
              </w:rPr>
              <w:t>Th</w:t>
            </w:r>
            <w:r w:rsidR="000943BF" w:rsidRPr="007F430A">
              <w:rPr>
                <w:szCs w:val="22"/>
              </w:rPr>
              <w:t xml:space="preserve">ese objectives </w:t>
            </w:r>
            <w:r w:rsidR="00742B7F" w:rsidRPr="007F430A">
              <w:rPr>
                <w:szCs w:val="22"/>
              </w:rPr>
              <w:t xml:space="preserve">are connected to the </w:t>
            </w:r>
            <w:r w:rsidR="005F247D" w:rsidRPr="007F430A">
              <w:rPr>
                <w:szCs w:val="22"/>
              </w:rPr>
              <w:t xml:space="preserve">Post Covid-19 Roadmap for Trinidad and Tobago where digitalization and </w:t>
            </w:r>
            <w:r w:rsidR="009F64B7" w:rsidRPr="007F430A">
              <w:rPr>
                <w:szCs w:val="22"/>
              </w:rPr>
              <w:t xml:space="preserve">modernization of the public service </w:t>
            </w:r>
            <w:r w:rsidR="00B9021F" w:rsidRPr="007F430A">
              <w:rPr>
                <w:szCs w:val="22"/>
              </w:rPr>
              <w:t>are specific targets. The Government sees open data and digitalization as a transformative pillar of development.</w:t>
            </w:r>
            <w:r w:rsidR="005F247D" w:rsidRPr="007F430A">
              <w:rPr>
                <w:szCs w:val="22"/>
              </w:rPr>
              <w:t xml:space="preserve"> </w:t>
            </w:r>
            <w:r w:rsidR="00536AAD" w:rsidRPr="007F430A">
              <w:rPr>
                <w:szCs w:val="22"/>
              </w:rPr>
              <w:t xml:space="preserve">The Vision 2030 National Development Strategy states, </w:t>
            </w:r>
            <w:r w:rsidRPr="007F430A">
              <w:rPr>
                <w:szCs w:val="22"/>
              </w:rPr>
              <w:t xml:space="preserve">“In an era where ICT is burgeoning and influencing every sphere of life, the potential of ICT as a development tool rests on its ability to not only transform how people conduct day-to-day activities and how they access information, but also how public and private entities operate and deliver services as well.”  </w:t>
            </w:r>
          </w:p>
          <w:p w14:paraId="5954C7AF" w14:textId="0B5E0125" w:rsidR="00C6608B" w:rsidRPr="007F430A" w:rsidRDefault="00E94A4F" w:rsidP="002644D9">
            <w:pPr>
              <w:rPr>
                <w:szCs w:val="22"/>
              </w:rPr>
            </w:pPr>
            <w:r w:rsidRPr="007F430A">
              <w:rPr>
                <w:szCs w:val="22"/>
              </w:rPr>
              <w:t>T</w:t>
            </w:r>
            <w:r w:rsidR="0091509E" w:rsidRPr="007F430A">
              <w:rPr>
                <w:szCs w:val="22"/>
              </w:rPr>
              <w:t>he workplan</w:t>
            </w:r>
            <w:r w:rsidR="00360A53" w:rsidRPr="007F430A">
              <w:rPr>
                <w:szCs w:val="22"/>
              </w:rPr>
              <w:t xml:space="preserve"> </w:t>
            </w:r>
            <w:r w:rsidR="00B34FC2" w:rsidRPr="007F430A">
              <w:rPr>
                <w:szCs w:val="22"/>
              </w:rPr>
              <w:t xml:space="preserve">also </w:t>
            </w:r>
            <w:r w:rsidR="00360A53" w:rsidRPr="007F430A">
              <w:rPr>
                <w:szCs w:val="22"/>
              </w:rPr>
              <w:t>focus</w:t>
            </w:r>
            <w:r w:rsidR="005D5F3C" w:rsidRPr="007F430A">
              <w:rPr>
                <w:szCs w:val="22"/>
              </w:rPr>
              <w:t xml:space="preserve">es on developing an engagement </w:t>
            </w:r>
            <w:r w:rsidRPr="007F430A">
              <w:rPr>
                <w:szCs w:val="22"/>
              </w:rPr>
              <w:t>strategy for the mining sector and increasing mining sector company participation in the EITI. These objectives</w:t>
            </w:r>
            <w:r w:rsidR="00B34FC2" w:rsidRPr="007F430A">
              <w:rPr>
                <w:szCs w:val="22"/>
              </w:rPr>
              <w:t xml:space="preserve"> are based on the governance challenges the sector faces including illegal quarrying, lax royalty collection and </w:t>
            </w:r>
            <w:r w:rsidR="00D709B0" w:rsidRPr="007F430A">
              <w:rPr>
                <w:szCs w:val="22"/>
              </w:rPr>
              <w:t>a proliferation of un</w:t>
            </w:r>
            <w:r w:rsidR="00B34FC2" w:rsidRPr="007F430A">
              <w:rPr>
                <w:szCs w:val="22"/>
              </w:rPr>
              <w:t>licens</w:t>
            </w:r>
            <w:r w:rsidR="00D709B0" w:rsidRPr="007F430A">
              <w:rPr>
                <w:szCs w:val="22"/>
              </w:rPr>
              <w:t>ed</w:t>
            </w:r>
            <w:r w:rsidR="00B34FC2" w:rsidRPr="007F430A">
              <w:rPr>
                <w:szCs w:val="22"/>
              </w:rPr>
              <w:t xml:space="preserve"> </w:t>
            </w:r>
            <w:r w:rsidR="00D709B0" w:rsidRPr="007F430A">
              <w:rPr>
                <w:szCs w:val="22"/>
              </w:rPr>
              <w:t xml:space="preserve">operators. </w:t>
            </w:r>
            <w:r w:rsidR="00360A53" w:rsidRPr="007F430A">
              <w:rPr>
                <w:szCs w:val="22"/>
              </w:rPr>
              <w:t xml:space="preserve">The Government’s </w:t>
            </w:r>
            <w:r w:rsidR="00D709B0" w:rsidRPr="007F430A">
              <w:rPr>
                <w:szCs w:val="22"/>
              </w:rPr>
              <w:t xml:space="preserve">Green Paper on Minerals Policy acknowledges these challenges and also recognizes the role of the EITI in </w:t>
            </w:r>
            <w:r w:rsidR="009D3BE8" w:rsidRPr="007F430A">
              <w:rPr>
                <w:szCs w:val="22"/>
              </w:rPr>
              <w:t xml:space="preserve">helping be an agent of change. </w:t>
            </w:r>
            <w:r w:rsidR="00360A53" w:rsidRPr="007F430A">
              <w:rPr>
                <w:szCs w:val="22"/>
              </w:rPr>
              <w:t>The Green paper on Minerals Policy 2014 states, “Further, the Government is committed to ensuring transparency and accountability in the Minerals Sector and has subscribed to the Extractive Industries Transparency Initiative (EITI).”</w:t>
            </w:r>
            <w:r w:rsidR="00B9336E" w:rsidRPr="007F430A">
              <w:rPr>
                <w:szCs w:val="22"/>
              </w:rPr>
              <w:t xml:space="preserve"> </w:t>
            </w:r>
          </w:p>
          <w:p w14:paraId="0896EA01" w14:textId="0FFDE8CA" w:rsidR="00B9336E" w:rsidRPr="007F430A" w:rsidRDefault="008371D1" w:rsidP="002644D9">
            <w:pPr>
              <w:rPr>
                <w:szCs w:val="22"/>
              </w:rPr>
            </w:pPr>
            <w:r w:rsidRPr="007F430A">
              <w:rPr>
                <w:szCs w:val="22"/>
              </w:rPr>
              <w:t xml:space="preserve">For </w:t>
            </w:r>
            <w:r w:rsidR="00A45C85" w:rsidRPr="007F430A">
              <w:rPr>
                <w:szCs w:val="22"/>
              </w:rPr>
              <w:t>environmental report</w:t>
            </w:r>
            <w:r w:rsidR="0091509E" w:rsidRPr="007F430A">
              <w:rPr>
                <w:szCs w:val="22"/>
              </w:rPr>
              <w:t xml:space="preserve">ing the objectives </w:t>
            </w:r>
            <w:proofErr w:type="spellStart"/>
            <w:r w:rsidR="0091509E" w:rsidRPr="007F430A">
              <w:rPr>
                <w:szCs w:val="22"/>
              </w:rPr>
              <w:t>centre</w:t>
            </w:r>
            <w:proofErr w:type="spellEnd"/>
            <w:r w:rsidR="0091509E" w:rsidRPr="007F430A">
              <w:rPr>
                <w:szCs w:val="22"/>
              </w:rPr>
              <w:t xml:space="preserve"> on environmental reporting by companies and undertaking a study to assess environmental impact of the mining sector. </w:t>
            </w:r>
            <w:r w:rsidR="00A45C85" w:rsidRPr="007F430A">
              <w:rPr>
                <w:szCs w:val="22"/>
              </w:rPr>
              <w:t xml:space="preserve"> These objectives are </w:t>
            </w:r>
            <w:r w:rsidR="0091509E" w:rsidRPr="007F430A">
              <w:rPr>
                <w:szCs w:val="22"/>
              </w:rPr>
              <w:t xml:space="preserve">not only </w:t>
            </w:r>
            <w:r w:rsidR="00A45C85" w:rsidRPr="007F430A">
              <w:rPr>
                <w:szCs w:val="22"/>
              </w:rPr>
              <w:t>al</w:t>
            </w:r>
            <w:r w:rsidR="0091509E" w:rsidRPr="007F430A">
              <w:rPr>
                <w:szCs w:val="22"/>
              </w:rPr>
              <w:t>i</w:t>
            </w:r>
            <w:r w:rsidR="00A45C85" w:rsidRPr="007F430A">
              <w:rPr>
                <w:szCs w:val="22"/>
              </w:rPr>
              <w:t xml:space="preserve">gned with the EITI Standard 2019 </w:t>
            </w:r>
            <w:r w:rsidR="00536AAD" w:rsidRPr="007F430A">
              <w:rPr>
                <w:szCs w:val="22"/>
              </w:rPr>
              <w:t xml:space="preserve">Standard 6.4 </w:t>
            </w:r>
            <w:r w:rsidR="0091509E" w:rsidRPr="007F430A">
              <w:rPr>
                <w:szCs w:val="22"/>
              </w:rPr>
              <w:t>but also</w:t>
            </w:r>
            <w:r w:rsidR="00A45C85" w:rsidRPr="007F430A">
              <w:rPr>
                <w:szCs w:val="22"/>
              </w:rPr>
              <w:t xml:space="preserve"> with the Vision 2030 strategy where a stated theme is “Placing the Environment at the Centre of Social and Economic Development</w:t>
            </w:r>
            <w:r w:rsidR="0091509E" w:rsidRPr="007F430A">
              <w:rPr>
                <w:szCs w:val="22"/>
              </w:rPr>
              <w:t xml:space="preserve">”. </w:t>
            </w:r>
            <w:r w:rsidR="00715D42" w:rsidRPr="007F430A">
              <w:rPr>
                <w:szCs w:val="22"/>
              </w:rPr>
              <w:t>The workplan’s objectives also align with the Sustainable Development Goals</w:t>
            </w:r>
            <w:r w:rsidR="005E131E" w:rsidRPr="007F430A">
              <w:rPr>
                <w:szCs w:val="22"/>
              </w:rPr>
              <w:t xml:space="preserve"> on climate action and </w:t>
            </w:r>
            <w:r w:rsidR="00F76DAD" w:rsidRPr="007F430A">
              <w:rPr>
                <w:szCs w:val="22"/>
              </w:rPr>
              <w:t>adapting to climate change.</w:t>
            </w:r>
          </w:p>
          <w:p w14:paraId="0B78CF6C" w14:textId="3E513D71" w:rsidR="00A77B53" w:rsidRPr="007F430A" w:rsidRDefault="008D094B" w:rsidP="002644D9">
            <w:pPr>
              <w:rPr>
                <w:szCs w:val="22"/>
              </w:rPr>
            </w:pPr>
            <w:r w:rsidRPr="007F430A">
              <w:rPr>
                <w:szCs w:val="22"/>
              </w:rPr>
              <w:t xml:space="preserve">The work plan also focuses on legislative change </w:t>
            </w:r>
            <w:r w:rsidR="00F147AF" w:rsidRPr="007F430A">
              <w:rPr>
                <w:szCs w:val="22"/>
              </w:rPr>
              <w:t>via</w:t>
            </w:r>
            <w:r w:rsidR="000C29AF" w:rsidRPr="007F430A">
              <w:rPr>
                <w:szCs w:val="22"/>
              </w:rPr>
              <w:t xml:space="preserve"> EITI </w:t>
            </w:r>
            <w:r w:rsidR="00F147AF" w:rsidRPr="007F430A">
              <w:rPr>
                <w:szCs w:val="22"/>
              </w:rPr>
              <w:t xml:space="preserve">specific </w:t>
            </w:r>
            <w:r w:rsidR="000C29AF" w:rsidRPr="007F430A">
              <w:rPr>
                <w:szCs w:val="22"/>
              </w:rPr>
              <w:t>legislation</w:t>
            </w:r>
            <w:r w:rsidR="00F147AF" w:rsidRPr="007F430A">
              <w:rPr>
                <w:szCs w:val="22"/>
              </w:rPr>
              <w:t xml:space="preserve">. This legislation will repeal sections of the Income Tax Act and remove barriers to EITI implementation. </w:t>
            </w:r>
            <w:r w:rsidR="00BD421E" w:rsidRPr="007F430A">
              <w:rPr>
                <w:szCs w:val="22"/>
              </w:rPr>
              <w:t xml:space="preserve">This </w:t>
            </w:r>
            <w:r w:rsidR="00BD421E" w:rsidRPr="007F430A">
              <w:rPr>
                <w:szCs w:val="22"/>
              </w:rPr>
              <w:lastRenderedPageBreak/>
              <w:t>objective aligns with certain sections of the</w:t>
            </w:r>
            <w:r w:rsidR="00F147AF" w:rsidRPr="007F430A">
              <w:rPr>
                <w:szCs w:val="22"/>
              </w:rPr>
              <w:t xml:space="preserve"> Gove</w:t>
            </w:r>
            <w:r w:rsidR="00BD421E" w:rsidRPr="007F430A">
              <w:rPr>
                <w:szCs w:val="22"/>
              </w:rPr>
              <w:t>rnment’s manifesto on promoting transparency and accountable management of the oil and gas sector.</w:t>
            </w:r>
            <w:r w:rsidR="00F71CF7" w:rsidRPr="007F430A">
              <w:rPr>
                <w:szCs w:val="22"/>
              </w:rPr>
              <w:t xml:space="preserve"> The PNM manifesto highlights that one way to ensure </w:t>
            </w:r>
            <w:r w:rsidR="00BC24DF">
              <w:rPr>
                <w:szCs w:val="22"/>
              </w:rPr>
              <w:t>sector</w:t>
            </w:r>
            <w:r w:rsidR="00F71CF7" w:rsidRPr="007F430A">
              <w:rPr>
                <w:szCs w:val="22"/>
              </w:rPr>
              <w:t xml:space="preserve"> sustainability is to improve transparency and accountability in bid rounds. EITI legislation would make it mandatory for all operators in the sector, including those winning bid rounds, </w:t>
            </w:r>
            <w:r w:rsidR="004E1B7D">
              <w:rPr>
                <w:szCs w:val="22"/>
              </w:rPr>
              <w:t xml:space="preserve">to </w:t>
            </w:r>
            <w:r w:rsidR="00F71CF7" w:rsidRPr="007F430A">
              <w:rPr>
                <w:szCs w:val="22"/>
              </w:rPr>
              <w:t>participate in EITI implementation.</w:t>
            </w:r>
            <w:r w:rsidR="00402046" w:rsidRPr="007F430A">
              <w:rPr>
                <w:szCs w:val="22"/>
              </w:rPr>
              <w:t xml:space="preserve">  </w:t>
            </w:r>
          </w:p>
          <w:p w14:paraId="2B8D917A" w14:textId="461836C3" w:rsidR="00402046" w:rsidRPr="007F430A" w:rsidRDefault="00BD421E" w:rsidP="002644D9">
            <w:pPr>
              <w:rPr>
                <w:szCs w:val="22"/>
              </w:rPr>
            </w:pPr>
            <w:r w:rsidRPr="007F430A">
              <w:rPr>
                <w:szCs w:val="22"/>
              </w:rPr>
              <w:t>From these examples, it clear that i</w:t>
            </w:r>
            <w:r w:rsidR="00961106" w:rsidRPr="007F430A">
              <w:rPr>
                <w:szCs w:val="22"/>
              </w:rPr>
              <w:t>n developing the workplan</w:t>
            </w:r>
            <w:r w:rsidR="00715D42" w:rsidRPr="007F430A">
              <w:rPr>
                <w:szCs w:val="22"/>
              </w:rPr>
              <w:t>,</w:t>
            </w:r>
            <w:r w:rsidR="00961106" w:rsidRPr="007F430A">
              <w:rPr>
                <w:szCs w:val="22"/>
              </w:rPr>
              <w:t xml:space="preserve"> the TTEITI Steering Committee </w:t>
            </w:r>
            <w:r w:rsidR="0091509E" w:rsidRPr="007F430A">
              <w:rPr>
                <w:szCs w:val="22"/>
              </w:rPr>
              <w:t>and Secretariat reviewed</w:t>
            </w:r>
            <w:r w:rsidR="00402046" w:rsidRPr="007F430A">
              <w:rPr>
                <w:szCs w:val="22"/>
              </w:rPr>
              <w:t xml:space="preserve"> the central themes of Government strategy documents and the EITI Standard, searching for overlaps and </w:t>
            </w:r>
            <w:r w:rsidR="009D3BE8" w:rsidRPr="007F430A">
              <w:rPr>
                <w:szCs w:val="22"/>
              </w:rPr>
              <w:t xml:space="preserve">avenues for </w:t>
            </w:r>
            <w:r w:rsidR="00402046" w:rsidRPr="007F430A">
              <w:rPr>
                <w:szCs w:val="22"/>
              </w:rPr>
              <w:t>how EITI implementation</w:t>
            </w:r>
            <w:r w:rsidR="009D3BE8" w:rsidRPr="007F430A">
              <w:rPr>
                <w:szCs w:val="22"/>
              </w:rPr>
              <w:t xml:space="preserve"> can </w:t>
            </w:r>
            <w:r w:rsidR="000943BF" w:rsidRPr="007F430A">
              <w:rPr>
                <w:szCs w:val="22"/>
              </w:rPr>
              <w:t>address local challenges and areas where reforms are necessary.</w:t>
            </w:r>
            <w:r w:rsidR="00402046" w:rsidRPr="007F430A">
              <w:rPr>
                <w:szCs w:val="22"/>
              </w:rPr>
              <w:t xml:space="preserve">  </w:t>
            </w:r>
            <w:r w:rsidR="0091509E" w:rsidRPr="007F430A">
              <w:rPr>
                <w:szCs w:val="22"/>
              </w:rPr>
              <w:t xml:space="preserve"> </w:t>
            </w:r>
          </w:p>
          <w:p w14:paraId="247D7A83" w14:textId="736B0DCF" w:rsidR="00C6608B" w:rsidRPr="007F430A" w:rsidRDefault="00CD0A35" w:rsidP="002644D9">
            <w:pPr>
              <w:rPr>
                <w:i/>
                <w:szCs w:val="22"/>
              </w:rPr>
            </w:pPr>
            <w:r w:rsidRPr="007F430A">
              <w:rPr>
                <w:i/>
                <w:szCs w:val="22"/>
              </w:rPr>
              <w:t>Supporting Documentation</w:t>
            </w:r>
          </w:p>
          <w:p w14:paraId="6CFDA872" w14:textId="6E5A5BD9" w:rsidR="00CD0A35" w:rsidRPr="0022643A" w:rsidRDefault="00CD0A35" w:rsidP="002644D9">
            <w:pPr>
              <w:rPr>
                <w:szCs w:val="22"/>
              </w:rPr>
            </w:pPr>
            <w:r w:rsidRPr="0022643A">
              <w:rPr>
                <w:szCs w:val="22"/>
              </w:rPr>
              <w:t xml:space="preserve">Vision 2030: </w:t>
            </w:r>
            <w:hyperlink r:id="rId12" w:history="1">
              <w:r w:rsidRPr="0022643A">
                <w:rPr>
                  <w:rStyle w:val="Hyperlink"/>
                  <w:szCs w:val="22"/>
                </w:rPr>
                <w:t>Vision 2030- The National Development Strategy of Trinidad and Tobago 2016-2030.pdf (planning.gov.tt)</w:t>
              </w:r>
            </w:hyperlink>
          </w:p>
          <w:p w14:paraId="3C78467A" w14:textId="29F9C2AA" w:rsidR="00C6608B" w:rsidRPr="0022643A" w:rsidRDefault="00BE05C9" w:rsidP="002644D9">
            <w:pPr>
              <w:rPr>
                <w:szCs w:val="22"/>
              </w:rPr>
            </w:pPr>
            <w:r w:rsidRPr="0022643A">
              <w:rPr>
                <w:szCs w:val="22"/>
              </w:rPr>
              <w:t xml:space="preserve">Post Covid-19 Roadmap for Trinidad and Tobago: </w:t>
            </w:r>
            <w:hyperlink r:id="rId13" w:history="1">
              <w:r w:rsidRPr="0022643A">
                <w:rPr>
                  <w:rStyle w:val="Hyperlink"/>
                  <w:szCs w:val="22"/>
                </w:rPr>
                <w:t>Report of the Roadmap to Recovery Committee_1st_.pdf (planning.gov.tt)</w:t>
              </w:r>
            </w:hyperlink>
            <w:r w:rsidR="00F56F20" w:rsidRPr="0022643A">
              <w:rPr>
                <w:szCs w:val="22"/>
              </w:rPr>
              <w:t xml:space="preserve">Green paper on Minerals Policy: </w:t>
            </w:r>
            <w:hyperlink r:id="rId14" w:history="1">
              <w:r w:rsidR="00F56F20" w:rsidRPr="0022643A">
                <w:rPr>
                  <w:rStyle w:val="Hyperlink"/>
                  <w:szCs w:val="22"/>
                </w:rPr>
                <w:t>Green-Paper-on-Minerals-Policy.pdf (energy.gov.tt)</w:t>
              </w:r>
            </w:hyperlink>
          </w:p>
          <w:p w14:paraId="7CD1C9AE" w14:textId="5CE4AA24" w:rsidR="00E56146" w:rsidRPr="00283F46" w:rsidRDefault="00E56146" w:rsidP="002644D9">
            <w:pPr>
              <w:rPr>
                <w:szCs w:val="22"/>
                <w:lang w:val="es-MX"/>
              </w:rPr>
            </w:pPr>
            <w:r w:rsidRPr="00283F46">
              <w:rPr>
                <w:szCs w:val="22"/>
                <w:lang w:val="es-MX"/>
              </w:rPr>
              <w:t xml:space="preserve">PNM </w:t>
            </w:r>
            <w:proofErr w:type="spellStart"/>
            <w:r w:rsidRPr="00283F46">
              <w:rPr>
                <w:szCs w:val="22"/>
                <w:lang w:val="es-MX"/>
              </w:rPr>
              <w:t>Manifesto</w:t>
            </w:r>
            <w:proofErr w:type="spellEnd"/>
            <w:r w:rsidRPr="00283F46">
              <w:rPr>
                <w:szCs w:val="22"/>
                <w:lang w:val="es-MX"/>
              </w:rPr>
              <w:t xml:space="preserve"> 2020: </w:t>
            </w:r>
            <w:hyperlink r:id="rId15" w:history="1">
              <w:r w:rsidRPr="00283F46">
                <w:rPr>
                  <w:rStyle w:val="Hyperlink"/>
                  <w:szCs w:val="22"/>
                  <w:lang w:val="es-MX"/>
                </w:rPr>
                <w:t xml:space="preserve">Energy &amp; Energy Industries | PNM </w:t>
              </w:r>
              <w:proofErr w:type="spellStart"/>
              <w:r w:rsidRPr="00283F46">
                <w:rPr>
                  <w:rStyle w:val="Hyperlink"/>
                  <w:szCs w:val="22"/>
                  <w:lang w:val="es-MX"/>
                </w:rPr>
                <w:t>Manifesto</w:t>
              </w:r>
              <w:proofErr w:type="spellEnd"/>
              <w:r w:rsidRPr="00283F46">
                <w:rPr>
                  <w:rStyle w:val="Hyperlink"/>
                  <w:szCs w:val="22"/>
                  <w:lang w:val="es-MX"/>
                </w:rPr>
                <w:t xml:space="preserve"> 2020 (</w:t>
              </w:r>
              <w:proofErr w:type="spellStart"/>
              <w:r w:rsidRPr="00283F46">
                <w:rPr>
                  <w:rStyle w:val="Hyperlink"/>
                  <w:szCs w:val="22"/>
                  <w:lang w:val="es-MX"/>
                </w:rPr>
                <w:t>pnmtt.live</w:t>
              </w:r>
              <w:proofErr w:type="spellEnd"/>
              <w:r w:rsidRPr="00283F46">
                <w:rPr>
                  <w:rStyle w:val="Hyperlink"/>
                  <w:szCs w:val="22"/>
                  <w:lang w:val="es-MX"/>
                </w:rPr>
                <w:t>)</w:t>
              </w:r>
            </w:hyperlink>
          </w:p>
        </w:tc>
      </w:tr>
    </w:tbl>
    <w:p w14:paraId="1C8A5FB6" w14:textId="77777777" w:rsidR="00C6608B" w:rsidRPr="00283F46" w:rsidRDefault="00C6608B" w:rsidP="00C6608B">
      <w:pPr>
        <w:rPr>
          <w:i/>
          <w:iCs/>
          <w:szCs w:val="22"/>
          <w:lang w:val="es-MX"/>
        </w:rPr>
      </w:pPr>
    </w:p>
    <w:p w14:paraId="0386849D" w14:textId="77777777" w:rsidR="00C6608B" w:rsidRPr="007F430A" w:rsidRDefault="00C6608B" w:rsidP="00C6608B">
      <w:pPr>
        <w:rPr>
          <w:i/>
          <w:iCs/>
          <w:szCs w:val="22"/>
        </w:rPr>
      </w:pPr>
      <w:r w:rsidRPr="007F430A">
        <w:rPr>
          <w:i/>
          <w:iCs/>
          <w:szCs w:val="22"/>
        </w:rPr>
        <w:t>3. Optional question: Has the MSG developed a theory of change on how EITI implementation will address the identified challenges of the sector in your country? If yes, please reference the corresponding document here.</w:t>
      </w:r>
    </w:p>
    <w:tbl>
      <w:tblPr>
        <w:tblStyle w:val="TableGrid"/>
        <w:tblW w:w="0" w:type="auto"/>
        <w:tblLook w:val="04A0" w:firstRow="1" w:lastRow="0" w:firstColumn="1" w:lastColumn="0" w:noHBand="0" w:noVBand="1"/>
      </w:tblPr>
      <w:tblGrid>
        <w:gridCol w:w="9062"/>
      </w:tblGrid>
      <w:tr w:rsidR="00C6608B" w:rsidRPr="007F430A" w14:paraId="017B3347" w14:textId="77777777" w:rsidTr="002644D9">
        <w:tc>
          <w:tcPr>
            <w:tcW w:w="9062" w:type="dxa"/>
          </w:tcPr>
          <w:p w14:paraId="4525B262" w14:textId="75020B48" w:rsidR="00873C3A" w:rsidRPr="007F430A" w:rsidRDefault="009C0A5D" w:rsidP="002644D9">
            <w:pPr>
              <w:rPr>
                <w:szCs w:val="22"/>
              </w:rPr>
            </w:pPr>
            <w:r w:rsidRPr="007F430A">
              <w:rPr>
                <w:szCs w:val="22"/>
              </w:rPr>
              <w:t xml:space="preserve">In developing </w:t>
            </w:r>
            <w:r w:rsidR="00260157" w:rsidRPr="007F430A">
              <w:rPr>
                <w:szCs w:val="22"/>
              </w:rPr>
              <w:t xml:space="preserve">the work plan, the TTEITI Steering Committee took several steps to </w:t>
            </w:r>
            <w:r w:rsidR="00962BD5" w:rsidRPr="007F430A">
              <w:rPr>
                <w:szCs w:val="22"/>
              </w:rPr>
              <w:t>undertake</w:t>
            </w:r>
            <w:r w:rsidR="00260157" w:rsidRPr="007F430A">
              <w:rPr>
                <w:szCs w:val="22"/>
              </w:rPr>
              <w:t xml:space="preserve"> a backward mapping process</w:t>
            </w:r>
            <w:r w:rsidR="00962BD5" w:rsidRPr="007F430A">
              <w:rPr>
                <w:szCs w:val="22"/>
              </w:rPr>
              <w:t xml:space="preserve">, looking at </w:t>
            </w:r>
            <w:r w:rsidR="008F6621" w:rsidRPr="007F430A">
              <w:rPr>
                <w:szCs w:val="22"/>
              </w:rPr>
              <w:t xml:space="preserve">key outcomes, </w:t>
            </w:r>
            <w:r w:rsidR="00962BD5" w:rsidRPr="007F430A">
              <w:rPr>
                <w:szCs w:val="22"/>
              </w:rPr>
              <w:t xml:space="preserve">outputs, inputs, </w:t>
            </w:r>
            <w:r w:rsidR="008F6621" w:rsidRPr="007F430A">
              <w:rPr>
                <w:szCs w:val="22"/>
              </w:rPr>
              <w:t>activities and a list of leading indicators that would measure progress of the plan’s objectives. The work plan’s outcomes were linked to challenges in the sector ranging from</w:t>
            </w:r>
            <w:r w:rsidR="004E13EE" w:rsidRPr="007F430A">
              <w:rPr>
                <w:szCs w:val="22"/>
              </w:rPr>
              <w:t xml:space="preserve"> </w:t>
            </w:r>
            <w:r w:rsidR="004C30D1" w:rsidRPr="007F430A">
              <w:rPr>
                <w:szCs w:val="22"/>
              </w:rPr>
              <w:t>mining sector governance issues to the need for digitization and mainstreaming of data.</w:t>
            </w:r>
            <w:r w:rsidR="008F6621" w:rsidRPr="007F430A">
              <w:rPr>
                <w:szCs w:val="22"/>
              </w:rPr>
              <w:t xml:space="preserve"> </w:t>
            </w:r>
          </w:p>
          <w:p w14:paraId="4B00D26A" w14:textId="03C98315" w:rsidR="00260157" w:rsidRPr="007F430A" w:rsidRDefault="008F6621" w:rsidP="002644D9">
            <w:pPr>
              <w:rPr>
                <w:szCs w:val="22"/>
              </w:rPr>
            </w:pPr>
            <w:r w:rsidRPr="007F430A">
              <w:rPr>
                <w:szCs w:val="22"/>
              </w:rPr>
              <w:t xml:space="preserve">Acknowledging some </w:t>
            </w:r>
            <w:r w:rsidR="00962BD5" w:rsidRPr="007F430A">
              <w:rPr>
                <w:szCs w:val="22"/>
              </w:rPr>
              <w:t xml:space="preserve">of the targets </w:t>
            </w:r>
            <w:r w:rsidRPr="007F430A">
              <w:rPr>
                <w:szCs w:val="22"/>
              </w:rPr>
              <w:t>are</w:t>
            </w:r>
            <w:r w:rsidR="00962BD5" w:rsidRPr="007F430A">
              <w:rPr>
                <w:szCs w:val="22"/>
              </w:rPr>
              <w:t xml:space="preserve"> ambitious</w:t>
            </w:r>
            <w:r w:rsidRPr="007F430A">
              <w:rPr>
                <w:szCs w:val="22"/>
              </w:rPr>
              <w:t>,</w:t>
            </w:r>
            <w:r w:rsidR="00962BD5" w:rsidRPr="007F430A">
              <w:rPr>
                <w:szCs w:val="22"/>
              </w:rPr>
              <w:t xml:space="preserve"> such as EITI legislation</w:t>
            </w:r>
            <w:r w:rsidRPr="007F430A">
              <w:rPr>
                <w:szCs w:val="22"/>
              </w:rPr>
              <w:t>,</w:t>
            </w:r>
            <w:r w:rsidR="00962BD5" w:rsidRPr="007F430A">
              <w:rPr>
                <w:szCs w:val="22"/>
              </w:rPr>
              <w:t xml:space="preserve"> the Steering Committee looked at intermediate outcomes</w:t>
            </w:r>
            <w:r w:rsidR="00132D0F" w:rsidRPr="007F430A">
              <w:rPr>
                <w:szCs w:val="22"/>
              </w:rPr>
              <w:t xml:space="preserve"> and step changes that would influence these targets whether</w:t>
            </w:r>
            <w:r w:rsidR="00962BD5" w:rsidRPr="007F430A">
              <w:rPr>
                <w:szCs w:val="22"/>
              </w:rPr>
              <w:t xml:space="preserve"> policy briefs</w:t>
            </w:r>
            <w:r w:rsidR="001E6900" w:rsidRPr="007F430A">
              <w:rPr>
                <w:szCs w:val="22"/>
              </w:rPr>
              <w:t>, outreach</w:t>
            </w:r>
            <w:r w:rsidR="00962BD5" w:rsidRPr="007F430A">
              <w:rPr>
                <w:szCs w:val="22"/>
              </w:rPr>
              <w:t xml:space="preserve"> </w:t>
            </w:r>
            <w:r w:rsidR="00132D0F" w:rsidRPr="007F430A">
              <w:rPr>
                <w:szCs w:val="22"/>
              </w:rPr>
              <w:t>or gap analysis reports.</w:t>
            </w:r>
          </w:p>
          <w:p w14:paraId="2FF5C19E" w14:textId="2E1295FC" w:rsidR="004C30D1" w:rsidRPr="007F430A" w:rsidRDefault="004C30D1" w:rsidP="004C30D1">
            <w:pPr>
              <w:pStyle w:val="Normal1"/>
              <w:rPr>
                <w:rFonts w:ascii="Franklin Gothic Book" w:hAnsi="Franklin Gothic Book"/>
              </w:rPr>
            </w:pPr>
            <w:r w:rsidRPr="007F430A">
              <w:rPr>
                <w:rFonts w:ascii="Franklin Gothic Book" w:hAnsi="Franklin Gothic Book"/>
              </w:rPr>
              <w:t>The committee also developed a vision and mission for EITI implementation (see b</w:t>
            </w:r>
            <w:r w:rsidR="003336BC" w:rsidRPr="007F430A">
              <w:rPr>
                <w:rFonts w:ascii="Franklin Gothic Book" w:hAnsi="Franklin Gothic Book"/>
              </w:rPr>
              <w:t>elow)</w:t>
            </w:r>
          </w:p>
          <w:p w14:paraId="0C3BE7BA" w14:textId="24CEEF22" w:rsidR="004C30D1" w:rsidRPr="007F430A" w:rsidRDefault="004C30D1" w:rsidP="004C30D1">
            <w:pPr>
              <w:pStyle w:val="Normal1"/>
              <w:rPr>
                <w:rFonts w:ascii="Franklin Gothic Book" w:hAnsi="Franklin Gothic Book"/>
              </w:rPr>
            </w:pPr>
            <w:r w:rsidRPr="007F430A">
              <w:rPr>
                <w:rFonts w:ascii="Franklin Gothic Book" w:hAnsi="Franklin Gothic Book"/>
              </w:rPr>
              <w:t>Vision:  Trinidad and Tobago’s extractive resources are effectively managed to benefit all citizens and preserve the environment.</w:t>
            </w:r>
          </w:p>
          <w:p w14:paraId="2D033A98" w14:textId="31B8BF59" w:rsidR="004C30D1" w:rsidRPr="007F430A" w:rsidRDefault="004C30D1" w:rsidP="004C30D1">
            <w:pPr>
              <w:pStyle w:val="Normal1"/>
              <w:rPr>
                <w:rFonts w:ascii="Franklin Gothic Book" w:hAnsi="Franklin Gothic Book"/>
              </w:rPr>
            </w:pPr>
            <w:r w:rsidRPr="007F430A">
              <w:rPr>
                <w:rFonts w:ascii="Franklin Gothic Book" w:hAnsi="Franklin Gothic Book"/>
              </w:rPr>
              <w:t>Mission: To promote greater transparency and more effective management of extractive sector resources by empowering citizens with relevant information</w:t>
            </w:r>
          </w:p>
          <w:p w14:paraId="2B51F044" w14:textId="77777777" w:rsidR="00C6608B" w:rsidRPr="007F430A" w:rsidRDefault="00C6608B" w:rsidP="002644D9">
            <w:pPr>
              <w:rPr>
                <w:szCs w:val="22"/>
              </w:rPr>
            </w:pPr>
          </w:p>
        </w:tc>
      </w:tr>
    </w:tbl>
    <w:p w14:paraId="6E6AE4B6" w14:textId="77777777" w:rsidR="00C6608B" w:rsidRPr="007F430A" w:rsidRDefault="00C6608B" w:rsidP="00C6608B">
      <w:pPr>
        <w:rPr>
          <w:szCs w:val="22"/>
        </w:rPr>
      </w:pPr>
    </w:p>
    <w:p w14:paraId="15D5039F" w14:textId="77777777" w:rsidR="00C6608B" w:rsidRPr="007F430A" w:rsidRDefault="00C6608B" w:rsidP="00C6608B">
      <w:pPr>
        <w:pStyle w:val="Heading2"/>
        <w:rPr>
          <w:sz w:val="22"/>
          <w:szCs w:val="22"/>
        </w:rPr>
      </w:pPr>
      <w:bookmarkStart w:id="3" w:name="_Toc57973527"/>
      <w:r w:rsidRPr="007F430A">
        <w:rPr>
          <w:sz w:val="22"/>
          <w:szCs w:val="22"/>
        </w:rPr>
        <w:lastRenderedPageBreak/>
        <w:t>Monitoring progress</w:t>
      </w:r>
      <w:bookmarkEnd w:id="3"/>
    </w:p>
    <w:p w14:paraId="27F8A030" w14:textId="77777777" w:rsidR="00C6608B" w:rsidRPr="007F430A" w:rsidRDefault="00C6608B" w:rsidP="00C6608B">
      <w:pPr>
        <w:rPr>
          <w:szCs w:val="22"/>
        </w:rPr>
      </w:pPr>
      <w:r w:rsidRPr="0022643A">
        <w:rPr>
          <w:b/>
          <w:bCs/>
          <w:szCs w:val="22"/>
        </w:rPr>
        <w:t xml:space="preserve">4. </w:t>
      </w:r>
      <w:r w:rsidRPr="007F430A">
        <w:rPr>
          <w:b/>
          <w:bCs/>
          <w:szCs w:val="22"/>
        </w:rPr>
        <w:t>Provide an overview of activities undertaken in the period under review and progress in achieving the objectives of the previous work plan</w:t>
      </w:r>
      <w:r w:rsidRPr="007F430A">
        <w:rPr>
          <w:szCs w:val="22"/>
        </w:rPr>
        <w:t xml:space="preserve">. The MSG is encouraged to provide a summary here and to document progress in more detail in the work plan itself.  </w:t>
      </w:r>
    </w:p>
    <w:tbl>
      <w:tblPr>
        <w:tblStyle w:val="TableGrid"/>
        <w:tblW w:w="0" w:type="auto"/>
        <w:tblLook w:val="04A0" w:firstRow="1" w:lastRow="0" w:firstColumn="1" w:lastColumn="0" w:noHBand="0" w:noVBand="1"/>
      </w:tblPr>
      <w:tblGrid>
        <w:gridCol w:w="9062"/>
      </w:tblGrid>
      <w:tr w:rsidR="00C6608B" w:rsidRPr="007F430A" w14:paraId="146DE918" w14:textId="77777777" w:rsidTr="002644D9">
        <w:tc>
          <w:tcPr>
            <w:tcW w:w="9062" w:type="dxa"/>
          </w:tcPr>
          <w:p w14:paraId="388594ED" w14:textId="487501CC" w:rsidR="00C6608B" w:rsidRPr="007F430A" w:rsidRDefault="00CB6A05" w:rsidP="002644D9">
            <w:pPr>
              <w:rPr>
                <w:szCs w:val="22"/>
              </w:rPr>
            </w:pPr>
            <w:r w:rsidRPr="007F430A">
              <w:rPr>
                <w:szCs w:val="22"/>
              </w:rPr>
              <w:t>The</w:t>
            </w:r>
            <w:r w:rsidR="00B261C6" w:rsidRPr="007F430A">
              <w:rPr>
                <w:szCs w:val="22"/>
              </w:rPr>
              <w:t xml:space="preserve"> TTEITI Steering committee undertook an analysis of the previous workplan for 2019-2020 to inform the current workplan and an analysis and summary of the progress of both the current and previous work plan is attached</w:t>
            </w:r>
            <w:r w:rsidR="00A77791">
              <w:rPr>
                <w:szCs w:val="22"/>
              </w:rPr>
              <w:t xml:space="preserve"> and the TTEITI progress report can be accessed at the following link. </w:t>
            </w:r>
            <w:hyperlink r:id="rId16" w:history="1">
              <w:r w:rsidR="00A77791">
                <w:rPr>
                  <w:rStyle w:val="Hyperlink"/>
                </w:rPr>
                <w:t>About — TTEITI</w:t>
              </w:r>
            </w:hyperlink>
            <w:r w:rsidR="00B261C6" w:rsidRPr="007F430A">
              <w:rPr>
                <w:szCs w:val="22"/>
              </w:rPr>
              <w:t xml:space="preserve">. </w:t>
            </w:r>
            <w:r w:rsidR="00C6608B" w:rsidRPr="007F430A">
              <w:rPr>
                <w:i/>
                <w:iCs/>
                <w:szCs w:val="22"/>
              </w:rPr>
              <w:t>[</w:t>
            </w:r>
            <w:proofErr w:type="spellStart"/>
            <w:r w:rsidR="00C6608B" w:rsidRPr="007F430A">
              <w:rPr>
                <w:i/>
                <w:iCs/>
                <w:szCs w:val="22"/>
              </w:rPr>
              <w:t>Summarise</w:t>
            </w:r>
            <w:proofErr w:type="spellEnd"/>
            <w:r w:rsidR="00C6608B" w:rsidRPr="007F430A">
              <w:rPr>
                <w:i/>
                <w:iCs/>
                <w:szCs w:val="22"/>
              </w:rPr>
              <w:t xml:space="preserve"> progress in implementing the previous work plan. Provide a link to the previous work plan with a more detailed analysis of progress in undertaking planned activities and achieving each objective or attach it to this submission.]</w:t>
            </w:r>
          </w:p>
          <w:p w14:paraId="77AF200F" w14:textId="77777777" w:rsidR="00C6608B" w:rsidRPr="007F430A" w:rsidRDefault="00C6608B" w:rsidP="002644D9">
            <w:pPr>
              <w:rPr>
                <w:szCs w:val="22"/>
              </w:rPr>
            </w:pPr>
          </w:p>
        </w:tc>
      </w:tr>
    </w:tbl>
    <w:p w14:paraId="57940B1E" w14:textId="77777777" w:rsidR="00C6608B" w:rsidRPr="007F430A" w:rsidRDefault="00C6608B" w:rsidP="00C6608B">
      <w:pPr>
        <w:rPr>
          <w:szCs w:val="22"/>
        </w:rPr>
      </w:pPr>
    </w:p>
    <w:p w14:paraId="657B7016" w14:textId="77777777" w:rsidR="00C6608B" w:rsidRPr="007F430A" w:rsidRDefault="00C6608B" w:rsidP="00C6608B">
      <w:pPr>
        <w:rPr>
          <w:b/>
          <w:bCs/>
          <w:szCs w:val="22"/>
        </w:rPr>
      </w:pPr>
      <w:r w:rsidRPr="007F430A">
        <w:rPr>
          <w:b/>
          <w:bCs/>
          <w:szCs w:val="22"/>
        </w:rPr>
        <w:t xml:space="preserve">5. Provide an overview of the multi-stakeholder group’s responses to and progress made in addressing the recommendations from EITI reporting and Validation and gaps in information in accordance with Requirement 7.3. </w:t>
      </w:r>
    </w:p>
    <w:p w14:paraId="4B87F54D" w14:textId="77777777" w:rsidR="00C6608B" w:rsidRPr="007F430A" w:rsidRDefault="00C6608B" w:rsidP="00C6608B">
      <w:pPr>
        <w:rPr>
          <w:szCs w:val="22"/>
        </w:rPr>
      </w:pPr>
      <w:r w:rsidRPr="007F430A">
        <w:rPr>
          <w:szCs w:val="22"/>
        </w:rPr>
        <w:t>The multi-stakeholder group is required to list each recommendation and the corresponding activities that have been undertaken to address the recommendations and the level of progress in implementing each recommendation. Where the government or the multi-stakeholder group has decided not to implement a recommendation, it is required that the multi-stakeholder group documents the rationale.</w:t>
      </w:r>
    </w:p>
    <w:p w14:paraId="39DA67BC" w14:textId="77777777" w:rsidR="00C6608B" w:rsidRPr="007F430A" w:rsidRDefault="00C6608B" w:rsidP="00C6608B">
      <w:pPr>
        <w:rPr>
          <w:szCs w:val="22"/>
        </w:rPr>
      </w:pPr>
    </w:p>
    <w:tbl>
      <w:tblPr>
        <w:tblW w:w="9639" w:type="dxa"/>
        <w:tblInd w:w="108" w:type="dxa"/>
        <w:tblBorders>
          <w:insideH w:val="single" w:sz="4" w:space="0" w:color="auto"/>
          <w:insideV w:val="single" w:sz="4" w:space="0" w:color="auto"/>
        </w:tblBorders>
        <w:tblLook w:val="04A0" w:firstRow="1" w:lastRow="0" w:firstColumn="1" w:lastColumn="0" w:noHBand="0" w:noVBand="1"/>
      </w:tblPr>
      <w:tblGrid>
        <w:gridCol w:w="3686"/>
        <w:gridCol w:w="5953"/>
      </w:tblGrid>
      <w:tr w:rsidR="00C6608B" w:rsidRPr="007F430A" w14:paraId="6E43EB91" w14:textId="77777777" w:rsidTr="002644D9">
        <w:trPr>
          <w:trHeight w:val="318"/>
        </w:trPr>
        <w:tc>
          <w:tcPr>
            <w:tcW w:w="3686" w:type="dxa"/>
            <w:hideMark/>
          </w:tcPr>
          <w:p w14:paraId="0ACA6C32" w14:textId="77777777" w:rsidR="00C6608B" w:rsidRPr="007F430A" w:rsidRDefault="00C6608B" w:rsidP="002644D9">
            <w:pPr>
              <w:spacing w:after="0"/>
              <w:contextualSpacing/>
              <w:rPr>
                <w:rFonts w:cs="Times New Roman"/>
                <w:szCs w:val="22"/>
              </w:rPr>
            </w:pPr>
            <w:r w:rsidRPr="007F430A">
              <w:rPr>
                <w:rFonts w:cs="Calibri"/>
                <w:b/>
                <w:szCs w:val="22"/>
              </w:rPr>
              <w:t>Recommendation:</w:t>
            </w:r>
          </w:p>
        </w:tc>
        <w:tc>
          <w:tcPr>
            <w:tcW w:w="5953" w:type="dxa"/>
            <w:hideMark/>
          </w:tcPr>
          <w:p w14:paraId="12A565ED" w14:textId="77777777" w:rsidR="00C6608B" w:rsidRPr="007F430A" w:rsidRDefault="00C6608B" w:rsidP="002644D9">
            <w:pPr>
              <w:spacing w:after="0"/>
              <w:contextualSpacing/>
              <w:rPr>
                <w:szCs w:val="22"/>
              </w:rPr>
            </w:pPr>
            <w:r w:rsidRPr="007F430A">
              <w:rPr>
                <w:rFonts w:cs="Calibri"/>
                <w:b/>
                <w:szCs w:val="22"/>
              </w:rPr>
              <w:t>Status/progress:</w:t>
            </w:r>
          </w:p>
        </w:tc>
      </w:tr>
      <w:tr w:rsidR="00C6608B" w:rsidRPr="007F430A" w14:paraId="244EE653" w14:textId="77777777" w:rsidTr="002644D9">
        <w:trPr>
          <w:trHeight w:val="318"/>
        </w:trPr>
        <w:tc>
          <w:tcPr>
            <w:tcW w:w="3686" w:type="dxa"/>
          </w:tcPr>
          <w:p w14:paraId="3EB11BE7" w14:textId="77777777" w:rsidR="00C6608B" w:rsidRPr="007F430A" w:rsidRDefault="00C6608B" w:rsidP="002644D9">
            <w:pPr>
              <w:spacing w:after="0"/>
              <w:contextualSpacing/>
              <w:rPr>
                <w:rFonts w:cs="Calibri"/>
                <w:szCs w:val="22"/>
              </w:rPr>
            </w:pPr>
          </w:p>
        </w:tc>
        <w:tc>
          <w:tcPr>
            <w:tcW w:w="5953" w:type="dxa"/>
          </w:tcPr>
          <w:p w14:paraId="2B883B12" w14:textId="77777777" w:rsidR="00C6608B" w:rsidRPr="007F430A" w:rsidRDefault="00C6608B" w:rsidP="002644D9">
            <w:pPr>
              <w:spacing w:after="0"/>
              <w:contextualSpacing/>
              <w:rPr>
                <w:rFonts w:cs="Calibri"/>
                <w:i/>
                <w:iCs/>
                <w:szCs w:val="22"/>
              </w:rPr>
            </w:pPr>
            <w:r w:rsidRPr="007F430A">
              <w:rPr>
                <w:rFonts w:cs="Calibri"/>
                <w:i/>
                <w:iCs/>
                <w:szCs w:val="22"/>
              </w:rPr>
              <w:t>[Has the recommendation been partly or fully addressed? How is the MSG following up on the recommendation? Has the MSG identified an agency or actor responsible for addressing the recommendation? If the MSG has decided not to implement the recommendation, please document the rationale.]</w:t>
            </w:r>
          </w:p>
        </w:tc>
      </w:tr>
      <w:tr w:rsidR="00C6608B" w:rsidRPr="007F430A" w14:paraId="5E4AE385" w14:textId="77777777" w:rsidTr="002644D9">
        <w:trPr>
          <w:trHeight w:val="318"/>
        </w:trPr>
        <w:tc>
          <w:tcPr>
            <w:tcW w:w="3686" w:type="dxa"/>
          </w:tcPr>
          <w:p w14:paraId="01E6CE41" w14:textId="550C41BB" w:rsidR="00C6608B" w:rsidRPr="007F430A" w:rsidRDefault="00DF30CD" w:rsidP="002644D9">
            <w:pPr>
              <w:spacing w:after="0"/>
              <w:contextualSpacing/>
              <w:rPr>
                <w:rFonts w:cs="Calibri"/>
                <w:szCs w:val="22"/>
              </w:rPr>
            </w:pPr>
            <w:r w:rsidRPr="007F430A">
              <w:rPr>
                <w:rFonts w:cs="Calibri"/>
                <w:szCs w:val="22"/>
              </w:rPr>
              <w:t>Barriers to transparenc</w:t>
            </w:r>
            <w:r w:rsidR="00592ACB" w:rsidRPr="007F430A">
              <w:rPr>
                <w:rFonts w:cs="Calibri"/>
                <w:szCs w:val="22"/>
              </w:rPr>
              <w:t xml:space="preserve">y </w:t>
            </w:r>
          </w:p>
        </w:tc>
        <w:tc>
          <w:tcPr>
            <w:tcW w:w="5953" w:type="dxa"/>
          </w:tcPr>
          <w:p w14:paraId="0E834DC3" w14:textId="0A06C8A8" w:rsidR="00C6608B" w:rsidRPr="007F430A" w:rsidRDefault="00592ACB" w:rsidP="002644D9">
            <w:pPr>
              <w:spacing w:after="0"/>
              <w:contextualSpacing/>
              <w:rPr>
                <w:rFonts w:cs="Calibri"/>
                <w:szCs w:val="22"/>
              </w:rPr>
            </w:pPr>
            <w:r w:rsidRPr="007F430A">
              <w:rPr>
                <w:rFonts w:cs="Calibri"/>
                <w:szCs w:val="22"/>
              </w:rPr>
              <w:t>The Recommendation has been partly addressed as the MSG identified</w:t>
            </w:r>
            <w:r w:rsidR="0092711C" w:rsidRPr="007F430A">
              <w:rPr>
                <w:rFonts w:cs="Calibri"/>
                <w:szCs w:val="22"/>
              </w:rPr>
              <w:t xml:space="preserve"> barriers including Income Tax Act </w:t>
            </w:r>
            <w:r w:rsidR="00F20B33" w:rsidRPr="007F430A">
              <w:rPr>
                <w:rFonts w:cs="Calibri"/>
                <w:szCs w:val="22"/>
              </w:rPr>
              <w:t xml:space="preserve">disclosure </w:t>
            </w:r>
            <w:r w:rsidR="0092711C" w:rsidRPr="007F430A">
              <w:rPr>
                <w:rFonts w:cs="Calibri"/>
                <w:szCs w:val="22"/>
              </w:rPr>
              <w:t>restrictions and confirmed its approach to treat with the barriers</w:t>
            </w:r>
            <w:r w:rsidR="00762D06" w:rsidRPr="007F430A">
              <w:rPr>
                <w:rFonts w:cs="Calibri"/>
                <w:szCs w:val="22"/>
              </w:rPr>
              <w:t>. These approaches include</w:t>
            </w:r>
            <w:r w:rsidR="0092711C" w:rsidRPr="007F430A">
              <w:rPr>
                <w:rFonts w:cs="Calibri"/>
                <w:szCs w:val="22"/>
              </w:rPr>
              <w:t xml:space="preserve"> promoting EITI legislation, including EITI clauses in contracts and </w:t>
            </w:r>
            <w:r w:rsidR="00762D06" w:rsidRPr="007F430A">
              <w:rPr>
                <w:rFonts w:cs="Calibri"/>
                <w:szCs w:val="22"/>
              </w:rPr>
              <w:t>drafting</w:t>
            </w:r>
            <w:r w:rsidR="0092711C" w:rsidRPr="007F430A">
              <w:rPr>
                <w:rFonts w:cs="Calibri"/>
                <w:szCs w:val="22"/>
              </w:rPr>
              <w:t xml:space="preserve"> amendments to the Petroleum Act. </w:t>
            </w:r>
            <w:r w:rsidR="00A12F28" w:rsidRPr="007F430A">
              <w:rPr>
                <w:rFonts w:cs="Calibri"/>
                <w:szCs w:val="22"/>
              </w:rPr>
              <w:t>The MSG has followed up on the recommendations by drafting p</w:t>
            </w:r>
            <w:r w:rsidR="00A77791">
              <w:rPr>
                <w:rFonts w:cs="Calibri"/>
                <w:szCs w:val="22"/>
              </w:rPr>
              <w:t>olicy briefs</w:t>
            </w:r>
            <w:r w:rsidR="00A12F28" w:rsidRPr="007F430A">
              <w:rPr>
                <w:rFonts w:cs="Calibri"/>
                <w:szCs w:val="22"/>
              </w:rPr>
              <w:t xml:space="preserve"> and engaging the Minister of Energy</w:t>
            </w:r>
            <w:r w:rsidR="00762D06" w:rsidRPr="007F430A">
              <w:rPr>
                <w:rFonts w:cs="Calibri"/>
                <w:szCs w:val="22"/>
              </w:rPr>
              <w:t xml:space="preserve"> in January 2022</w:t>
            </w:r>
            <w:r w:rsidR="00A12F28" w:rsidRPr="007F430A">
              <w:rPr>
                <w:rFonts w:cs="Calibri"/>
                <w:szCs w:val="22"/>
              </w:rPr>
              <w:t xml:space="preserve"> to promote EITI legislation. It is to be noted that the MSG is still awaiting word from the Ministry of Energy on including EITI clauses in new oil and gas and mining </w:t>
            </w:r>
            <w:proofErr w:type="spellStart"/>
            <w:r w:rsidR="00A12F28" w:rsidRPr="007F430A">
              <w:rPr>
                <w:rFonts w:cs="Calibri"/>
                <w:szCs w:val="22"/>
              </w:rPr>
              <w:t>licences</w:t>
            </w:r>
            <w:proofErr w:type="spellEnd"/>
            <w:r w:rsidR="00A12F28" w:rsidRPr="007F430A">
              <w:rPr>
                <w:rFonts w:cs="Calibri"/>
                <w:szCs w:val="22"/>
              </w:rPr>
              <w:t xml:space="preserve"> as well as for the Minister of Energy </w:t>
            </w:r>
            <w:r w:rsidR="00762D06" w:rsidRPr="007F430A">
              <w:rPr>
                <w:rFonts w:cs="Calibri"/>
                <w:szCs w:val="22"/>
              </w:rPr>
              <w:t xml:space="preserve">on </w:t>
            </w:r>
            <w:r w:rsidR="00A12F28" w:rsidRPr="007F430A">
              <w:rPr>
                <w:rFonts w:cs="Calibri"/>
                <w:szCs w:val="22"/>
              </w:rPr>
              <w:t>bring</w:t>
            </w:r>
            <w:r w:rsidR="00762D06" w:rsidRPr="007F430A">
              <w:rPr>
                <w:rFonts w:cs="Calibri"/>
                <w:szCs w:val="22"/>
              </w:rPr>
              <w:t>ing</w:t>
            </w:r>
            <w:r w:rsidR="00A12F28" w:rsidRPr="007F430A">
              <w:rPr>
                <w:rFonts w:cs="Calibri"/>
                <w:szCs w:val="22"/>
              </w:rPr>
              <w:t xml:space="preserve"> EITI legislation to Cabinet.</w:t>
            </w:r>
            <w:r w:rsidR="0092711C" w:rsidRPr="007F430A">
              <w:rPr>
                <w:rFonts w:cs="Calibri"/>
                <w:szCs w:val="22"/>
              </w:rPr>
              <w:t xml:space="preserve"> </w:t>
            </w:r>
          </w:p>
        </w:tc>
      </w:tr>
      <w:tr w:rsidR="00C6608B" w:rsidRPr="007F430A" w14:paraId="6DD775BF" w14:textId="77777777" w:rsidTr="002644D9">
        <w:trPr>
          <w:trHeight w:val="318"/>
        </w:trPr>
        <w:tc>
          <w:tcPr>
            <w:tcW w:w="3686" w:type="dxa"/>
          </w:tcPr>
          <w:p w14:paraId="7A074034" w14:textId="77777777" w:rsidR="00C6608B" w:rsidRPr="007F430A" w:rsidRDefault="00C6608B" w:rsidP="002644D9">
            <w:pPr>
              <w:spacing w:after="0"/>
              <w:contextualSpacing/>
              <w:rPr>
                <w:rFonts w:cs="Calibri"/>
                <w:szCs w:val="22"/>
              </w:rPr>
            </w:pPr>
          </w:p>
        </w:tc>
        <w:tc>
          <w:tcPr>
            <w:tcW w:w="5953" w:type="dxa"/>
          </w:tcPr>
          <w:p w14:paraId="0336F166" w14:textId="77777777" w:rsidR="00C6608B" w:rsidRPr="007F430A" w:rsidRDefault="00C6608B" w:rsidP="002644D9">
            <w:pPr>
              <w:spacing w:after="0"/>
              <w:contextualSpacing/>
              <w:rPr>
                <w:rFonts w:cs="Calibri"/>
                <w:szCs w:val="22"/>
              </w:rPr>
            </w:pPr>
          </w:p>
        </w:tc>
      </w:tr>
      <w:tr w:rsidR="00C6608B" w:rsidRPr="007F430A" w14:paraId="36AFCDF8" w14:textId="77777777" w:rsidTr="002644D9">
        <w:trPr>
          <w:trHeight w:val="318"/>
        </w:trPr>
        <w:tc>
          <w:tcPr>
            <w:tcW w:w="3686" w:type="dxa"/>
          </w:tcPr>
          <w:p w14:paraId="7DCD1A38" w14:textId="394006D7" w:rsidR="00C6608B" w:rsidRPr="007F430A" w:rsidRDefault="00762D06" w:rsidP="002644D9">
            <w:pPr>
              <w:spacing w:after="0"/>
              <w:contextualSpacing/>
              <w:rPr>
                <w:rFonts w:cs="Calibri"/>
                <w:szCs w:val="22"/>
              </w:rPr>
            </w:pPr>
            <w:r w:rsidRPr="007F430A">
              <w:rPr>
                <w:rFonts w:cs="Calibri"/>
                <w:szCs w:val="22"/>
              </w:rPr>
              <w:lastRenderedPageBreak/>
              <w:t xml:space="preserve">Assurance </w:t>
            </w:r>
            <w:r w:rsidR="00456C9F" w:rsidRPr="007F430A">
              <w:rPr>
                <w:rFonts w:cs="Calibri"/>
                <w:szCs w:val="22"/>
              </w:rPr>
              <w:t xml:space="preserve">Environment in Government Reporting </w:t>
            </w:r>
          </w:p>
        </w:tc>
        <w:tc>
          <w:tcPr>
            <w:tcW w:w="5953" w:type="dxa"/>
          </w:tcPr>
          <w:p w14:paraId="6DD6DD50" w14:textId="4D0D6A16" w:rsidR="009D011E" w:rsidRPr="007F430A" w:rsidRDefault="00456C9F" w:rsidP="009D011E">
            <w:pPr>
              <w:contextualSpacing/>
              <w:jc w:val="both"/>
              <w:rPr>
                <w:rFonts w:cs="Times New Roman"/>
                <w:szCs w:val="22"/>
              </w:rPr>
            </w:pPr>
            <w:r w:rsidRPr="007F430A">
              <w:rPr>
                <w:rFonts w:cs="Calibri"/>
                <w:szCs w:val="22"/>
              </w:rPr>
              <w:t>The recommendation has been partly addressed</w:t>
            </w:r>
            <w:r w:rsidR="009563CD" w:rsidRPr="007F430A">
              <w:rPr>
                <w:rFonts w:cs="Calibri"/>
                <w:szCs w:val="22"/>
              </w:rPr>
              <w:t xml:space="preserve">. </w:t>
            </w:r>
            <w:r w:rsidR="00FC707C" w:rsidRPr="007F430A">
              <w:rPr>
                <w:rFonts w:cs="Calibri"/>
                <w:szCs w:val="22"/>
              </w:rPr>
              <w:t xml:space="preserve">The MSG underscored the need for legislative changes and the Government </w:t>
            </w:r>
            <w:r w:rsidR="00961F89" w:rsidRPr="007F430A">
              <w:rPr>
                <w:rFonts w:cs="Calibri"/>
                <w:szCs w:val="22"/>
              </w:rPr>
              <w:t xml:space="preserve">tabled the Trinidad and Tobago Revenue Authority </w:t>
            </w:r>
            <w:r w:rsidR="009D011E" w:rsidRPr="007F430A">
              <w:rPr>
                <w:rFonts w:cs="Calibri"/>
                <w:szCs w:val="22"/>
              </w:rPr>
              <w:t xml:space="preserve">(TTRA) </w:t>
            </w:r>
            <w:r w:rsidR="00961F89" w:rsidRPr="007F430A">
              <w:rPr>
                <w:rFonts w:cs="Calibri"/>
                <w:szCs w:val="22"/>
              </w:rPr>
              <w:t>Bill</w:t>
            </w:r>
            <w:r w:rsidR="00F411CC" w:rsidRPr="007F430A">
              <w:rPr>
                <w:rFonts w:cs="Calibri"/>
                <w:szCs w:val="22"/>
              </w:rPr>
              <w:t>.</w:t>
            </w:r>
            <w:r w:rsidR="009D011E" w:rsidRPr="007F430A">
              <w:rPr>
                <w:rFonts w:cs="Calibri"/>
                <w:szCs w:val="22"/>
              </w:rPr>
              <w:t xml:space="preserve"> </w:t>
            </w:r>
            <w:r w:rsidR="009D011E" w:rsidRPr="007F430A">
              <w:rPr>
                <w:rFonts w:cs="Times New Roman"/>
                <w:szCs w:val="22"/>
              </w:rPr>
              <w:t xml:space="preserve">The Bill seeks to establish a TTRA, which will replace the Inland Revenue Division of the Ministry of Finance (also referred to as the Board of Inland Revenue/BIR) and replace the Customs and Excise Division. The Bill establishes the Authority as a separate legal entity with the responsibility of </w:t>
            </w:r>
            <w:r w:rsidR="009D011E" w:rsidRPr="007F430A">
              <w:rPr>
                <w:rFonts w:cs="Times New Roman"/>
                <w:color w:val="000000"/>
                <w:szCs w:val="22"/>
              </w:rPr>
              <w:t>assess</w:t>
            </w:r>
            <w:r w:rsidR="009D011E" w:rsidRPr="007F430A">
              <w:rPr>
                <w:rFonts w:cs="Times New Roman"/>
                <w:szCs w:val="22"/>
              </w:rPr>
              <w:t>ing</w:t>
            </w:r>
            <w:r w:rsidR="009D011E" w:rsidRPr="007F430A">
              <w:rPr>
                <w:rFonts w:cs="Times New Roman"/>
                <w:color w:val="000000"/>
                <w:szCs w:val="22"/>
              </w:rPr>
              <w:t>, collectin</w:t>
            </w:r>
            <w:r w:rsidR="009D011E" w:rsidRPr="007F430A">
              <w:rPr>
                <w:rFonts w:cs="Times New Roman"/>
                <w:szCs w:val="22"/>
              </w:rPr>
              <w:t>g, administering</w:t>
            </w:r>
            <w:r w:rsidR="009D011E" w:rsidRPr="007F430A">
              <w:rPr>
                <w:rFonts w:cs="Times New Roman"/>
                <w:color w:val="000000"/>
                <w:szCs w:val="22"/>
              </w:rPr>
              <w:t xml:space="preserve"> and enforc</w:t>
            </w:r>
            <w:r w:rsidR="009D011E" w:rsidRPr="007F430A">
              <w:rPr>
                <w:rFonts w:cs="Times New Roman"/>
                <w:szCs w:val="22"/>
              </w:rPr>
              <w:t>ing</w:t>
            </w:r>
            <w:r w:rsidR="009D011E" w:rsidRPr="007F430A">
              <w:rPr>
                <w:rFonts w:cs="Times New Roman"/>
                <w:color w:val="000000"/>
                <w:szCs w:val="22"/>
              </w:rPr>
              <w:t xml:space="preserve"> of revenue laws, </w:t>
            </w:r>
            <w:r w:rsidR="009D011E" w:rsidRPr="007F430A">
              <w:rPr>
                <w:rFonts w:cs="Times New Roman"/>
                <w:szCs w:val="22"/>
              </w:rPr>
              <w:t>border control and providing</w:t>
            </w:r>
            <w:r w:rsidR="009D011E" w:rsidRPr="007F430A">
              <w:rPr>
                <w:rFonts w:cs="Times New Roman"/>
                <w:color w:val="000000"/>
                <w:szCs w:val="22"/>
              </w:rPr>
              <w:t xml:space="preserve"> revenue collection services to statutory and other public bodies.</w:t>
            </w:r>
          </w:p>
          <w:p w14:paraId="4F624E8F" w14:textId="190CFF1B" w:rsidR="00C6608B" w:rsidRPr="007F430A" w:rsidRDefault="009D011E" w:rsidP="009D011E">
            <w:pPr>
              <w:spacing w:after="0"/>
              <w:contextualSpacing/>
              <w:rPr>
                <w:rFonts w:cs="Calibri"/>
                <w:szCs w:val="22"/>
              </w:rPr>
            </w:pPr>
            <w:r w:rsidRPr="007F430A">
              <w:rPr>
                <w:rFonts w:cs="Times New Roman"/>
                <w:szCs w:val="22"/>
              </w:rPr>
              <w:t>The Bill allows for an annual audit by the Auditor General (AG). The AG will also 1) have access to all books and records 2) conduct a comprehensive audit of all the activities of the TTRA and 3) inform the Minister of Finance of any irregularities. The AG’s Report on the TTRA will also be laid in Parliament annually. The TTEITI Steering Committee welcomes these provisions because it has always been a strong advocate for absolving the Auditor General from Income Tax Act confidentiality provisions that precludes his</w:t>
            </w:r>
            <w:r w:rsidR="004E1B7D">
              <w:rPr>
                <w:rFonts w:cs="Times New Roman"/>
                <w:szCs w:val="22"/>
              </w:rPr>
              <w:t>/her</w:t>
            </w:r>
            <w:r w:rsidRPr="007F430A">
              <w:rPr>
                <w:rFonts w:cs="Times New Roman"/>
                <w:szCs w:val="22"/>
              </w:rPr>
              <w:t xml:space="preserve"> access to the BIR</w:t>
            </w:r>
            <w:r w:rsidR="004E1B7D">
              <w:rPr>
                <w:rFonts w:cs="Times New Roman"/>
                <w:szCs w:val="22"/>
              </w:rPr>
              <w:t>’</w:t>
            </w:r>
            <w:r w:rsidRPr="007F430A">
              <w:rPr>
                <w:rFonts w:cs="Times New Roman"/>
                <w:szCs w:val="22"/>
              </w:rPr>
              <w:t>s records.</w:t>
            </w:r>
            <w:r w:rsidRPr="0022643A">
              <w:rPr>
                <w:rFonts w:cs="Times New Roman"/>
                <w:szCs w:val="22"/>
              </w:rPr>
              <w:t xml:space="preserve"> The steering committee will </w:t>
            </w:r>
            <w:proofErr w:type="gramStart"/>
            <w:r w:rsidRPr="0022643A">
              <w:rPr>
                <w:rFonts w:cs="Times New Roman"/>
                <w:szCs w:val="22"/>
              </w:rPr>
              <w:t>send  official</w:t>
            </w:r>
            <w:proofErr w:type="gramEnd"/>
            <w:r w:rsidRPr="0022643A">
              <w:rPr>
                <w:rFonts w:cs="Times New Roman"/>
                <w:szCs w:val="22"/>
              </w:rPr>
              <w:t xml:space="preserve"> correspondence to the Authority’s leadership once they are app</w:t>
            </w:r>
            <w:r w:rsidRPr="007F430A">
              <w:rPr>
                <w:rFonts w:cs="Times New Roman"/>
                <w:szCs w:val="22"/>
              </w:rPr>
              <w:t>ointed.</w:t>
            </w:r>
          </w:p>
          <w:p w14:paraId="2A5F485E" w14:textId="77777777" w:rsidR="00961F89" w:rsidRPr="0022643A" w:rsidRDefault="00F411CC" w:rsidP="002644D9">
            <w:pPr>
              <w:spacing w:after="0"/>
              <w:contextualSpacing/>
              <w:rPr>
                <w:szCs w:val="22"/>
              </w:rPr>
            </w:pPr>
            <w:r w:rsidRPr="007F430A">
              <w:rPr>
                <w:rFonts w:cs="Calibri"/>
                <w:szCs w:val="22"/>
              </w:rPr>
              <w:t>Further i</w:t>
            </w:r>
            <w:r w:rsidR="00961F89" w:rsidRPr="007F430A">
              <w:rPr>
                <w:rFonts w:cs="Calibri"/>
                <w:szCs w:val="22"/>
              </w:rPr>
              <w:t xml:space="preserve">nformation on the TTRA can be found at </w:t>
            </w:r>
            <w:hyperlink r:id="rId17" w:history="1">
              <w:r w:rsidR="00961F89" w:rsidRPr="0022643A">
                <w:rPr>
                  <w:rStyle w:val="Hyperlink"/>
                  <w:szCs w:val="22"/>
                </w:rPr>
                <w:t xml:space="preserve">Homepage - </w:t>
              </w:r>
              <w:r w:rsidR="00961F89" w:rsidRPr="007F430A">
                <w:rPr>
                  <w:rStyle w:val="Hyperlink"/>
                  <w:szCs w:val="22"/>
                </w:rPr>
                <w:t>Trinidad and Tobago Revenue Authority (ttrevenueauthority.com)</w:t>
              </w:r>
            </w:hyperlink>
          </w:p>
          <w:p w14:paraId="4816DA76" w14:textId="77777777" w:rsidR="009D011E" w:rsidRPr="007F430A" w:rsidRDefault="009D011E" w:rsidP="002644D9">
            <w:pPr>
              <w:spacing w:after="0"/>
              <w:contextualSpacing/>
              <w:rPr>
                <w:rFonts w:cs="Calibri"/>
                <w:szCs w:val="22"/>
              </w:rPr>
            </w:pPr>
          </w:p>
          <w:p w14:paraId="47F63BBE" w14:textId="77777777" w:rsidR="00C43C5C" w:rsidRPr="007F430A" w:rsidRDefault="009D011E" w:rsidP="002644D9">
            <w:pPr>
              <w:spacing w:after="0"/>
              <w:contextualSpacing/>
              <w:rPr>
                <w:rFonts w:cs="Calibri"/>
                <w:szCs w:val="22"/>
              </w:rPr>
            </w:pPr>
            <w:r w:rsidRPr="007F430A">
              <w:rPr>
                <w:rFonts w:cs="Calibri"/>
                <w:szCs w:val="22"/>
              </w:rPr>
              <w:t xml:space="preserve">As it relates to </w:t>
            </w:r>
            <w:r w:rsidR="00C43C5C" w:rsidRPr="007F430A">
              <w:rPr>
                <w:rFonts w:cs="Calibri"/>
                <w:szCs w:val="22"/>
              </w:rPr>
              <w:t xml:space="preserve">the Auditor General Department, the department now reports under INTOSAI standards and the 2019-2020 report outlines the improvements on staffing and funding. The steering committee also shared free training courses on energy sector management with the AG and her staff. </w:t>
            </w:r>
          </w:p>
          <w:p w14:paraId="6B2042DE" w14:textId="77777777" w:rsidR="00C43C5C" w:rsidRPr="007F430A" w:rsidRDefault="00C43C5C" w:rsidP="002644D9">
            <w:pPr>
              <w:spacing w:after="0"/>
              <w:contextualSpacing/>
              <w:rPr>
                <w:rFonts w:cs="Calibri"/>
                <w:szCs w:val="22"/>
              </w:rPr>
            </w:pPr>
          </w:p>
          <w:p w14:paraId="4073D499" w14:textId="670E62FA" w:rsidR="009D011E" w:rsidRPr="007F430A" w:rsidRDefault="00C43C5C" w:rsidP="002644D9">
            <w:pPr>
              <w:spacing w:after="0"/>
              <w:contextualSpacing/>
              <w:rPr>
                <w:rFonts w:cs="Calibri"/>
                <w:szCs w:val="22"/>
              </w:rPr>
            </w:pPr>
            <w:r w:rsidRPr="007F430A">
              <w:rPr>
                <w:rFonts w:cs="Calibri"/>
                <w:szCs w:val="22"/>
              </w:rPr>
              <w:t xml:space="preserve">The Ministry of Finance’s Investment Division noted that </w:t>
            </w:r>
            <w:r w:rsidR="001D3F75" w:rsidRPr="007F430A">
              <w:rPr>
                <w:rFonts w:cs="Calibri"/>
                <w:szCs w:val="22"/>
              </w:rPr>
              <w:t>there were still outstanding audits for Lake Asphalt and National Quarries Company Lim</w:t>
            </w:r>
            <w:r w:rsidR="00752028" w:rsidRPr="007F430A">
              <w:rPr>
                <w:rFonts w:cs="Calibri"/>
                <w:szCs w:val="22"/>
              </w:rPr>
              <w:t>i</w:t>
            </w:r>
            <w:r w:rsidR="001D3F75" w:rsidRPr="007F430A">
              <w:rPr>
                <w:rFonts w:cs="Calibri"/>
                <w:szCs w:val="22"/>
              </w:rPr>
              <w:t>ted.</w:t>
            </w:r>
            <w:r w:rsidRPr="007F430A">
              <w:rPr>
                <w:rFonts w:cs="Calibri"/>
                <w:szCs w:val="22"/>
              </w:rPr>
              <w:t xml:space="preserve"> </w:t>
            </w:r>
          </w:p>
        </w:tc>
      </w:tr>
      <w:tr w:rsidR="00456C9F" w:rsidRPr="007F430A" w14:paraId="093186A8" w14:textId="77777777" w:rsidTr="002644D9">
        <w:trPr>
          <w:trHeight w:val="318"/>
        </w:trPr>
        <w:tc>
          <w:tcPr>
            <w:tcW w:w="3686" w:type="dxa"/>
          </w:tcPr>
          <w:p w14:paraId="27F88BCE" w14:textId="77777777" w:rsidR="00456C9F" w:rsidRPr="007F430A" w:rsidRDefault="00456C9F" w:rsidP="002644D9">
            <w:pPr>
              <w:spacing w:after="0"/>
              <w:contextualSpacing/>
              <w:rPr>
                <w:rFonts w:cs="Calibri"/>
                <w:szCs w:val="22"/>
              </w:rPr>
            </w:pPr>
          </w:p>
        </w:tc>
        <w:tc>
          <w:tcPr>
            <w:tcW w:w="5953" w:type="dxa"/>
          </w:tcPr>
          <w:p w14:paraId="05181D87" w14:textId="77777777" w:rsidR="00456C9F" w:rsidRPr="007F430A" w:rsidRDefault="00456C9F" w:rsidP="002644D9">
            <w:pPr>
              <w:spacing w:after="0"/>
              <w:contextualSpacing/>
              <w:rPr>
                <w:rFonts w:cs="Calibri"/>
                <w:szCs w:val="22"/>
              </w:rPr>
            </w:pPr>
          </w:p>
        </w:tc>
      </w:tr>
      <w:tr w:rsidR="00456C9F" w:rsidRPr="007F430A" w14:paraId="5604123C" w14:textId="77777777" w:rsidTr="002644D9">
        <w:trPr>
          <w:trHeight w:val="318"/>
        </w:trPr>
        <w:tc>
          <w:tcPr>
            <w:tcW w:w="3686" w:type="dxa"/>
          </w:tcPr>
          <w:p w14:paraId="025AC229" w14:textId="2404E052" w:rsidR="00456C9F" w:rsidRPr="007F430A" w:rsidRDefault="001D3F75" w:rsidP="002644D9">
            <w:pPr>
              <w:spacing w:after="0"/>
              <w:contextualSpacing/>
              <w:rPr>
                <w:rFonts w:cs="Calibri"/>
                <w:i/>
                <w:szCs w:val="22"/>
              </w:rPr>
            </w:pPr>
            <w:r w:rsidRPr="007F430A">
              <w:rPr>
                <w:rFonts w:cs="Calibri"/>
                <w:i/>
                <w:szCs w:val="22"/>
              </w:rPr>
              <w:t xml:space="preserve">Inclusion of companies </w:t>
            </w:r>
          </w:p>
        </w:tc>
        <w:tc>
          <w:tcPr>
            <w:tcW w:w="5953" w:type="dxa"/>
          </w:tcPr>
          <w:p w14:paraId="0D9BFB97" w14:textId="6427CF5F" w:rsidR="00826581" w:rsidRPr="007F430A" w:rsidRDefault="001D3F75" w:rsidP="002644D9">
            <w:pPr>
              <w:spacing w:after="0"/>
              <w:contextualSpacing/>
              <w:rPr>
                <w:rFonts w:cs="Calibri"/>
                <w:szCs w:val="22"/>
              </w:rPr>
            </w:pPr>
            <w:r w:rsidRPr="007F430A">
              <w:rPr>
                <w:rFonts w:cs="Calibri"/>
                <w:szCs w:val="22"/>
              </w:rPr>
              <w:t>The TTEITI Steering Committee has fully met this recommendation for including companies under Heritage Petroleum Limited</w:t>
            </w:r>
            <w:r w:rsidR="00826581" w:rsidRPr="007F430A">
              <w:rPr>
                <w:rFonts w:cs="Calibri"/>
                <w:szCs w:val="22"/>
              </w:rPr>
              <w:t>’s lease operator and service contract agreements in EITI implementation</w:t>
            </w:r>
            <w:r w:rsidRPr="007F430A">
              <w:rPr>
                <w:rFonts w:cs="Calibri"/>
                <w:szCs w:val="22"/>
              </w:rPr>
              <w:t xml:space="preserve">. Heritage recently concluded contract renegotiations </w:t>
            </w:r>
            <w:r w:rsidR="00826581" w:rsidRPr="007F430A">
              <w:rPr>
                <w:rFonts w:cs="Calibri"/>
                <w:szCs w:val="22"/>
              </w:rPr>
              <w:t xml:space="preserve">in 2022 with these operators and inserted a clause into their contracts mandating EITI implementation. </w:t>
            </w:r>
          </w:p>
          <w:p w14:paraId="55BD5C8E" w14:textId="77777777" w:rsidR="00826581" w:rsidRPr="007F430A" w:rsidRDefault="00826581" w:rsidP="002644D9">
            <w:pPr>
              <w:spacing w:after="0"/>
              <w:contextualSpacing/>
              <w:rPr>
                <w:rFonts w:cs="Calibri"/>
                <w:szCs w:val="22"/>
              </w:rPr>
            </w:pPr>
          </w:p>
          <w:p w14:paraId="6ED755D0" w14:textId="0DE771AE" w:rsidR="00456C9F" w:rsidRPr="007F430A" w:rsidRDefault="00826581" w:rsidP="002644D9">
            <w:pPr>
              <w:spacing w:after="0"/>
              <w:contextualSpacing/>
              <w:rPr>
                <w:rFonts w:cs="Calibri"/>
                <w:szCs w:val="22"/>
              </w:rPr>
            </w:pPr>
            <w:r w:rsidRPr="007F430A">
              <w:rPr>
                <w:rFonts w:cs="Calibri"/>
                <w:szCs w:val="22"/>
              </w:rPr>
              <w:t xml:space="preserve">The Steering </w:t>
            </w:r>
            <w:proofErr w:type="gramStart"/>
            <w:r w:rsidRPr="007F430A">
              <w:rPr>
                <w:rFonts w:cs="Calibri"/>
                <w:szCs w:val="22"/>
              </w:rPr>
              <w:t>Committee  had</w:t>
            </w:r>
            <w:proofErr w:type="gramEnd"/>
            <w:r w:rsidRPr="007F430A">
              <w:rPr>
                <w:rFonts w:cs="Calibri"/>
                <w:szCs w:val="22"/>
              </w:rPr>
              <w:t xml:space="preserve"> </w:t>
            </w:r>
            <w:r w:rsidR="00A77791">
              <w:rPr>
                <w:rFonts w:cs="Calibri"/>
                <w:szCs w:val="22"/>
              </w:rPr>
              <w:t>marginal</w:t>
            </w:r>
            <w:r w:rsidRPr="007F430A">
              <w:rPr>
                <w:rFonts w:cs="Calibri"/>
                <w:szCs w:val="22"/>
              </w:rPr>
              <w:t xml:space="preserve"> success </w:t>
            </w:r>
            <w:r w:rsidR="004E1B7D">
              <w:rPr>
                <w:rFonts w:cs="Calibri"/>
                <w:szCs w:val="22"/>
              </w:rPr>
              <w:t xml:space="preserve">with </w:t>
            </w:r>
            <w:r w:rsidRPr="007F430A">
              <w:rPr>
                <w:rFonts w:cs="Calibri"/>
                <w:szCs w:val="22"/>
              </w:rPr>
              <w:t xml:space="preserve">including </w:t>
            </w:r>
            <w:r w:rsidR="004E1B7D">
              <w:rPr>
                <w:rFonts w:cs="Calibri"/>
                <w:szCs w:val="22"/>
              </w:rPr>
              <w:t xml:space="preserve">new </w:t>
            </w:r>
            <w:r w:rsidR="00D13898" w:rsidRPr="007F430A">
              <w:rPr>
                <w:rFonts w:cs="Calibri"/>
                <w:szCs w:val="22"/>
              </w:rPr>
              <w:t>mining sector state enterprise companies in EITI implementation</w:t>
            </w:r>
            <w:r w:rsidR="00DB48A1" w:rsidRPr="007F430A">
              <w:rPr>
                <w:rFonts w:cs="Calibri"/>
                <w:szCs w:val="22"/>
              </w:rPr>
              <w:t xml:space="preserve"> as both PSAEL and EMBD </w:t>
            </w:r>
            <w:r w:rsidR="00A77791">
              <w:rPr>
                <w:rFonts w:cs="Calibri"/>
                <w:szCs w:val="22"/>
              </w:rPr>
              <w:t xml:space="preserve">originally </w:t>
            </w:r>
            <w:r w:rsidR="00DB48A1" w:rsidRPr="007F430A">
              <w:rPr>
                <w:rFonts w:cs="Calibri"/>
                <w:szCs w:val="22"/>
              </w:rPr>
              <w:t>did not commit to participating in the EITI</w:t>
            </w:r>
            <w:r w:rsidR="00D13898" w:rsidRPr="007F430A">
              <w:rPr>
                <w:rFonts w:cs="Calibri"/>
                <w:szCs w:val="22"/>
              </w:rPr>
              <w:t xml:space="preserve">. PSAEL </w:t>
            </w:r>
            <w:r w:rsidR="00225645" w:rsidRPr="007F430A">
              <w:rPr>
                <w:rFonts w:cs="Calibri"/>
                <w:szCs w:val="22"/>
              </w:rPr>
              <w:t>sent</w:t>
            </w:r>
            <w:r w:rsidR="00DB48A1" w:rsidRPr="007F430A">
              <w:rPr>
                <w:rFonts w:cs="Calibri"/>
                <w:szCs w:val="22"/>
              </w:rPr>
              <w:t xml:space="preserve"> a letter citing their classification as a company focused on project </w:t>
            </w:r>
            <w:r w:rsidR="00DB48A1" w:rsidRPr="007F430A">
              <w:rPr>
                <w:rFonts w:cs="Calibri"/>
                <w:szCs w:val="22"/>
              </w:rPr>
              <w:lastRenderedPageBreak/>
              <w:t>management rather than extraction</w:t>
            </w:r>
            <w:r w:rsidR="00D428A7" w:rsidRPr="007F430A">
              <w:rPr>
                <w:rFonts w:cs="Calibri"/>
                <w:szCs w:val="22"/>
              </w:rPr>
              <w:t xml:space="preserve"> while EMBD did not formally respond to correspondence from the TTEITI Steering Committee Chairman inviting them to participate.</w:t>
            </w:r>
            <w:r w:rsidR="00DB48A1" w:rsidRPr="007F430A">
              <w:rPr>
                <w:rFonts w:cs="Calibri"/>
                <w:szCs w:val="22"/>
              </w:rPr>
              <w:t xml:space="preserve"> </w:t>
            </w:r>
            <w:r w:rsidR="00A77791">
              <w:rPr>
                <w:rFonts w:cs="Calibri"/>
                <w:szCs w:val="22"/>
              </w:rPr>
              <w:t xml:space="preserve">However, on April 5, 2022, after a request by </w:t>
            </w:r>
            <w:r w:rsidR="00225645" w:rsidRPr="007F430A">
              <w:rPr>
                <w:rFonts w:cs="Calibri"/>
                <w:szCs w:val="22"/>
              </w:rPr>
              <w:t xml:space="preserve">Minister of Energy </w:t>
            </w:r>
            <w:r w:rsidR="00D428A7" w:rsidRPr="007F430A">
              <w:rPr>
                <w:rFonts w:cs="Calibri"/>
                <w:szCs w:val="22"/>
              </w:rPr>
              <w:t>Stuart Young</w:t>
            </w:r>
            <w:r w:rsidR="00A77791">
              <w:rPr>
                <w:rFonts w:cs="Calibri"/>
                <w:szCs w:val="22"/>
              </w:rPr>
              <w:t xml:space="preserve"> requesting their participation, the company formally a</w:t>
            </w:r>
            <w:r w:rsidR="004E1B7D">
              <w:rPr>
                <w:rFonts w:cs="Calibri"/>
                <w:szCs w:val="22"/>
              </w:rPr>
              <w:t>greed</w:t>
            </w:r>
            <w:r w:rsidR="00225645" w:rsidRPr="007F430A">
              <w:rPr>
                <w:rFonts w:cs="Calibri"/>
                <w:szCs w:val="22"/>
              </w:rPr>
              <w:t xml:space="preserve"> participation</w:t>
            </w:r>
            <w:r w:rsidR="00DB48A1" w:rsidRPr="007F430A">
              <w:rPr>
                <w:rFonts w:cs="Calibri"/>
                <w:szCs w:val="22"/>
              </w:rPr>
              <w:t xml:space="preserve"> in EITI implementation</w:t>
            </w:r>
            <w:r w:rsidR="00A77791">
              <w:rPr>
                <w:rFonts w:cs="Calibri"/>
                <w:szCs w:val="22"/>
              </w:rPr>
              <w:t xml:space="preserve"> and EMBD </w:t>
            </w:r>
            <w:r w:rsidR="00225645" w:rsidRPr="007F430A">
              <w:rPr>
                <w:rFonts w:cs="Calibri"/>
                <w:szCs w:val="22"/>
              </w:rPr>
              <w:t xml:space="preserve"> </w:t>
            </w:r>
          </w:p>
        </w:tc>
      </w:tr>
      <w:tr w:rsidR="00D428A7" w:rsidRPr="007F430A" w14:paraId="7E4366B6" w14:textId="77777777" w:rsidTr="002644D9">
        <w:trPr>
          <w:trHeight w:val="318"/>
        </w:trPr>
        <w:tc>
          <w:tcPr>
            <w:tcW w:w="3686" w:type="dxa"/>
          </w:tcPr>
          <w:p w14:paraId="657E2779" w14:textId="77777777" w:rsidR="00D428A7" w:rsidRPr="007F430A" w:rsidRDefault="00D428A7" w:rsidP="002644D9">
            <w:pPr>
              <w:spacing w:after="0"/>
              <w:contextualSpacing/>
              <w:rPr>
                <w:rFonts w:cs="Calibri"/>
                <w:i/>
                <w:szCs w:val="22"/>
              </w:rPr>
            </w:pPr>
          </w:p>
        </w:tc>
        <w:tc>
          <w:tcPr>
            <w:tcW w:w="5953" w:type="dxa"/>
          </w:tcPr>
          <w:p w14:paraId="33BD3FC0" w14:textId="77777777" w:rsidR="00D428A7" w:rsidRPr="007F430A" w:rsidRDefault="00D428A7" w:rsidP="002644D9">
            <w:pPr>
              <w:spacing w:after="0"/>
              <w:contextualSpacing/>
              <w:rPr>
                <w:rFonts w:cs="Calibri"/>
                <w:szCs w:val="22"/>
              </w:rPr>
            </w:pPr>
          </w:p>
        </w:tc>
      </w:tr>
      <w:tr w:rsidR="00C6608B" w:rsidRPr="007F430A" w14:paraId="68AF3B9A" w14:textId="77777777" w:rsidTr="002644D9">
        <w:trPr>
          <w:trHeight w:val="318"/>
        </w:trPr>
        <w:tc>
          <w:tcPr>
            <w:tcW w:w="3686" w:type="dxa"/>
          </w:tcPr>
          <w:p w14:paraId="117D7B83" w14:textId="598E545C" w:rsidR="00C6608B" w:rsidRPr="007F430A" w:rsidRDefault="00D428A7" w:rsidP="002644D9">
            <w:pPr>
              <w:spacing w:after="0"/>
              <w:contextualSpacing/>
              <w:rPr>
                <w:rFonts w:cs="Calibri"/>
                <w:i/>
                <w:szCs w:val="22"/>
              </w:rPr>
            </w:pPr>
            <w:r w:rsidRPr="007F430A">
              <w:rPr>
                <w:rFonts w:cs="Calibri"/>
                <w:i/>
                <w:szCs w:val="22"/>
              </w:rPr>
              <w:t>MEEI Systems</w:t>
            </w:r>
          </w:p>
        </w:tc>
        <w:tc>
          <w:tcPr>
            <w:tcW w:w="5953" w:type="dxa"/>
          </w:tcPr>
          <w:p w14:paraId="15F810F5" w14:textId="144A85C4" w:rsidR="00C6608B" w:rsidRPr="007F430A" w:rsidRDefault="002823F7" w:rsidP="002644D9">
            <w:pPr>
              <w:spacing w:after="0"/>
              <w:contextualSpacing/>
              <w:rPr>
                <w:rFonts w:cs="Calibri"/>
                <w:szCs w:val="22"/>
              </w:rPr>
            </w:pPr>
            <w:r w:rsidRPr="007F430A">
              <w:rPr>
                <w:rFonts w:cs="Calibri"/>
                <w:szCs w:val="22"/>
              </w:rPr>
              <w:t xml:space="preserve">This recommendation has not been met, however, the TTEITI Steering Committee is partnering with the EITI International Secretariat to undertake a project linked to digitization and mainstreaming revenue </w:t>
            </w:r>
            <w:r w:rsidR="00A0365E">
              <w:rPr>
                <w:rFonts w:cs="Calibri"/>
                <w:szCs w:val="22"/>
              </w:rPr>
              <w:t xml:space="preserve">disclosure </w:t>
            </w:r>
            <w:r w:rsidRPr="007F430A">
              <w:rPr>
                <w:rFonts w:cs="Calibri"/>
                <w:szCs w:val="22"/>
              </w:rPr>
              <w:t xml:space="preserve">required for EITI reports. There is continuing dialogue with the Ministry of Energy’s IT unit on the project. </w:t>
            </w:r>
            <w:r w:rsidR="00A0365E">
              <w:rPr>
                <w:rFonts w:cs="Calibri"/>
                <w:szCs w:val="22"/>
              </w:rPr>
              <w:t xml:space="preserve">A major deliverable from the project will be a mainstreaming roadmap for T&amp;T to guide the Government and Steering Committee on systematic disclosure. </w:t>
            </w:r>
          </w:p>
        </w:tc>
      </w:tr>
      <w:tr w:rsidR="00D428A7" w:rsidRPr="007F430A" w14:paraId="28473A6A" w14:textId="77777777" w:rsidTr="002644D9">
        <w:trPr>
          <w:trHeight w:val="318"/>
        </w:trPr>
        <w:tc>
          <w:tcPr>
            <w:tcW w:w="3686" w:type="dxa"/>
          </w:tcPr>
          <w:p w14:paraId="04885841" w14:textId="77777777" w:rsidR="00D428A7" w:rsidRPr="007F430A" w:rsidRDefault="00D428A7" w:rsidP="002644D9">
            <w:pPr>
              <w:spacing w:after="0"/>
              <w:contextualSpacing/>
              <w:rPr>
                <w:rFonts w:cs="Calibri"/>
                <w:i/>
                <w:szCs w:val="22"/>
              </w:rPr>
            </w:pPr>
          </w:p>
        </w:tc>
        <w:tc>
          <w:tcPr>
            <w:tcW w:w="5953" w:type="dxa"/>
          </w:tcPr>
          <w:p w14:paraId="7DAE718D" w14:textId="77777777" w:rsidR="00D428A7" w:rsidRPr="007F430A" w:rsidRDefault="00D428A7" w:rsidP="002644D9">
            <w:pPr>
              <w:spacing w:after="0"/>
              <w:contextualSpacing/>
              <w:rPr>
                <w:rFonts w:cs="Calibri"/>
                <w:szCs w:val="22"/>
              </w:rPr>
            </w:pPr>
          </w:p>
        </w:tc>
      </w:tr>
      <w:tr w:rsidR="00D428A7" w:rsidRPr="007F430A" w14:paraId="6007B320" w14:textId="77777777" w:rsidTr="002644D9">
        <w:trPr>
          <w:trHeight w:val="318"/>
        </w:trPr>
        <w:tc>
          <w:tcPr>
            <w:tcW w:w="3686" w:type="dxa"/>
          </w:tcPr>
          <w:p w14:paraId="4E75E75B" w14:textId="1736F122" w:rsidR="00D428A7" w:rsidRPr="007F430A" w:rsidRDefault="00C24A91" w:rsidP="002644D9">
            <w:pPr>
              <w:spacing w:after="0"/>
              <w:contextualSpacing/>
              <w:rPr>
                <w:rFonts w:cs="Calibri"/>
                <w:szCs w:val="22"/>
              </w:rPr>
            </w:pPr>
            <w:r w:rsidRPr="007F430A">
              <w:rPr>
                <w:rFonts w:cs="Calibri"/>
                <w:szCs w:val="22"/>
              </w:rPr>
              <w:t xml:space="preserve">Mining sector Pilot </w:t>
            </w:r>
          </w:p>
        </w:tc>
        <w:tc>
          <w:tcPr>
            <w:tcW w:w="5953" w:type="dxa"/>
          </w:tcPr>
          <w:p w14:paraId="1C395F3F" w14:textId="40E7B08E" w:rsidR="00D428A7" w:rsidRPr="007F430A" w:rsidRDefault="0031515E" w:rsidP="002644D9">
            <w:pPr>
              <w:spacing w:after="0"/>
              <w:contextualSpacing/>
              <w:rPr>
                <w:rFonts w:cs="Calibri"/>
                <w:szCs w:val="22"/>
              </w:rPr>
            </w:pPr>
            <w:r w:rsidRPr="0022643A">
              <w:rPr>
                <w:rFonts w:cs="Calibri"/>
                <w:szCs w:val="22"/>
              </w:rPr>
              <w:t>T</w:t>
            </w:r>
            <w:r w:rsidR="00C24A91" w:rsidRPr="0022643A">
              <w:rPr>
                <w:rFonts w:cs="Calibri"/>
                <w:szCs w:val="22"/>
              </w:rPr>
              <w:t xml:space="preserve">he TTEITI Steering Committee </w:t>
            </w:r>
            <w:r w:rsidR="00C24A91" w:rsidRPr="007F430A">
              <w:rPr>
                <w:rFonts w:cs="Calibri"/>
                <w:szCs w:val="22"/>
              </w:rPr>
              <w:t>decided to continue to classify mining sector reporting as a pilot</w:t>
            </w:r>
            <w:r w:rsidRPr="007F430A">
              <w:rPr>
                <w:rFonts w:cs="Calibri"/>
                <w:szCs w:val="22"/>
              </w:rPr>
              <w:t xml:space="preserve"> and not implement the recommendation to end the pilot</w:t>
            </w:r>
            <w:r w:rsidR="00C24A91" w:rsidRPr="007F430A">
              <w:rPr>
                <w:rFonts w:cs="Calibri"/>
                <w:szCs w:val="22"/>
              </w:rPr>
              <w:t xml:space="preserve">. In the minutes of the </w:t>
            </w:r>
            <w:r w:rsidRPr="007F430A">
              <w:rPr>
                <w:rFonts w:cs="Calibri"/>
                <w:szCs w:val="22"/>
              </w:rPr>
              <w:t>111</w:t>
            </w:r>
            <w:r w:rsidRPr="007F430A">
              <w:rPr>
                <w:rFonts w:cs="Calibri"/>
                <w:szCs w:val="22"/>
                <w:vertAlign w:val="superscript"/>
              </w:rPr>
              <w:t>th</w:t>
            </w:r>
            <w:r w:rsidRPr="0022643A">
              <w:rPr>
                <w:rFonts w:cs="Calibri"/>
                <w:szCs w:val="22"/>
              </w:rPr>
              <w:t xml:space="preserve"> Steering Committee</w:t>
            </w:r>
            <w:r w:rsidR="00C24A91" w:rsidRPr="007F430A">
              <w:rPr>
                <w:rFonts w:cs="Calibri"/>
                <w:szCs w:val="22"/>
              </w:rPr>
              <w:t xml:space="preserve"> meeting</w:t>
            </w:r>
            <w:r w:rsidRPr="007F430A">
              <w:rPr>
                <w:rFonts w:cs="Calibri"/>
                <w:szCs w:val="22"/>
              </w:rPr>
              <w:t>, held on January 16,2020</w:t>
            </w:r>
            <w:r w:rsidR="00C24A91" w:rsidRPr="007F430A">
              <w:rPr>
                <w:rFonts w:cs="Calibri"/>
                <w:szCs w:val="22"/>
              </w:rPr>
              <w:t xml:space="preserve">, the committee </w:t>
            </w:r>
            <w:r w:rsidRPr="007F430A">
              <w:rPr>
                <w:rFonts w:cs="Calibri"/>
                <w:szCs w:val="22"/>
              </w:rPr>
              <w:t xml:space="preserve">reviewed a paper on the issue and cited the voluntary nature of current EITI reporting as well as concerns with determining </w:t>
            </w:r>
            <w:r w:rsidR="001F6FBD" w:rsidRPr="007F430A">
              <w:rPr>
                <w:rFonts w:cs="Calibri"/>
                <w:szCs w:val="22"/>
              </w:rPr>
              <w:t>materiality for the mining sector as reasons for continuing with a pilot.</w:t>
            </w:r>
            <w:r w:rsidRPr="007F430A">
              <w:rPr>
                <w:rFonts w:cs="Calibri"/>
                <w:szCs w:val="22"/>
              </w:rPr>
              <w:t xml:space="preserve"> </w:t>
            </w:r>
            <w:r w:rsidR="00C24A91" w:rsidRPr="007F430A">
              <w:rPr>
                <w:rFonts w:cs="Calibri"/>
                <w:szCs w:val="22"/>
              </w:rPr>
              <w:t xml:space="preserve">  </w:t>
            </w:r>
          </w:p>
        </w:tc>
      </w:tr>
      <w:tr w:rsidR="00D428A7" w:rsidRPr="007F430A" w14:paraId="2E3A7AD8" w14:textId="77777777" w:rsidTr="002644D9">
        <w:trPr>
          <w:trHeight w:val="318"/>
        </w:trPr>
        <w:tc>
          <w:tcPr>
            <w:tcW w:w="3686" w:type="dxa"/>
          </w:tcPr>
          <w:p w14:paraId="00778F02" w14:textId="77777777" w:rsidR="00D428A7" w:rsidRPr="007F430A" w:rsidRDefault="00D428A7" w:rsidP="002644D9">
            <w:pPr>
              <w:spacing w:after="0"/>
              <w:contextualSpacing/>
              <w:rPr>
                <w:rFonts w:cs="Calibri"/>
                <w:i/>
                <w:szCs w:val="22"/>
              </w:rPr>
            </w:pPr>
          </w:p>
        </w:tc>
        <w:tc>
          <w:tcPr>
            <w:tcW w:w="5953" w:type="dxa"/>
          </w:tcPr>
          <w:p w14:paraId="05B5E5B8" w14:textId="77777777" w:rsidR="00D428A7" w:rsidRPr="007F430A" w:rsidRDefault="00D428A7" w:rsidP="002644D9">
            <w:pPr>
              <w:spacing w:after="0"/>
              <w:contextualSpacing/>
              <w:rPr>
                <w:rFonts w:cs="Calibri"/>
                <w:szCs w:val="22"/>
              </w:rPr>
            </w:pPr>
          </w:p>
        </w:tc>
      </w:tr>
      <w:tr w:rsidR="00D428A7" w:rsidRPr="007F430A" w14:paraId="6A1B6AC9" w14:textId="77777777" w:rsidTr="002644D9">
        <w:trPr>
          <w:trHeight w:val="318"/>
        </w:trPr>
        <w:tc>
          <w:tcPr>
            <w:tcW w:w="3686" w:type="dxa"/>
          </w:tcPr>
          <w:p w14:paraId="013B63DB" w14:textId="1334359B" w:rsidR="00D428A7" w:rsidRPr="007F430A" w:rsidRDefault="001F6FBD" w:rsidP="002644D9">
            <w:pPr>
              <w:spacing w:after="0"/>
              <w:contextualSpacing/>
              <w:rPr>
                <w:rFonts w:cs="Calibri"/>
                <w:i/>
                <w:szCs w:val="22"/>
              </w:rPr>
            </w:pPr>
            <w:r w:rsidRPr="007F430A">
              <w:rPr>
                <w:rFonts w:cs="Calibri"/>
                <w:i/>
                <w:szCs w:val="22"/>
              </w:rPr>
              <w:t>EITI Legislation and EITI Clauses in Contracts</w:t>
            </w:r>
          </w:p>
        </w:tc>
        <w:tc>
          <w:tcPr>
            <w:tcW w:w="5953" w:type="dxa"/>
          </w:tcPr>
          <w:p w14:paraId="5448492E" w14:textId="5362D2B5" w:rsidR="001F6FBD" w:rsidRPr="007F430A" w:rsidRDefault="001F6FBD" w:rsidP="001F6FBD">
            <w:pPr>
              <w:spacing w:after="0"/>
              <w:contextualSpacing/>
              <w:rPr>
                <w:rFonts w:cs="Calibri"/>
                <w:szCs w:val="22"/>
              </w:rPr>
            </w:pPr>
            <w:r w:rsidRPr="007F430A">
              <w:rPr>
                <w:rFonts w:cs="Calibri"/>
                <w:szCs w:val="22"/>
              </w:rPr>
              <w:t xml:space="preserve">This recommendation has been partially met. Heritage recently concluded contract renegotiations in 2022 with these </w:t>
            </w:r>
            <w:r w:rsidR="00A0365E">
              <w:rPr>
                <w:rFonts w:cs="Calibri"/>
                <w:szCs w:val="22"/>
              </w:rPr>
              <w:t xml:space="preserve">lease </w:t>
            </w:r>
            <w:r w:rsidRPr="007F430A">
              <w:rPr>
                <w:rFonts w:cs="Calibri"/>
                <w:szCs w:val="22"/>
              </w:rPr>
              <w:t xml:space="preserve">operators and inserted a clause into their contracts mandating EITI implementation. The Steering Committee has also prepared </w:t>
            </w:r>
            <w:r w:rsidR="00877BA9" w:rsidRPr="007F430A">
              <w:rPr>
                <w:rFonts w:cs="Calibri"/>
                <w:szCs w:val="22"/>
              </w:rPr>
              <w:t xml:space="preserve">a brief on proposed changes to the Petroleum Act. The brief was submitted to the MEEI’s legal unit and the committee is still awaiting a response. </w:t>
            </w:r>
          </w:p>
          <w:p w14:paraId="4DCFCAD8" w14:textId="712F4D25" w:rsidR="001F6FBD" w:rsidRPr="007F430A" w:rsidRDefault="001F6FBD" w:rsidP="001F6FBD">
            <w:pPr>
              <w:spacing w:after="0"/>
              <w:contextualSpacing/>
              <w:rPr>
                <w:rFonts w:cs="Calibri"/>
                <w:szCs w:val="22"/>
              </w:rPr>
            </w:pPr>
            <w:r w:rsidRPr="007F430A">
              <w:rPr>
                <w:rFonts w:cs="Calibri"/>
                <w:szCs w:val="22"/>
              </w:rPr>
              <w:t xml:space="preserve">In a meeting on January 5, 2022, the Minister of Energy </w:t>
            </w:r>
            <w:r w:rsidR="00877BA9" w:rsidRPr="007F430A">
              <w:rPr>
                <w:rFonts w:cs="Calibri"/>
                <w:szCs w:val="22"/>
              </w:rPr>
              <w:t>was briefed on the benefits of EITI legislation and</w:t>
            </w:r>
            <w:r w:rsidR="00A0365E">
              <w:rPr>
                <w:rFonts w:cs="Calibri"/>
                <w:szCs w:val="22"/>
              </w:rPr>
              <w:t>,</w:t>
            </w:r>
            <w:r w:rsidR="00877BA9" w:rsidRPr="007F430A">
              <w:rPr>
                <w:rFonts w:cs="Calibri"/>
                <w:szCs w:val="22"/>
              </w:rPr>
              <w:t xml:space="preserve"> </w:t>
            </w:r>
            <w:r w:rsidR="00A0365E">
              <w:rPr>
                <w:rFonts w:cs="Calibri"/>
                <w:szCs w:val="22"/>
              </w:rPr>
              <w:t xml:space="preserve">in June 2022, </w:t>
            </w:r>
            <w:r w:rsidR="00877BA9" w:rsidRPr="007F430A">
              <w:rPr>
                <w:rFonts w:cs="Calibri"/>
                <w:szCs w:val="22"/>
              </w:rPr>
              <w:t>the steering committee resubmit</w:t>
            </w:r>
            <w:r w:rsidR="00A0365E">
              <w:rPr>
                <w:rFonts w:cs="Calibri"/>
                <w:szCs w:val="22"/>
              </w:rPr>
              <w:t>ted</w:t>
            </w:r>
            <w:r w:rsidR="00877BA9" w:rsidRPr="007F430A">
              <w:rPr>
                <w:rFonts w:cs="Calibri"/>
                <w:szCs w:val="22"/>
              </w:rPr>
              <w:t xml:space="preserve"> </w:t>
            </w:r>
            <w:r w:rsidR="00A0365E">
              <w:rPr>
                <w:rFonts w:cs="Calibri"/>
                <w:szCs w:val="22"/>
              </w:rPr>
              <w:t>EITI</w:t>
            </w:r>
            <w:r w:rsidR="00877BA9" w:rsidRPr="007F430A">
              <w:rPr>
                <w:rFonts w:cs="Calibri"/>
                <w:szCs w:val="22"/>
              </w:rPr>
              <w:t xml:space="preserve"> legislation for his review and approval from Cabinet. </w:t>
            </w:r>
          </w:p>
          <w:p w14:paraId="5E728313" w14:textId="76E8AF8E" w:rsidR="00D428A7" w:rsidRPr="007F430A" w:rsidRDefault="00D428A7" w:rsidP="002644D9">
            <w:pPr>
              <w:spacing w:after="0"/>
              <w:contextualSpacing/>
              <w:rPr>
                <w:rFonts w:cs="Calibri"/>
                <w:szCs w:val="22"/>
              </w:rPr>
            </w:pPr>
          </w:p>
        </w:tc>
      </w:tr>
      <w:tr w:rsidR="00D428A7" w:rsidRPr="007F430A" w14:paraId="43C953C2" w14:textId="77777777" w:rsidTr="002644D9">
        <w:trPr>
          <w:trHeight w:val="318"/>
        </w:trPr>
        <w:tc>
          <w:tcPr>
            <w:tcW w:w="3686" w:type="dxa"/>
          </w:tcPr>
          <w:p w14:paraId="4060FD9C" w14:textId="77777777" w:rsidR="00D428A7" w:rsidRPr="007F430A" w:rsidRDefault="00D428A7" w:rsidP="002644D9">
            <w:pPr>
              <w:spacing w:after="0"/>
              <w:contextualSpacing/>
              <w:rPr>
                <w:rFonts w:cs="Calibri"/>
                <w:i/>
                <w:szCs w:val="22"/>
              </w:rPr>
            </w:pPr>
          </w:p>
        </w:tc>
        <w:tc>
          <w:tcPr>
            <w:tcW w:w="5953" w:type="dxa"/>
          </w:tcPr>
          <w:p w14:paraId="63EE308C" w14:textId="77777777" w:rsidR="00D428A7" w:rsidRPr="007F430A" w:rsidRDefault="00D428A7" w:rsidP="002644D9">
            <w:pPr>
              <w:spacing w:after="0"/>
              <w:contextualSpacing/>
              <w:rPr>
                <w:rFonts w:cs="Calibri"/>
                <w:szCs w:val="22"/>
              </w:rPr>
            </w:pPr>
          </w:p>
        </w:tc>
      </w:tr>
      <w:tr w:rsidR="00D428A7" w:rsidRPr="007F430A" w14:paraId="72E481E0" w14:textId="77777777" w:rsidTr="002644D9">
        <w:trPr>
          <w:trHeight w:val="318"/>
        </w:trPr>
        <w:tc>
          <w:tcPr>
            <w:tcW w:w="3686" w:type="dxa"/>
          </w:tcPr>
          <w:p w14:paraId="3A48B906" w14:textId="73B9FD05" w:rsidR="00D428A7" w:rsidRPr="007F430A" w:rsidRDefault="002135BC" w:rsidP="002644D9">
            <w:pPr>
              <w:spacing w:after="0"/>
              <w:contextualSpacing/>
              <w:rPr>
                <w:rFonts w:cs="Calibri"/>
                <w:i/>
                <w:szCs w:val="22"/>
              </w:rPr>
            </w:pPr>
            <w:r w:rsidRPr="007F430A">
              <w:rPr>
                <w:rFonts w:cs="Calibri"/>
                <w:i/>
                <w:szCs w:val="22"/>
              </w:rPr>
              <w:t xml:space="preserve">Licensing Data and Procedures </w:t>
            </w:r>
          </w:p>
        </w:tc>
        <w:tc>
          <w:tcPr>
            <w:tcW w:w="5953" w:type="dxa"/>
          </w:tcPr>
          <w:p w14:paraId="45597744" w14:textId="2DEA7622" w:rsidR="002135BC" w:rsidRPr="007F430A" w:rsidRDefault="004D61BA" w:rsidP="002644D9">
            <w:pPr>
              <w:spacing w:after="0"/>
              <w:contextualSpacing/>
              <w:rPr>
                <w:rFonts w:cs="Calibri"/>
                <w:szCs w:val="22"/>
              </w:rPr>
            </w:pPr>
            <w:r w:rsidRPr="007F430A">
              <w:rPr>
                <w:rFonts w:cs="Calibri"/>
                <w:szCs w:val="22"/>
              </w:rPr>
              <w:t xml:space="preserve">This recommendation has been </w:t>
            </w:r>
            <w:r w:rsidR="002135BC" w:rsidRPr="007F430A">
              <w:rPr>
                <w:rFonts w:cs="Calibri"/>
                <w:szCs w:val="22"/>
              </w:rPr>
              <w:t>partially</w:t>
            </w:r>
            <w:r w:rsidRPr="007F430A">
              <w:rPr>
                <w:rFonts w:cs="Calibri"/>
                <w:szCs w:val="22"/>
              </w:rPr>
              <w:t xml:space="preserve"> met as the </w:t>
            </w:r>
            <w:r w:rsidR="002135BC" w:rsidRPr="007F430A">
              <w:rPr>
                <w:rFonts w:cs="Calibri"/>
                <w:szCs w:val="22"/>
              </w:rPr>
              <w:t xml:space="preserve">license </w:t>
            </w:r>
            <w:r w:rsidRPr="007F430A">
              <w:rPr>
                <w:rFonts w:cs="Calibri"/>
                <w:szCs w:val="22"/>
              </w:rPr>
              <w:t xml:space="preserve">register was </w:t>
            </w:r>
            <w:r w:rsidR="002135BC" w:rsidRPr="007F430A">
              <w:rPr>
                <w:rFonts w:cs="Calibri"/>
                <w:szCs w:val="22"/>
              </w:rPr>
              <w:t>updated and the TTEITI as part of its annual reporting obligations will continue to assist the MEEI with updating the register. The MEEI Legal Unit also provided an update on the payments of</w:t>
            </w:r>
            <w:r w:rsidR="00A0365E">
              <w:rPr>
                <w:rFonts w:cs="Calibri"/>
                <w:szCs w:val="22"/>
              </w:rPr>
              <w:t xml:space="preserve"> </w:t>
            </w:r>
            <w:proofErr w:type="spellStart"/>
            <w:r w:rsidR="00A0365E">
              <w:rPr>
                <w:rFonts w:cs="Calibri"/>
                <w:szCs w:val="22"/>
              </w:rPr>
              <w:t>assingment</w:t>
            </w:r>
            <w:proofErr w:type="spellEnd"/>
            <w:r w:rsidR="002135BC" w:rsidRPr="007F430A">
              <w:rPr>
                <w:rFonts w:cs="Calibri"/>
                <w:szCs w:val="22"/>
              </w:rPr>
              <w:t xml:space="preserve"> and transfer fees</w:t>
            </w:r>
            <w:r w:rsidR="00A0365E">
              <w:rPr>
                <w:rFonts w:cs="Calibri"/>
                <w:szCs w:val="22"/>
              </w:rPr>
              <w:t xml:space="preserve"> for the 2019-2020 Report</w:t>
            </w:r>
            <w:r w:rsidR="002135BC" w:rsidRPr="007F430A">
              <w:rPr>
                <w:rFonts w:cs="Calibri"/>
                <w:szCs w:val="22"/>
              </w:rPr>
              <w:t xml:space="preserve">. </w:t>
            </w:r>
          </w:p>
          <w:p w14:paraId="12EEEC1B" w14:textId="6350A12C" w:rsidR="00D428A7" w:rsidRPr="007F430A" w:rsidRDefault="00D428A7" w:rsidP="002644D9">
            <w:pPr>
              <w:spacing w:after="0"/>
              <w:contextualSpacing/>
              <w:rPr>
                <w:rFonts w:cs="Calibri"/>
                <w:szCs w:val="22"/>
              </w:rPr>
            </w:pPr>
          </w:p>
        </w:tc>
      </w:tr>
      <w:tr w:rsidR="00D428A7" w:rsidRPr="007F430A" w14:paraId="4FA4FC81" w14:textId="77777777" w:rsidTr="002644D9">
        <w:trPr>
          <w:trHeight w:val="318"/>
        </w:trPr>
        <w:tc>
          <w:tcPr>
            <w:tcW w:w="3686" w:type="dxa"/>
          </w:tcPr>
          <w:p w14:paraId="2E7EFB9A" w14:textId="1199D6B4" w:rsidR="00D428A7" w:rsidRPr="007F430A" w:rsidRDefault="002135BC" w:rsidP="002644D9">
            <w:pPr>
              <w:spacing w:after="0"/>
              <w:contextualSpacing/>
              <w:rPr>
                <w:rFonts w:cs="Calibri"/>
                <w:i/>
                <w:szCs w:val="22"/>
              </w:rPr>
            </w:pPr>
            <w:r w:rsidRPr="007F430A">
              <w:rPr>
                <w:rFonts w:cs="Calibri"/>
                <w:i/>
                <w:szCs w:val="22"/>
              </w:rPr>
              <w:t>Individual Company Audits</w:t>
            </w:r>
          </w:p>
        </w:tc>
        <w:tc>
          <w:tcPr>
            <w:tcW w:w="5953" w:type="dxa"/>
          </w:tcPr>
          <w:p w14:paraId="7A92BA4E" w14:textId="79FE031E" w:rsidR="00A77791" w:rsidRDefault="00A77791" w:rsidP="00A77791">
            <w:pPr>
              <w:spacing w:after="0"/>
              <w:contextualSpacing/>
              <w:rPr>
                <w:rFonts w:cs="Calibri"/>
                <w:szCs w:val="22"/>
              </w:rPr>
            </w:pPr>
            <w:r>
              <w:rPr>
                <w:rFonts w:cs="Calibri"/>
                <w:szCs w:val="22"/>
              </w:rPr>
              <w:t xml:space="preserve">The </w:t>
            </w:r>
            <w:r w:rsidR="00DB54AF" w:rsidRPr="007F430A">
              <w:rPr>
                <w:rFonts w:cs="Calibri"/>
                <w:szCs w:val="22"/>
              </w:rPr>
              <w:t xml:space="preserve">steering committee has decided not to pursue this recommendation. </w:t>
            </w:r>
          </w:p>
          <w:p w14:paraId="72CE04BD" w14:textId="6498CE47" w:rsidR="00A77791" w:rsidRDefault="00A77791" w:rsidP="00A77791">
            <w:pPr>
              <w:spacing w:after="0"/>
              <w:contextualSpacing/>
              <w:rPr>
                <w:rFonts w:cs="Calibri"/>
                <w:szCs w:val="22"/>
              </w:rPr>
            </w:pPr>
            <w:r>
              <w:rPr>
                <w:rFonts w:cs="Calibri"/>
                <w:szCs w:val="22"/>
              </w:rPr>
              <w:t xml:space="preserve">The Companies Act does not include any clauses making it a legal requirement </w:t>
            </w:r>
            <w:proofErr w:type="gramStart"/>
            <w:r>
              <w:rPr>
                <w:rFonts w:cs="Calibri"/>
                <w:szCs w:val="22"/>
              </w:rPr>
              <w:t xml:space="preserve">for  </w:t>
            </w:r>
            <w:r w:rsidRPr="00A77791">
              <w:rPr>
                <w:rFonts w:cs="Calibri"/>
                <w:szCs w:val="22"/>
              </w:rPr>
              <w:t>subsidiary</w:t>
            </w:r>
            <w:proofErr w:type="gramEnd"/>
            <w:r w:rsidRPr="00A77791">
              <w:rPr>
                <w:rFonts w:cs="Calibri"/>
                <w:szCs w:val="22"/>
              </w:rPr>
              <w:t xml:space="preserve"> companies to have </w:t>
            </w:r>
            <w:r>
              <w:rPr>
                <w:rFonts w:cs="Calibri"/>
                <w:szCs w:val="22"/>
              </w:rPr>
              <w:t xml:space="preserve">audited </w:t>
            </w:r>
            <w:r>
              <w:rPr>
                <w:rFonts w:cs="Calibri"/>
                <w:szCs w:val="22"/>
              </w:rPr>
              <w:lastRenderedPageBreak/>
              <w:t>financial statements</w:t>
            </w:r>
            <w:r w:rsidRPr="00A77791">
              <w:rPr>
                <w:rFonts w:cs="Calibri"/>
                <w:szCs w:val="22"/>
              </w:rPr>
              <w:t>.</w:t>
            </w:r>
            <w:r>
              <w:rPr>
                <w:rFonts w:cs="Calibri"/>
                <w:szCs w:val="22"/>
              </w:rPr>
              <w:t xml:space="preserve"> </w:t>
            </w:r>
            <w:r w:rsidRPr="00A77791">
              <w:rPr>
                <w:rFonts w:cs="Calibri"/>
                <w:szCs w:val="22"/>
              </w:rPr>
              <w:t xml:space="preserve">Audited accounts for subsidiaries </w:t>
            </w:r>
            <w:proofErr w:type="gramStart"/>
            <w:r w:rsidRPr="00A77791">
              <w:rPr>
                <w:rFonts w:cs="Calibri"/>
                <w:szCs w:val="22"/>
              </w:rPr>
              <w:t>is</w:t>
            </w:r>
            <w:proofErr w:type="gramEnd"/>
            <w:r w:rsidRPr="00A77791">
              <w:rPr>
                <w:rFonts w:cs="Calibri"/>
                <w:szCs w:val="22"/>
              </w:rPr>
              <w:t xml:space="preserve"> a policy decision by companies.</w:t>
            </w:r>
          </w:p>
          <w:p w14:paraId="58870A5A" w14:textId="4083D4A2" w:rsidR="00D428A7" w:rsidRPr="007F430A" w:rsidRDefault="00DB54AF" w:rsidP="002644D9">
            <w:pPr>
              <w:spacing w:after="0"/>
              <w:contextualSpacing/>
              <w:rPr>
                <w:rFonts w:cs="Calibri"/>
                <w:szCs w:val="22"/>
              </w:rPr>
            </w:pPr>
            <w:r w:rsidRPr="007F430A">
              <w:rPr>
                <w:rFonts w:cs="Calibri"/>
                <w:szCs w:val="22"/>
              </w:rPr>
              <w:t>Given th</w:t>
            </w:r>
            <w:r w:rsidR="00A876DE" w:rsidRPr="007F430A">
              <w:rPr>
                <w:rFonts w:cs="Calibri"/>
                <w:szCs w:val="22"/>
              </w:rPr>
              <w:t xml:space="preserve">e need to optimize operations and reduce costs, companies noted that preparing audits for local subsidiaries would be an additional operating expense. </w:t>
            </w:r>
            <w:proofErr w:type="gramStart"/>
            <w:r w:rsidR="0008407F" w:rsidRPr="007F430A">
              <w:rPr>
                <w:rFonts w:cs="Calibri"/>
                <w:szCs w:val="22"/>
              </w:rPr>
              <w:t>Furthermore</w:t>
            </w:r>
            <w:proofErr w:type="gramEnd"/>
            <w:r w:rsidR="0008407F" w:rsidRPr="007F430A">
              <w:rPr>
                <w:rFonts w:cs="Calibri"/>
                <w:szCs w:val="22"/>
              </w:rPr>
              <w:t xml:space="preserve"> despite the IA citing </w:t>
            </w:r>
            <w:r w:rsidRPr="007F430A">
              <w:rPr>
                <w:rFonts w:cs="Calibri"/>
                <w:szCs w:val="22"/>
              </w:rPr>
              <w:t xml:space="preserve">only 18 companies providing </w:t>
            </w:r>
            <w:r w:rsidR="00A876DE" w:rsidRPr="007F430A">
              <w:rPr>
                <w:rFonts w:cs="Calibri"/>
                <w:szCs w:val="22"/>
              </w:rPr>
              <w:t>audited financial statements</w:t>
            </w:r>
            <w:r w:rsidR="00A0365E">
              <w:rPr>
                <w:rFonts w:cs="Calibri"/>
                <w:szCs w:val="22"/>
              </w:rPr>
              <w:t>, companies that do provide statements</w:t>
            </w:r>
            <w:r w:rsidR="00A876DE" w:rsidRPr="007F430A">
              <w:rPr>
                <w:rFonts w:cs="Calibri"/>
                <w:szCs w:val="22"/>
              </w:rPr>
              <w:t xml:space="preserve"> accounts for</w:t>
            </w:r>
            <w:r w:rsidR="00A628EC" w:rsidRPr="007F430A">
              <w:rPr>
                <w:rFonts w:cs="Calibri"/>
                <w:szCs w:val="22"/>
              </w:rPr>
              <w:t xml:space="preserve"> 90% of total revenue payments reported. (See Section 3.4 of 2018 EITI Report)</w:t>
            </w:r>
            <w:r w:rsidR="00A77791">
              <w:rPr>
                <w:rFonts w:cs="Calibri"/>
                <w:szCs w:val="22"/>
              </w:rPr>
              <w:t xml:space="preserve">. The reporting template, endorsed by the steering committee, also requests companies provide audited financial statements and other supporting documents as well as request executive signatures/sign off on the information provided. </w:t>
            </w:r>
          </w:p>
        </w:tc>
      </w:tr>
      <w:tr w:rsidR="00D428A7" w:rsidRPr="007F430A" w14:paraId="08834CB6" w14:textId="77777777" w:rsidTr="002644D9">
        <w:trPr>
          <w:trHeight w:val="318"/>
        </w:trPr>
        <w:tc>
          <w:tcPr>
            <w:tcW w:w="3686" w:type="dxa"/>
          </w:tcPr>
          <w:p w14:paraId="21A17445" w14:textId="77777777" w:rsidR="00D428A7" w:rsidRPr="007F430A" w:rsidRDefault="00D428A7" w:rsidP="002644D9">
            <w:pPr>
              <w:spacing w:after="0"/>
              <w:contextualSpacing/>
              <w:rPr>
                <w:rFonts w:cs="Calibri"/>
                <w:i/>
                <w:szCs w:val="22"/>
              </w:rPr>
            </w:pPr>
          </w:p>
        </w:tc>
        <w:tc>
          <w:tcPr>
            <w:tcW w:w="5953" w:type="dxa"/>
          </w:tcPr>
          <w:p w14:paraId="49F64A0A" w14:textId="77777777" w:rsidR="00D428A7" w:rsidRPr="007F430A" w:rsidRDefault="00D428A7" w:rsidP="002644D9">
            <w:pPr>
              <w:spacing w:after="0"/>
              <w:contextualSpacing/>
              <w:rPr>
                <w:rFonts w:cs="Calibri"/>
                <w:szCs w:val="22"/>
              </w:rPr>
            </w:pPr>
          </w:p>
        </w:tc>
      </w:tr>
      <w:tr w:rsidR="00D428A7" w:rsidRPr="007F430A" w14:paraId="65DED2F5" w14:textId="77777777" w:rsidTr="002644D9">
        <w:trPr>
          <w:trHeight w:val="318"/>
        </w:trPr>
        <w:tc>
          <w:tcPr>
            <w:tcW w:w="3686" w:type="dxa"/>
          </w:tcPr>
          <w:p w14:paraId="3AC129E9" w14:textId="6BFAAB84" w:rsidR="00D428A7" w:rsidRPr="007F430A" w:rsidRDefault="002135BC" w:rsidP="002644D9">
            <w:pPr>
              <w:spacing w:after="0"/>
              <w:contextualSpacing/>
              <w:rPr>
                <w:rFonts w:cs="Calibri"/>
                <w:i/>
                <w:szCs w:val="22"/>
              </w:rPr>
            </w:pPr>
            <w:r w:rsidRPr="007F430A">
              <w:rPr>
                <w:rFonts w:cs="Calibri"/>
                <w:i/>
                <w:szCs w:val="22"/>
              </w:rPr>
              <w:t xml:space="preserve">Mining Sector </w:t>
            </w:r>
          </w:p>
        </w:tc>
        <w:tc>
          <w:tcPr>
            <w:tcW w:w="5953" w:type="dxa"/>
          </w:tcPr>
          <w:p w14:paraId="1F71A54A" w14:textId="453AB967" w:rsidR="00D428A7" w:rsidRPr="007F430A" w:rsidRDefault="0084431C" w:rsidP="002644D9">
            <w:pPr>
              <w:spacing w:after="0"/>
              <w:contextualSpacing/>
              <w:rPr>
                <w:rFonts w:cs="Calibri"/>
                <w:szCs w:val="22"/>
              </w:rPr>
            </w:pPr>
            <w:r w:rsidRPr="007F430A">
              <w:rPr>
                <w:rFonts w:cs="Calibri"/>
                <w:szCs w:val="22"/>
              </w:rPr>
              <w:t xml:space="preserve">This recommendation has not been </w:t>
            </w:r>
            <w:proofErr w:type="gramStart"/>
            <w:r w:rsidRPr="007F430A">
              <w:rPr>
                <w:rFonts w:cs="Calibri"/>
                <w:szCs w:val="22"/>
              </w:rPr>
              <w:t>met  as</w:t>
            </w:r>
            <w:proofErr w:type="gramEnd"/>
            <w:r w:rsidRPr="007F430A">
              <w:rPr>
                <w:rFonts w:cs="Calibri"/>
                <w:szCs w:val="22"/>
              </w:rPr>
              <w:t xml:space="preserve"> there is still no time bound plan articulated to grant outstanding </w:t>
            </w:r>
            <w:proofErr w:type="spellStart"/>
            <w:r w:rsidRPr="007F430A">
              <w:rPr>
                <w:rFonts w:cs="Calibri"/>
                <w:szCs w:val="22"/>
              </w:rPr>
              <w:t>licences</w:t>
            </w:r>
            <w:proofErr w:type="spellEnd"/>
            <w:r w:rsidRPr="007F430A">
              <w:rPr>
                <w:rFonts w:cs="Calibri"/>
                <w:szCs w:val="22"/>
              </w:rPr>
              <w:t xml:space="preserve"> and drone technology has not been deployed</w:t>
            </w:r>
            <w:r w:rsidR="000C515B" w:rsidRPr="007F430A">
              <w:rPr>
                <w:rFonts w:cs="Calibri"/>
                <w:szCs w:val="22"/>
              </w:rPr>
              <w:t xml:space="preserve"> by the MEEI</w:t>
            </w:r>
            <w:r w:rsidRPr="007F430A">
              <w:rPr>
                <w:rFonts w:cs="Calibri"/>
                <w:szCs w:val="22"/>
              </w:rPr>
              <w:t xml:space="preserve">. The TTEITI </w:t>
            </w:r>
            <w:r w:rsidR="000C515B" w:rsidRPr="007F430A">
              <w:rPr>
                <w:rFonts w:cs="Calibri"/>
                <w:szCs w:val="22"/>
              </w:rPr>
              <w:t>Steering Committee has advocated for improvements in mining sector governance by hosting a series of workshops aimed at providing solutions to sector challenges. The first workshop was held on March 23, 2022 and outlined Government</w:t>
            </w:r>
            <w:r w:rsidR="001106E1" w:rsidRPr="007F430A">
              <w:rPr>
                <w:rFonts w:cs="Calibri"/>
                <w:szCs w:val="22"/>
              </w:rPr>
              <w:t xml:space="preserve">’s planned </w:t>
            </w:r>
            <w:r w:rsidR="000C515B" w:rsidRPr="007F430A">
              <w:rPr>
                <w:rFonts w:cs="Calibri"/>
                <w:szCs w:val="22"/>
              </w:rPr>
              <w:t xml:space="preserve">reforms, using drone technology solutions to improve royalty collection and </w:t>
            </w:r>
            <w:r w:rsidR="001106E1" w:rsidRPr="007F430A">
              <w:rPr>
                <w:rFonts w:cs="Calibri"/>
                <w:szCs w:val="22"/>
              </w:rPr>
              <w:t xml:space="preserve">the link between competence training and compliance. </w:t>
            </w:r>
          </w:p>
        </w:tc>
      </w:tr>
      <w:tr w:rsidR="00D428A7" w:rsidRPr="007F430A" w14:paraId="7E985510" w14:textId="77777777" w:rsidTr="002644D9">
        <w:trPr>
          <w:trHeight w:val="318"/>
        </w:trPr>
        <w:tc>
          <w:tcPr>
            <w:tcW w:w="3686" w:type="dxa"/>
          </w:tcPr>
          <w:p w14:paraId="5DAD4B62" w14:textId="77777777" w:rsidR="00D428A7" w:rsidRPr="007F430A" w:rsidRDefault="00D428A7" w:rsidP="002644D9">
            <w:pPr>
              <w:spacing w:after="0"/>
              <w:contextualSpacing/>
              <w:rPr>
                <w:rFonts w:cs="Calibri"/>
                <w:i/>
                <w:szCs w:val="22"/>
              </w:rPr>
            </w:pPr>
          </w:p>
        </w:tc>
        <w:tc>
          <w:tcPr>
            <w:tcW w:w="5953" w:type="dxa"/>
          </w:tcPr>
          <w:p w14:paraId="5C31D3D4" w14:textId="77777777" w:rsidR="00D428A7" w:rsidRPr="007F430A" w:rsidRDefault="00D428A7" w:rsidP="002644D9">
            <w:pPr>
              <w:spacing w:after="0"/>
              <w:contextualSpacing/>
              <w:rPr>
                <w:rFonts w:cs="Calibri"/>
                <w:szCs w:val="22"/>
              </w:rPr>
            </w:pPr>
          </w:p>
        </w:tc>
      </w:tr>
      <w:tr w:rsidR="00D428A7" w:rsidRPr="007F430A" w14:paraId="2FAD6FD8" w14:textId="77777777" w:rsidTr="002644D9">
        <w:trPr>
          <w:trHeight w:val="318"/>
        </w:trPr>
        <w:tc>
          <w:tcPr>
            <w:tcW w:w="3686" w:type="dxa"/>
          </w:tcPr>
          <w:p w14:paraId="771AF4EF" w14:textId="042D8B52" w:rsidR="00D428A7" w:rsidRPr="007F430A" w:rsidRDefault="0016038F" w:rsidP="002644D9">
            <w:pPr>
              <w:spacing w:after="0"/>
              <w:contextualSpacing/>
              <w:rPr>
                <w:rFonts w:cs="Calibri"/>
                <w:i/>
                <w:szCs w:val="22"/>
              </w:rPr>
            </w:pPr>
            <w:r w:rsidRPr="007F430A">
              <w:rPr>
                <w:rFonts w:cs="Calibri"/>
                <w:i/>
                <w:szCs w:val="22"/>
              </w:rPr>
              <w:t xml:space="preserve">Escrow Accounts </w:t>
            </w:r>
          </w:p>
        </w:tc>
        <w:tc>
          <w:tcPr>
            <w:tcW w:w="5953" w:type="dxa"/>
          </w:tcPr>
          <w:p w14:paraId="60336B6F" w14:textId="0F78C564" w:rsidR="00D428A7" w:rsidRPr="007F430A" w:rsidRDefault="001106E1" w:rsidP="002644D9">
            <w:pPr>
              <w:spacing w:after="0"/>
              <w:contextualSpacing/>
              <w:rPr>
                <w:rFonts w:cs="Calibri"/>
                <w:szCs w:val="22"/>
              </w:rPr>
            </w:pPr>
            <w:r w:rsidRPr="007F430A">
              <w:rPr>
                <w:rFonts w:cs="Calibri"/>
                <w:szCs w:val="22"/>
              </w:rPr>
              <w:t xml:space="preserve">This </w:t>
            </w:r>
            <w:r w:rsidR="00244E71" w:rsidRPr="007F430A">
              <w:rPr>
                <w:rFonts w:cs="Calibri"/>
                <w:szCs w:val="22"/>
              </w:rPr>
              <w:t xml:space="preserve">recommendation has not been </w:t>
            </w:r>
            <w:r w:rsidR="00A77791">
              <w:rPr>
                <w:rFonts w:cs="Calibri"/>
                <w:szCs w:val="22"/>
              </w:rPr>
              <w:t xml:space="preserve">met </w:t>
            </w:r>
            <w:r w:rsidR="00244E71" w:rsidRPr="007F430A">
              <w:rPr>
                <w:rFonts w:cs="Calibri"/>
                <w:szCs w:val="22"/>
              </w:rPr>
              <w:t>as the TTEITI Steering Committee deferred reconciliation of escrow payments until the new IA was procured.</w:t>
            </w:r>
          </w:p>
        </w:tc>
      </w:tr>
      <w:tr w:rsidR="00D428A7" w:rsidRPr="007F430A" w14:paraId="09A38A56" w14:textId="77777777" w:rsidTr="002644D9">
        <w:trPr>
          <w:trHeight w:val="318"/>
        </w:trPr>
        <w:tc>
          <w:tcPr>
            <w:tcW w:w="3686" w:type="dxa"/>
          </w:tcPr>
          <w:p w14:paraId="6301CBBA" w14:textId="3AE74D69" w:rsidR="00D428A7" w:rsidRPr="007F430A" w:rsidRDefault="002135BC" w:rsidP="002644D9">
            <w:pPr>
              <w:spacing w:after="0"/>
              <w:contextualSpacing/>
              <w:rPr>
                <w:rFonts w:cs="Calibri"/>
                <w:i/>
                <w:szCs w:val="22"/>
              </w:rPr>
            </w:pPr>
            <w:r w:rsidRPr="007F430A">
              <w:rPr>
                <w:rFonts w:cs="Calibri"/>
                <w:i/>
                <w:szCs w:val="22"/>
              </w:rPr>
              <w:t xml:space="preserve">Petroleum License Register </w:t>
            </w:r>
          </w:p>
        </w:tc>
        <w:tc>
          <w:tcPr>
            <w:tcW w:w="5953" w:type="dxa"/>
          </w:tcPr>
          <w:p w14:paraId="56F17F0A" w14:textId="3B6FE5D8" w:rsidR="00D428A7" w:rsidRPr="007F430A" w:rsidRDefault="002135BC" w:rsidP="002644D9">
            <w:pPr>
              <w:spacing w:after="0"/>
              <w:contextualSpacing/>
              <w:rPr>
                <w:rFonts w:cs="Calibri"/>
                <w:szCs w:val="22"/>
              </w:rPr>
            </w:pPr>
            <w:r w:rsidRPr="007F430A">
              <w:rPr>
                <w:rFonts w:cs="Calibri"/>
                <w:szCs w:val="22"/>
              </w:rPr>
              <w:t xml:space="preserve">This recommendation has been fully met as the register was reviewed by the Ministry of Energy Legal Unit and the TTEITI Secretariat, focusing on nomenclature and history of the license’s owners etc.  </w:t>
            </w:r>
          </w:p>
        </w:tc>
      </w:tr>
    </w:tbl>
    <w:p w14:paraId="258E706B" w14:textId="77777777" w:rsidR="00C6608B" w:rsidRPr="007F430A" w:rsidRDefault="00C6608B" w:rsidP="00C6608B">
      <w:pPr>
        <w:rPr>
          <w:szCs w:val="22"/>
        </w:rPr>
      </w:pPr>
    </w:p>
    <w:p w14:paraId="647B7ACE" w14:textId="77777777" w:rsidR="00C6608B" w:rsidRPr="007F430A" w:rsidRDefault="00C6608B" w:rsidP="00C6608B">
      <w:pPr>
        <w:rPr>
          <w:szCs w:val="22"/>
        </w:rPr>
      </w:pPr>
      <w:r w:rsidRPr="007F430A">
        <w:rPr>
          <w:b/>
          <w:bCs/>
          <w:szCs w:val="22"/>
        </w:rPr>
        <w:t>6. How have lessons learned from EITI implementation informed the current work plan?</w:t>
      </w:r>
      <w:r w:rsidRPr="007F430A">
        <w:rPr>
          <w:szCs w:val="22"/>
        </w:rPr>
        <w:t xml:space="preserve"> </w:t>
      </w:r>
    </w:p>
    <w:tbl>
      <w:tblPr>
        <w:tblStyle w:val="TableGrid"/>
        <w:tblW w:w="0" w:type="auto"/>
        <w:tblLook w:val="04A0" w:firstRow="1" w:lastRow="0" w:firstColumn="1" w:lastColumn="0" w:noHBand="0" w:noVBand="1"/>
      </w:tblPr>
      <w:tblGrid>
        <w:gridCol w:w="9062"/>
      </w:tblGrid>
      <w:tr w:rsidR="00C6608B" w:rsidRPr="007F430A" w14:paraId="6097B050" w14:textId="77777777" w:rsidTr="002644D9">
        <w:tc>
          <w:tcPr>
            <w:tcW w:w="9062" w:type="dxa"/>
          </w:tcPr>
          <w:p w14:paraId="70232B0B" w14:textId="60CCB45F" w:rsidR="00C6608B" w:rsidRPr="007F430A" w:rsidRDefault="00B261C6" w:rsidP="002644D9">
            <w:pPr>
              <w:rPr>
                <w:szCs w:val="22"/>
              </w:rPr>
            </w:pPr>
            <w:r w:rsidRPr="007F430A">
              <w:rPr>
                <w:szCs w:val="22"/>
              </w:rPr>
              <w:t xml:space="preserve">The Steering Committee </w:t>
            </w:r>
            <w:r w:rsidR="00FB2AC4" w:rsidRPr="007F430A">
              <w:rPr>
                <w:szCs w:val="22"/>
              </w:rPr>
              <w:t>in several meetings reflected on the</w:t>
            </w:r>
            <w:r w:rsidRPr="007F430A">
              <w:rPr>
                <w:szCs w:val="22"/>
              </w:rPr>
              <w:t xml:space="preserve"> </w:t>
            </w:r>
            <w:r w:rsidR="00FB2AC4" w:rsidRPr="007F430A">
              <w:rPr>
                <w:szCs w:val="22"/>
              </w:rPr>
              <w:t>successes and challenges in implementing the previous work plan. The committee looked at setting more realistic targets and better defining measures of success and</w:t>
            </w:r>
            <w:r w:rsidRPr="007F430A">
              <w:rPr>
                <w:szCs w:val="22"/>
              </w:rPr>
              <w:t xml:space="preserve"> in</w:t>
            </w:r>
            <w:r w:rsidR="00FB2AC4" w:rsidRPr="007F430A">
              <w:rPr>
                <w:szCs w:val="22"/>
              </w:rPr>
              <w:t xml:space="preserve">termediate outcomes, especially as it related to EITI legislation and increasing public awareness. </w:t>
            </w:r>
            <w:r w:rsidR="005D032A" w:rsidRPr="007F430A">
              <w:rPr>
                <w:szCs w:val="22"/>
              </w:rPr>
              <w:t>Based on the review, a</w:t>
            </w:r>
            <w:r w:rsidR="00FB2AC4" w:rsidRPr="007F430A">
              <w:rPr>
                <w:szCs w:val="22"/>
              </w:rPr>
              <w:t xml:space="preserve"> more </w:t>
            </w:r>
            <w:r w:rsidR="00244E71" w:rsidRPr="007F430A">
              <w:rPr>
                <w:szCs w:val="22"/>
              </w:rPr>
              <w:t>considered</w:t>
            </w:r>
            <w:r w:rsidR="00FB2AC4" w:rsidRPr="007F430A">
              <w:rPr>
                <w:szCs w:val="22"/>
              </w:rPr>
              <w:t xml:space="preserve"> focus on </w:t>
            </w:r>
            <w:r w:rsidR="00244E71" w:rsidRPr="007F430A">
              <w:rPr>
                <w:szCs w:val="22"/>
              </w:rPr>
              <w:t xml:space="preserve">strategic </w:t>
            </w:r>
            <w:r w:rsidR="00FB2AC4" w:rsidRPr="007F430A">
              <w:rPr>
                <w:szCs w:val="22"/>
              </w:rPr>
              <w:t>communications and getting high level buy-in wa</w:t>
            </w:r>
            <w:r w:rsidR="005D032A" w:rsidRPr="007F430A">
              <w:rPr>
                <w:szCs w:val="22"/>
              </w:rPr>
              <w:t xml:space="preserve">s </w:t>
            </w:r>
            <w:r w:rsidR="0084431C" w:rsidRPr="007F430A">
              <w:rPr>
                <w:szCs w:val="22"/>
              </w:rPr>
              <w:t>agreed</w:t>
            </w:r>
            <w:r w:rsidR="005D032A" w:rsidRPr="007F430A">
              <w:rPr>
                <w:szCs w:val="22"/>
              </w:rPr>
              <w:t xml:space="preserve">. The committee also decided on areas of innovation, including environmental reporting and undertaking </w:t>
            </w:r>
            <w:r w:rsidR="00244E71" w:rsidRPr="007F430A">
              <w:rPr>
                <w:szCs w:val="22"/>
              </w:rPr>
              <w:t xml:space="preserve">environmental </w:t>
            </w:r>
            <w:r w:rsidR="005D032A" w:rsidRPr="007F430A">
              <w:rPr>
                <w:szCs w:val="22"/>
              </w:rPr>
              <w:t>impact studies</w:t>
            </w:r>
            <w:r w:rsidR="002F5457">
              <w:rPr>
                <w:szCs w:val="22"/>
              </w:rPr>
              <w:t xml:space="preserve"> and felt</w:t>
            </w:r>
            <w:r w:rsidR="002F5457">
              <w:rPr>
                <w:szCs w:val="22"/>
              </w:rPr>
              <w:t xml:space="preserve"> these interventions</w:t>
            </w:r>
            <w:r w:rsidR="005D032A" w:rsidRPr="007F430A">
              <w:rPr>
                <w:szCs w:val="22"/>
              </w:rPr>
              <w:t xml:space="preserve"> would be timely given the COP-26 meetings as well as civil society interest in environmental issues.</w:t>
            </w:r>
            <w:r w:rsidR="00244E71" w:rsidRPr="007F430A">
              <w:rPr>
                <w:szCs w:val="22"/>
              </w:rPr>
              <w:t xml:space="preserve"> A survey of committee members along with a </w:t>
            </w:r>
            <w:proofErr w:type="gramStart"/>
            <w:r w:rsidR="00244E71" w:rsidRPr="007F430A">
              <w:rPr>
                <w:szCs w:val="22"/>
              </w:rPr>
              <w:t>Blue Sky</w:t>
            </w:r>
            <w:proofErr w:type="gramEnd"/>
            <w:r w:rsidR="00244E71" w:rsidRPr="007F430A">
              <w:rPr>
                <w:szCs w:val="22"/>
              </w:rPr>
              <w:t xml:space="preserve"> session also guided where strategic priorities should be focus of EITI implementation. </w:t>
            </w:r>
          </w:p>
          <w:p w14:paraId="103728A7" w14:textId="44474289" w:rsidR="00C6608B" w:rsidRPr="007F430A" w:rsidRDefault="00244E71" w:rsidP="002644D9">
            <w:pPr>
              <w:rPr>
                <w:szCs w:val="22"/>
              </w:rPr>
            </w:pPr>
            <w:r w:rsidRPr="007F430A">
              <w:rPr>
                <w:szCs w:val="22"/>
              </w:rPr>
              <w:t xml:space="preserve">See: Findings </w:t>
            </w:r>
            <w:r w:rsidR="00034195" w:rsidRPr="007F430A">
              <w:rPr>
                <w:szCs w:val="22"/>
              </w:rPr>
              <w:t>of CS and MSG Survey on workplan</w:t>
            </w:r>
          </w:p>
          <w:p w14:paraId="2F1F58A0" w14:textId="77777777" w:rsidR="00C6608B" w:rsidRPr="007F430A" w:rsidRDefault="00C6608B" w:rsidP="002644D9">
            <w:pPr>
              <w:rPr>
                <w:szCs w:val="22"/>
              </w:rPr>
            </w:pPr>
          </w:p>
        </w:tc>
      </w:tr>
    </w:tbl>
    <w:p w14:paraId="4B636B27" w14:textId="77777777" w:rsidR="00C6608B" w:rsidRPr="007F430A" w:rsidRDefault="00C6608B" w:rsidP="00C6608B">
      <w:pPr>
        <w:pStyle w:val="Heading2"/>
        <w:ind w:left="0" w:firstLine="0"/>
        <w:rPr>
          <w:sz w:val="22"/>
          <w:szCs w:val="22"/>
        </w:rPr>
      </w:pPr>
      <w:bookmarkStart w:id="4" w:name="_Toc57973528"/>
      <w:r w:rsidRPr="007F430A">
        <w:rPr>
          <w:sz w:val="22"/>
          <w:szCs w:val="22"/>
        </w:rPr>
        <w:lastRenderedPageBreak/>
        <w:t>Innovations and impact</w:t>
      </w:r>
      <w:bookmarkEnd w:id="4"/>
    </w:p>
    <w:p w14:paraId="4012949B" w14:textId="77777777" w:rsidR="00C6608B" w:rsidRPr="007F430A" w:rsidRDefault="00C6608B" w:rsidP="00C6608B">
      <w:pPr>
        <w:rPr>
          <w:szCs w:val="22"/>
        </w:rPr>
      </w:pPr>
      <w:r w:rsidRPr="0022643A">
        <w:rPr>
          <w:b/>
          <w:bCs/>
          <w:szCs w:val="22"/>
        </w:rPr>
        <w:t>7. Summarise any steps taken by the MSG to exceed EITI Requirements in a way that addresses n</w:t>
      </w:r>
      <w:r w:rsidRPr="007F430A">
        <w:rPr>
          <w:b/>
          <w:bCs/>
          <w:szCs w:val="22"/>
        </w:rPr>
        <w:t>ational or local extractive sector governance priorities</w:t>
      </w:r>
      <w:r w:rsidRPr="007F430A">
        <w:rPr>
          <w:szCs w:val="22"/>
        </w:rPr>
        <w:t xml:space="preserve">. </w:t>
      </w:r>
    </w:p>
    <w:tbl>
      <w:tblPr>
        <w:tblStyle w:val="TableGrid"/>
        <w:tblW w:w="0" w:type="auto"/>
        <w:tblLook w:val="04A0" w:firstRow="1" w:lastRow="0" w:firstColumn="1" w:lastColumn="0" w:noHBand="0" w:noVBand="1"/>
      </w:tblPr>
      <w:tblGrid>
        <w:gridCol w:w="9062"/>
      </w:tblGrid>
      <w:tr w:rsidR="00C6608B" w:rsidRPr="007F430A" w14:paraId="773CE10A" w14:textId="77777777" w:rsidTr="002644D9">
        <w:tc>
          <w:tcPr>
            <w:tcW w:w="9062" w:type="dxa"/>
          </w:tcPr>
          <w:p w14:paraId="088462B0" w14:textId="0F6A0327" w:rsidR="00834D89" w:rsidRPr="007F430A" w:rsidRDefault="00834D89" w:rsidP="00834D89">
            <w:pPr>
              <w:rPr>
                <w:szCs w:val="22"/>
              </w:rPr>
            </w:pPr>
            <w:r w:rsidRPr="007F430A">
              <w:rPr>
                <w:szCs w:val="22"/>
              </w:rPr>
              <w:t xml:space="preserve">Environmental Reporting: </w:t>
            </w:r>
            <w:r w:rsidR="002C05EE" w:rsidRPr="007F430A">
              <w:rPr>
                <w:szCs w:val="22"/>
              </w:rPr>
              <w:t xml:space="preserve">The TTEITI Steering Committee led by its civil society constituency has promoted environmental disclosures in EITI implementation. The EITI reports have disclosed information on oil spills, Paris Climate Change </w:t>
            </w:r>
            <w:r w:rsidR="00400BF3" w:rsidRPr="007F430A">
              <w:rPr>
                <w:szCs w:val="22"/>
              </w:rPr>
              <w:t xml:space="preserve">accord </w:t>
            </w:r>
            <w:r w:rsidR="002C05EE" w:rsidRPr="007F430A">
              <w:rPr>
                <w:szCs w:val="22"/>
              </w:rPr>
              <w:t>targets and gaps in environmental governance</w:t>
            </w:r>
            <w:r w:rsidR="00400BF3" w:rsidRPr="007F430A">
              <w:rPr>
                <w:szCs w:val="22"/>
              </w:rPr>
              <w:t xml:space="preserve"> </w:t>
            </w:r>
            <w:r w:rsidR="00107137" w:rsidRPr="007F430A">
              <w:rPr>
                <w:szCs w:val="22"/>
              </w:rPr>
              <w:t xml:space="preserve">including </w:t>
            </w:r>
            <w:r w:rsidR="00400BF3" w:rsidRPr="007F430A">
              <w:rPr>
                <w:szCs w:val="22"/>
              </w:rPr>
              <w:t>regulations</w:t>
            </w:r>
            <w:r w:rsidR="00107137" w:rsidRPr="007F430A">
              <w:rPr>
                <w:szCs w:val="22"/>
              </w:rPr>
              <w:t xml:space="preserve"> and</w:t>
            </w:r>
            <w:r w:rsidR="00400BF3" w:rsidRPr="007F430A">
              <w:rPr>
                <w:szCs w:val="22"/>
              </w:rPr>
              <w:t xml:space="preserve"> legislation. The committee also created an environmental reporting template for companies and the National Gas Company of Trinidad and Tobago will be the first EITI implementing company to disclose granular environmental information</w:t>
            </w:r>
            <w:r w:rsidR="00107137" w:rsidRPr="007F430A">
              <w:rPr>
                <w:szCs w:val="22"/>
              </w:rPr>
              <w:t xml:space="preserve"> on everything from its emissions to water usage for the 2019-2020 report.</w:t>
            </w:r>
            <w:r w:rsidR="00400BF3" w:rsidRPr="007F430A">
              <w:rPr>
                <w:szCs w:val="22"/>
              </w:rPr>
              <w:t xml:space="preserve"> </w:t>
            </w:r>
          </w:p>
          <w:p w14:paraId="23DBC531" w14:textId="0C9E6054" w:rsidR="00C6608B" w:rsidRPr="007F430A" w:rsidRDefault="00B37030" w:rsidP="002644D9">
            <w:pPr>
              <w:rPr>
                <w:szCs w:val="22"/>
              </w:rPr>
            </w:pPr>
            <w:r w:rsidRPr="007F430A">
              <w:rPr>
                <w:szCs w:val="22"/>
              </w:rPr>
              <w:t>Caribbean Outreach</w:t>
            </w:r>
            <w:r w:rsidR="00834D89" w:rsidRPr="007F430A">
              <w:rPr>
                <w:szCs w:val="22"/>
              </w:rPr>
              <w:t>:</w:t>
            </w:r>
            <w:r w:rsidRPr="007F430A">
              <w:rPr>
                <w:szCs w:val="22"/>
              </w:rPr>
              <w:t xml:space="preserve"> </w:t>
            </w:r>
            <w:r w:rsidR="00400BF3" w:rsidRPr="007F430A">
              <w:rPr>
                <w:szCs w:val="22"/>
              </w:rPr>
              <w:t xml:space="preserve">The TTEITI Steering Committee </w:t>
            </w:r>
            <w:r w:rsidR="00107137" w:rsidRPr="007F430A">
              <w:rPr>
                <w:szCs w:val="22"/>
              </w:rPr>
              <w:t xml:space="preserve">has assisted both the </w:t>
            </w:r>
            <w:r w:rsidRPr="007F430A">
              <w:rPr>
                <w:szCs w:val="22"/>
              </w:rPr>
              <w:t xml:space="preserve">Bahamas and Jamaica </w:t>
            </w:r>
            <w:r w:rsidR="00107137" w:rsidRPr="007F430A">
              <w:rPr>
                <w:szCs w:val="22"/>
              </w:rPr>
              <w:t>in preparing for EITI implementation</w:t>
            </w:r>
            <w:r w:rsidR="00061764" w:rsidRPr="007F430A">
              <w:rPr>
                <w:szCs w:val="22"/>
              </w:rPr>
              <w:t>,</w:t>
            </w:r>
            <w:r w:rsidR="00107137" w:rsidRPr="007F430A">
              <w:rPr>
                <w:szCs w:val="22"/>
              </w:rPr>
              <w:t xml:space="preserve"> meeting with key officials and highlighting </w:t>
            </w:r>
            <w:r w:rsidR="00061764" w:rsidRPr="007F430A">
              <w:rPr>
                <w:szCs w:val="22"/>
              </w:rPr>
              <w:t>challenges and benefits of EITI participation. Both Jamaica and the Bahamas are expected to sign up for the EITI in 2022. The committee continues to act as</w:t>
            </w:r>
            <w:r w:rsidR="00107137" w:rsidRPr="007F430A">
              <w:rPr>
                <w:szCs w:val="22"/>
              </w:rPr>
              <w:t xml:space="preserve"> EITI Champion in the Caribbean region</w:t>
            </w:r>
            <w:r w:rsidR="00061764" w:rsidRPr="007F430A">
              <w:rPr>
                <w:szCs w:val="22"/>
              </w:rPr>
              <w:t xml:space="preserve">, assisting counterparts in both Suriname and Guyana over the 2019-2022 period. </w:t>
            </w:r>
          </w:p>
          <w:p w14:paraId="3545FFB0" w14:textId="77777777" w:rsidR="00A77791" w:rsidRDefault="00061764" w:rsidP="002644D9">
            <w:pPr>
              <w:rPr>
                <w:szCs w:val="22"/>
              </w:rPr>
            </w:pPr>
            <w:r w:rsidRPr="007F430A">
              <w:rPr>
                <w:szCs w:val="22"/>
              </w:rPr>
              <w:t>Digital</w:t>
            </w:r>
            <w:r w:rsidR="00400BF3" w:rsidRPr="007F430A">
              <w:rPr>
                <w:szCs w:val="22"/>
              </w:rPr>
              <w:t xml:space="preserve"> Outreach: </w:t>
            </w:r>
            <w:r w:rsidRPr="007F430A">
              <w:rPr>
                <w:szCs w:val="22"/>
              </w:rPr>
              <w:t xml:space="preserve">With the onset of the Covid-19 pandemic, The TTEITI Steering Committee has pivoted to a digital strategy. The Committee has increased its online campaigns, using creative storytelling and </w:t>
            </w:r>
            <w:r w:rsidR="00A31604" w:rsidRPr="007F430A">
              <w:rPr>
                <w:szCs w:val="22"/>
              </w:rPr>
              <w:t>other content to connect with diverse audiences. Examples include the</w:t>
            </w:r>
            <w:r w:rsidRPr="007F430A">
              <w:rPr>
                <w:szCs w:val="22"/>
              </w:rPr>
              <w:t xml:space="preserve"> </w:t>
            </w:r>
            <w:r w:rsidR="00971124" w:rsidRPr="007F430A">
              <w:rPr>
                <w:szCs w:val="22"/>
              </w:rPr>
              <w:t>Budget Guide</w:t>
            </w:r>
            <w:r w:rsidR="00244E71" w:rsidRPr="007F430A">
              <w:rPr>
                <w:szCs w:val="22"/>
              </w:rPr>
              <w:t xml:space="preserve"> and </w:t>
            </w:r>
            <w:r w:rsidR="00A31604" w:rsidRPr="007F430A">
              <w:rPr>
                <w:szCs w:val="22"/>
              </w:rPr>
              <w:t xml:space="preserve">the 2021 State of the Extractive Sectors Report. </w:t>
            </w:r>
            <w:r w:rsidR="00971124" w:rsidRPr="007F430A">
              <w:rPr>
                <w:szCs w:val="22"/>
              </w:rPr>
              <w:t xml:space="preserve"> </w:t>
            </w:r>
          </w:p>
          <w:p w14:paraId="09A337CD" w14:textId="77777777" w:rsidR="00C6608B" w:rsidRDefault="005B1677" w:rsidP="002644D9">
            <w:pPr>
              <w:rPr>
                <w:szCs w:val="22"/>
              </w:rPr>
            </w:pPr>
            <w:r w:rsidRPr="007F430A">
              <w:rPr>
                <w:szCs w:val="22"/>
              </w:rPr>
              <w:t xml:space="preserve">BO Gap Analysis: The TTEITI Steering Committee has undertaken a review of national beneficial ownership legislation and provided recommendations on best practices from other jurisdictions to the Ministry of the Attorney General and Legal Affairs. </w:t>
            </w:r>
          </w:p>
          <w:p w14:paraId="52C8AA5F" w14:textId="5828456A" w:rsidR="00A77791" w:rsidRPr="007F430A" w:rsidRDefault="00A77791" w:rsidP="002644D9">
            <w:pPr>
              <w:rPr>
                <w:szCs w:val="22"/>
              </w:rPr>
            </w:pPr>
            <w:r>
              <w:rPr>
                <w:szCs w:val="22"/>
              </w:rPr>
              <w:t xml:space="preserve">Board participation: Trinidad and Tobago </w:t>
            </w:r>
            <w:proofErr w:type="gramStart"/>
            <w:r>
              <w:rPr>
                <w:szCs w:val="22"/>
              </w:rPr>
              <w:t>sits</w:t>
            </w:r>
            <w:proofErr w:type="gramEnd"/>
            <w:r>
              <w:rPr>
                <w:szCs w:val="22"/>
              </w:rPr>
              <w:t xml:space="preserve"> on the EITI International Board representing the Latin America and Caribbean region, participating in several committees and working groups aimed at assessing and improving EITI implementation. </w:t>
            </w:r>
          </w:p>
        </w:tc>
      </w:tr>
    </w:tbl>
    <w:p w14:paraId="7592375D" w14:textId="77777777" w:rsidR="00C6608B" w:rsidRPr="007F430A" w:rsidRDefault="00C6608B" w:rsidP="00C6608B">
      <w:pPr>
        <w:rPr>
          <w:szCs w:val="22"/>
        </w:rPr>
      </w:pPr>
    </w:p>
    <w:p w14:paraId="0562D902" w14:textId="77777777" w:rsidR="00C6608B" w:rsidRPr="007F430A" w:rsidRDefault="00C6608B" w:rsidP="00C6608B">
      <w:pPr>
        <w:rPr>
          <w:b/>
          <w:bCs/>
          <w:szCs w:val="22"/>
        </w:rPr>
      </w:pPr>
      <w:r w:rsidRPr="007F430A">
        <w:rPr>
          <w:b/>
          <w:bCs/>
          <w:szCs w:val="22"/>
        </w:rPr>
        <w:t>8. What kind of outcomes and impact have these measures resulted during the period under review?</w:t>
      </w:r>
    </w:p>
    <w:tbl>
      <w:tblPr>
        <w:tblStyle w:val="TableGrid"/>
        <w:tblW w:w="0" w:type="auto"/>
        <w:tblLook w:val="04A0" w:firstRow="1" w:lastRow="0" w:firstColumn="1" w:lastColumn="0" w:noHBand="0" w:noVBand="1"/>
      </w:tblPr>
      <w:tblGrid>
        <w:gridCol w:w="9062"/>
      </w:tblGrid>
      <w:tr w:rsidR="00C6608B" w:rsidRPr="007F430A" w14:paraId="1A3C4AEC" w14:textId="77777777" w:rsidTr="002644D9">
        <w:tc>
          <w:tcPr>
            <w:tcW w:w="9062" w:type="dxa"/>
          </w:tcPr>
          <w:p w14:paraId="3C2BDCB2" w14:textId="77777777" w:rsidR="00C6608B" w:rsidRPr="007F430A" w:rsidRDefault="00C6608B" w:rsidP="002644D9">
            <w:pPr>
              <w:rPr>
                <w:szCs w:val="22"/>
              </w:rPr>
            </w:pPr>
            <w:r w:rsidRPr="007F430A">
              <w:rPr>
                <w:i/>
                <w:iCs/>
                <w:szCs w:val="22"/>
              </w:rPr>
              <w:t>[Explain how the MSG tracks outputs, outcomes and impact and include link(s) to any relevant documents. Summarise the outcomes and impact of efforts to ensure that EITI implementation addresses national or local extractive sector priorities. If the MSG has documented this elsewhere, please provide a link to relevant documents. Outcomes and impact can be disaggregated by constituency or beneficiary group, if relevant.]</w:t>
            </w:r>
            <w:r w:rsidRPr="007F430A">
              <w:rPr>
                <w:szCs w:val="22"/>
              </w:rPr>
              <w:t>]</w:t>
            </w:r>
          </w:p>
          <w:p w14:paraId="79BE70A0" w14:textId="5990B6C7" w:rsidR="00C6608B" w:rsidRPr="00283F46" w:rsidRDefault="0005238C" w:rsidP="002644D9">
            <w:pPr>
              <w:rPr>
                <w:bCs/>
                <w:szCs w:val="22"/>
              </w:rPr>
            </w:pPr>
            <w:r w:rsidRPr="00283F46">
              <w:rPr>
                <w:bCs/>
                <w:szCs w:val="22"/>
              </w:rPr>
              <w:t xml:space="preserve">At </w:t>
            </w:r>
            <w:r w:rsidR="00777D3A" w:rsidRPr="00283F46">
              <w:rPr>
                <w:bCs/>
                <w:szCs w:val="22"/>
              </w:rPr>
              <w:t>its</w:t>
            </w:r>
            <w:r w:rsidRPr="00283F46">
              <w:rPr>
                <w:bCs/>
                <w:szCs w:val="22"/>
              </w:rPr>
              <w:t xml:space="preserve"> monthly </w:t>
            </w:r>
            <w:r w:rsidR="00E42D3C" w:rsidRPr="00283F46">
              <w:rPr>
                <w:bCs/>
                <w:szCs w:val="22"/>
              </w:rPr>
              <w:t xml:space="preserve">TTEITI </w:t>
            </w:r>
            <w:r w:rsidR="00544D5C" w:rsidRPr="00283F46">
              <w:rPr>
                <w:bCs/>
                <w:szCs w:val="22"/>
              </w:rPr>
              <w:t>Steering Committee meetings</w:t>
            </w:r>
            <w:r w:rsidRPr="00283F46">
              <w:rPr>
                <w:bCs/>
                <w:szCs w:val="22"/>
              </w:rPr>
              <w:t xml:space="preserve">, the </w:t>
            </w:r>
            <w:r w:rsidR="00544D5C" w:rsidRPr="00283F46">
              <w:rPr>
                <w:bCs/>
                <w:szCs w:val="22"/>
              </w:rPr>
              <w:t xml:space="preserve">TTEITI </w:t>
            </w:r>
            <w:r w:rsidRPr="00283F46">
              <w:rPr>
                <w:bCs/>
                <w:szCs w:val="22"/>
              </w:rPr>
              <w:t xml:space="preserve">Secretariat </w:t>
            </w:r>
            <w:r w:rsidR="00544D5C" w:rsidRPr="00283F46">
              <w:rPr>
                <w:bCs/>
                <w:szCs w:val="22"/>
              </w:rPr>
              <w:t xml:space="preserve">reports on </w:t>
            </w:r>
            <w:r w:rsidRPr="00283F46">
              <w:rPr>
                <w:bCs/>
                <w:szCs w:val="22"/>
              </w:rPr>
              <w:t>actions taken towards addressing the strategic pillars of the workplan.</w:t>
            </w:r>
            <w:r w:rsidR="00544D5C" w:rsidRPr="00283F46">
              <w:rPr>
                <w:bCs/>
                <w:szCs w:val="22"/>
              </w:rPr>
              <w:t xml:space="preserve"> The Secretariat</w:t>
            </w:r>
            <w:r w:rsidR="007912D2" w:rsidRPr="00283F46">
              <w:rPr>
                <w:bCs/>
                <w:szCs w:val="22"/>
              </w:rPr>
              <w:t xml:space="preserve"> </w:t>
            </w:r>
            <w:r w:rsidR="00E169C6" w:rsidRPr="00283F46">
              <w:rPr>
                <w:bCs/>
                <w:szCs w:val="22"/>
              </w:rPr>
              <w:t xml:space="preserve">reviews </w:t>
            </w:r>
            <w:r w:rsidR="00544D5C" w:rsidRPr="00283F46">
              <w:rPr>
                <w:bCs/>
                <w:szCs w:val="22"/>
              </w:rPr>
              <w:t xml:space="preserve">targets, </w:t>
            </w:r>
            <w:r w:rsidR="00544D5C" w:rsidRPr="00283F46">
              <w:rPr>
                <w:bCs/>
                <w:szCs w:val="22"/>
              </w:rPr>
              <w:lastRenderedPageBreak/>
              <w:t>indicators</w:t>
            </w:r>
            <w:r w:rsidR="00E169C6" w:rsidRPr="00283F46">
              <w:rPr>
                <w:bCs/>
                <w:szCs w:val="22"/>
              </w:rPr>
              <w:t xml:space="preserve"> and outcomes of workplan</w:t>
            </w:r>
            <w:r w:rsidR="00340B29" w:rsidRPr="00283F46">
              <w:rPr>
                <w:bCs/>
                <w:szCs w:val="22"/>
              </w:rPr>
              <w:t>, focusing on measur</w:t>
            </w:r>
            <w:r w:rsidR="007912D2" w:rsidRPr="00283F46">
              <w:rPr>
                <w:bCs/>
                <w:szCs w:val="22"/>
              </w:rPr>
              <w:t xml:space="preserve">ement tools and financial and human resource issues. </w:t>
            </w:r>
          </w:p>
          <w:p w14:paraId="4AE96ED5" w14:textId="3930F3DF" w:rsidR="008C121B" w:rsidRPr="00283F46" w:rsidRDefault="008C121B" w:rsidP="002644D9">
            <w:pPr>
              <w:rPr>
                <w:bCs/>
                <w:szCs w:val="22"/>
              </w:rPr>
            </w:pPr>
            <w:r w:rsidRPr="00283F46">
              <w:rPr>
                <w:bCs/>
                <w:szCs w:val="22"/>
              </w:rPr>
              <w:t>Mainstreaming</w:t>
            </w:r>
            <w:r w:rsidR="005D1C01" w:rsidRPr="00283F46">
              <w:rPr>
                <w:bCs/>
                <w:szCs w:val="22"/>
              </w:rPr>
              <w:t xml:space="preserve">: </w:t>
            </w:r>
            <w:r w:rsidR="007F5296" w:rsidRPr="00283F46">
              <w:rPr>
                <w:bCs/>
                <w:szCs w:val="22"/>
              </w:rPr>
              <w:t xml:space="preserve">With the global pandemic, Government has signaled its intention to promote digitalization in its Recovery Roadmap policy document. With mainstreaming, the TTEITI is aiming to improve on EITI data being available at source/online and providing up to date information. </w:t>
            </w:r>
            <w:r w:rsidR="005D1C01" w:rsidRPr="00283F46">
              <w:rPr>
                <w:bCs/>
                <w:szCs w:val="22"/>
              </w:rPr>
              <w:t xml:space="preserve">Based on the summary data templates for fiscal 2017 and fiscal 2018, mainstreamed data nearly doubled between the periods from 7% to 13%. </w:t>
            </w:r>
            <w:r w:rsidR="00FF3683" w:rsidRPr="00283F46">
              <w:rPr>
                <w:bCs/>
                <w:szCs w:val="22"/>
              </w:rPr>
              <w:t>In the 2021</w:t>
            </w:r>
            <w:r w:rsidR="004E6433" w:rsidRPr="00283F46">
              <w:rPr>
                <w:bCs/>
                <w:szCs w:val="22"/>
              </w:rPr>
              <w:t>-</w:t>
            </w:r>
            <w:r w:rsidR="00FF3683" w:rsidRPr="00283F46">
              <w:rPr>
                <w:bCs/>
                <w:szCs w:val="22"/>
              </w:rPr>
              <w:t xml:space="preserve">2023 workplan, the </w:t>
            </w:r>
            <w:r w:rsidR="004E6433" w:rsidRPr="00283F46">
              <w:rPr>
                <w:bCs/>
                <w:szCs w:val="22"/>
              </w:rPr>
              <w:t xml:space="preserve">committee has set a </w:t>
            </w:r>
            <w:r w:rsidR="005D1C01" w:rsidRPr="00283F46">
              <w:rPr>
                <w:bCs/>
                <w:szCs w:val="22"/>
              </w:rPr>
              <w:t>tar</w:t>
            </w:r>
            <w:r w:rsidR="004E6433" w:rsidRPr="00283F46">
              <w:rPr>
                <w:bCs/>
                <w:szCs w:val="22"/>
              </w:rPr>
              <w:t>get 30% of EITI data to be mainstreamed by</w:t>
            </w:r>
            <w:r w:rsidR="005D1C01" w:rsidRPr="00283F46">
              <w:rPr>
                <w:bCs/>
                <w:szCs w:val="22"/>
              </w:rPr>
              <w:t xml:space="preserve"> 2023</w:t>
            </w:r>
            <w:r w:rsidR="004E6433" w:rsidRPr="00283F46">
              <w:rPr>
                <w:bCs/>
                <w:szCs w:val="22"/>
              </w:rPr>
              <w:t>.</w:t>
            </w:r>
          </w:p>
          <w:p w14:paraId="0F7AB85A" w14:textId="5C0C5574" w:rsidR="008C121B" w:rsidRPr="00283F46" w:rsidRDefault="008C121B" w:rsidP="002644D9">
            <w:pPr>
              <w:rPr>
                <w:bCs/>
                <w:szCs w:val="22"/>
              </w:rPr>
            </w:pPr>
            <w:r w:rsidRPr="00283F46">
              <w:rPr>
                <w:bCs/>
                <w:szCs w:val="22"/>
              </w:rPr>
              <w:t>Mining Sector Participation</w:t>
            </w:r>
            <w:r w:rsidR="005D1C01" w:rsidRPr="00283F46">
              <w:rPr>
                <w:bCs/>
                <w:szCs w:val="22"/>
              </w:rPr>
              <w:t>:</w:t>
            </w:r>
            <w:r w:rsidR="00C8225F" w:rsidRPr="00283F46">
              <w:rPr>
                <w:bCs/>
                <w:szCs w:val="22"/>
              </w:rPr>
              <w:t xml:space="preserve"> The </w:t>
            </w:r>
            <w:proofErr w:type="gramStart"/>
            <w:r w:rsidR="00C8225F" w:rsidRPr="00283F46">
              <w:rPr>
                <w:bCs/>
                <w:szCs w:val="22"/>
              </w:rPr>
              <w:t>mining  sector</w:t>
            </w:r>
            <w:proofErr w:type="gramEnd"/>
            <w:r w:rsidR="00C8225F" w:rsidRPr="00283F46">
              <w:rPr>
                <w:bCs/>
                <w:szCs w:val="22"/>
              </w:rPr>
              <w:t xml:space="preserve"> faces several challenges including illegal quarrying, outstanding royalty payments, an ineffective licensing process etc. </w:t>
            </w:r>
            <w:r w:rsidR="004E6433" w:rsidRPr="00283F46">
              <w:rPr>
                <w:bCs/>
                <w:szCs w:val="22"/>
              </w:rPr>
              <w:t xml:space="preserve"> The TTEITI Steering Committee has </w:t>
            </w:r>
            <w:r w:rsidR="007F02A0" w:rsidRPr="00283F46">
              <w:rPr>
                <w:bCs/>
                <w:szCs w:val="22"/>
              </w:rPr>
              <w:t>not reached its target for 2 new mining companies to report annually</w:t>
            </w:r>
            <w:r w:rsidR="00E6191B">
              <w:rPr>
                <w:bCs/>
                <w:szCs w:val="22"/>
              </w:rPr>
              <w:t xml:space="preserve"> as only one new company agreed to implement EITI</w:t>
            </w:r>
            <w:r w:rsidR="007F02A0" w:rsidRPr="00283F46">
              <w:rPr>
                <w:bCs/>
                <w:szCs w:val="22"/>
              </w:rPr>
              <w:t xml:space="preserve">. However, </w:t>
            </w:r>
            <w:r w:rsidR="00C8225F" w:rsidRPr="00283F46">
              <w:rPr>
                <w:bCs/>
                <w:szCs w:val="22"/>
              </w:rPr>
              <w:t xml:space="preserve">the committee has revised its engagement strategy </w:t>
            </w:r>
            <w:r w:rsidR="001B125E" w:rsidRPr="00283F46">
              <w:rPr>
                <w:bCs/>
                <w:szCs w:val="22"/>
              </w:rPr>
              <w:t xml:space="preserve">with the sector and has planned a forum with a series of </w:t>
            </w:r>
            <w:r w:rsidR="00C277CE" w:rsidRPr="00283F46">
              <w:rPr>
                <w:bCs/>
                <w:szCs w:val="22"/>
              </w:rPr>
              <w:t xml:space="preserve">workshops aimed at addressing sector governance </w:t>
            </w:r>
            <w:proofErr w:type="gramStart"/>
            <w:r w:rsidR="00C277CE" w:rsidRPr="00283F46">
              <w:rPr>
                <w:bCs/>
                <w:szCs w:val="22"/>
              </w:rPr>
              <w:t xml:space="preserve">challenges </w:t>
            </w:r>
            <w:r w:rsidR="001B125E" w:rsidRPr="00283F46">
              <w:rPr>
                <w:bCs/>
                <w:szCs w:val="22"/>
              </w:rPr>
              <w:t>.</w:t>
            </w:r>
            <w:proofErr w:type="gramEnd"/>
            <w:r w:rsidR="001B125E" w:rsidRPr="00283F46">
              <w:rPr>
                <w:bCs/>
                <w:szCs w:val="22"/>
              </w:rPr>
              <w:t xml:space="preserve"> The first workshop was held on March 23, 2022 with others planned to run </w:t>
            </w:r>
            <w:r w:rsidR="00C277CE" w:rsidRPr="00283F46">
              <w:rPr>
                <w:bCs/>
                <w:szCs w:val="22"/>
              </w:rPr>
              <w:t>year throughout 2022.</w:t>
            </w:r>
            <w:r w:rsidR="001B125E" w:rsidRPr="00283F46">
              <w:rPr>
                <w:bCs/>
                <w:szCs w:val="22"/>
              </w:rPr>
              <w:t xml:space="preserve">  </w:t>
            </w:r>
          </w:p>
          <w:p w14:paraId="6992227B" w14:textId="0EAB440C" w:rsidR="00BC7611" w:rsidRPr="00283F46" w:rsidRDefault="001B2F20" w:rsidP="002644D9">
            <w:pPr>
              <w:rPr>
                <w:bCs/>
                <w:szCs w:val="22"/>
              </w:rPr>
            </w:pPr>
            <w:r w:rsidRPr="00283F46">
              <w:rPr>
                <w:bCs/>
                <w:szCs w:val="22"/>
              </w:rPr>
              <w:t>Legislative Change</w:t>
            </w:r>
            <w:r w:rsidR="00BC7611" w:rsidRPr="00283F46">
              <w:rPr>
                <w:bCs/>
                <w:szCs w:val="22"/>
              </w:rPr>
              <w:t>: In Trinidad and Tobago there are several legal barriers to EITI implementation and contract transparency. The TTEITI Steering Committee has promoted EITI legislation and including EITI clauses in oil, gas and mining contracts. There has been mixed success as Heritage Petroleum Limited included EITI reporting clauses in their new LOFO contracts. Government has also made beneficial owner</w:t>
            </w:r>
            <w:r w:rsidR="00395705" w:rsidRPr="00283F46">
              <w:rPr>
                <w:bCs/>
                <w:szCs w:val="22"/>
              </w:rPr>
              <w:t xml:space="preserve">ship disclosure requirements in the </w:t>
            </w:r>
            <w:proofErr w:type="spellStart"/>
            <w:r w:rsidR="00395705" w:rsidRPr="00283F46">
              <w:rPr>
                <w:bCs/>
                <w:szCs w:val="22"/>
              </w:rPr>
              <w:t>compeititve</w:t>
            </w:r>
            <w:proofErr w:type="spellEnd"/>
            <w:r w:rsidR="00395705" w:rsidRPr="00283F46">
              <w:rPr>
                <w:bCs/>
                <w:szCs w:val="22"/>
              </w:rPr>
              <w:t xml:space="preserve"> bidding order. The committee also submitted recommendations on amending the Petroleum Act to the Ministry of Energy’s legal unit. An updated legal opinion and research will be completed as part of an EITI International Latin America contract transparency study.</w:t>
            </w:r>
            <w:r w:rsidR="00822DEE" w:rsidRPr="00283F46">
              <w:rPr>
                <w:bCs/>
                <w:szCs w:val="22"/>
              </w:rPr>
              <w:t xml:space="preserve"> </w:t>
            </w:r>
            <w:r w:rsidR="00395705" w:rsidRPr="00283F46">
              <w:rPr>
                <w:bCs/>
                <w:szCs w:val="22"/>
              </w:rPr>
              <w:t xml:space="preserve">Despite these developments, EITI clauses have not been included in the new model production sharing contract and EITI legislation has not advanced. </w:t>
            </w:r>
            <w:r w:rsidR="00BC7611" w:rsidRPr="00283F46">
              <w:rPr>
                <w:bCs/>
                <w:szCs w:val="22"/>
              </w:rPr>
              <w:t>In a January 5, 2022 meeting with Minister of Energy Stuart Young the benefits of EITI legislation were outlined and Minister Young agreed to take another detailed look at EITI legislation</w:t>
            </w:r>
            <w:r w:rsidR="007C45B6">
              <w:rPr>
                <w:bCs/>
                <w:szCs w:val="22"/>
              </w:rPr>
              <w:t xml:space="preserve"> and confer with his Cabinet colleagues</w:t>
            </w:r>
            <w:r w:rsidR="00BC7611" w:rsidRPr="00283F46">
              <w:rPr>
                <w:bCs/>
                <w:szCs w:val="22"/>
              </w:rPr>
              <w:t xml:space="preserve">.  </w:t>
            </w:r>
          </w:p>
          <w:p w14:paraId="61DD7B27" w14:textId="7731C66E" w:rsidR="008C121B" w:rsidRPr="00283F46" w:rsidRDefault="00B5773C" w:rsidP="002644D9">
            <w:pPr>
              <w:rPr>
                <w:bCs/>
                <w:szCs w:val="22"/>
              </w:rPr>
            </w:pPr>
            <w:r w:rsidRPr="00283F46">
              <w:rPr>
                <w:bCs/>
                <w:szCs w:val="22"/>
              </w:rPr>
              <w:t>Public Awareness</w:t>
            </w:r>
            <w:r w:rsidR="005D1C01" w:rsidRPr="00283F46">
              <w:rPr>
                <w:bCs/>
                <w:szCs w:val="22"/>
              </w:rPr>
              <w:t xml:space="preserve">: </w:t>
            </w:r>
            <w:r w:rsidR="003A674A" w:rsidRPr="00283F46">
              <w:rPr>
                <w:bCs/>
                <w:szCs w:val="22"/>
              </w:rPr>
              <w:t>In order to foster debate and raise awareness on key extractive sector issues</w:t>
            </w:r>
            <w:r w:rsidR="003025A9" w:rsidRPr="00283F46">
              <w:rPr>
                <w:bCs/>
                <w:szCs w:val="22"/>
              </w:rPr>
              <w:t>, the TTEITI Steering Committee has developed a co</w:t>
            </w:r>
            <w:r w:rsidR="00883581" w:rsidRPr="00283F46">
              <w:rPr>
                <w:bCs/>
                <w:szCs w:val="22"/>
              </w:rPr>
              <w:t xml:space="preserve">mmunications strategy with its communication agency Yellow House Media. </w:t>
            </w:r>
            <w:r w:rsidR="003025A9" w:rsidRPr="00283F46">
              <w:rPr>
                <w:bCs/>
                <w:szCs w:val="22"/>
              </w:rPr>
              <w:t xml:space="preserve">As it relates to the outcomes the TTEITI has seen success in </w:t>
            </w:r>
            <w:r w:rsidR="00883581" w:rsidRPr="00283F46">
              <w:rPr>
                <w:bCs/>
                <w:szCs w:val="22"/>
              </w:rPr>
              <w:t xml:space="preserve">EITI data being used in public debate </w:t>
            </w:r>
            <w:r w:rsidR="003025A9" w:rsidRPr="00283F46">
              <w:rPr>
                <w:bCs/>
                <w:szCs w:val="22"/>
              </w:rPr>
              <w:t xml:space="preserve">(see public debate section of template). </w:t>
            </w:r>
            <w:r w:rsidR="00883581" w:rsidRPr="00283F46">
              <w:rPr>
                <w:bCs/>
                <w:szCs w:val="22"/>
              </w:rPr>
              <w:t>There has not been increased buy-in from Parliamentarians but the media and civil society have cited TTEITI data</w:t>
            </w:r>
            <w:r w:rsidR="002E4413" w:rsidRPr="00283F46">
              <w:rPr>
                <w:bCs/>
                <w:szCs w:val="22"/>
              </w:rPr>
              <w:t xml:space="preserve"> in several publications</w:t>
            </w:r>
            <w:r w:rsidR="00883581" w:rsidRPr="00283F46">
              <w:rPr>
                <w:bCs/>
                <w:szCs w:val="22"/>
              </w:rPr>
              <w:t xml:space="preserve">. The committee has set communication targets in January 2022 for reach, </w:t>
            </w:r>
            <w:r w:rsidR="00023469" w:rsidRPr="00283F46">
              <w:rPr>
                <w:bCs/>
                <w:szCs w:val="22"/>
              </w:rPr>
              <w:t>website visitors, page views, users</w:t>
            </w:r>
            <w:r w:rsidR="00883581" w:rsidRPr="00283F46">
              <w:rPr>
                <w:bCs/>
                <w:szCs w:val="22"/>
              </w:rPr>
              <w:t xml:space="preserve"> and engagement</w:t>
            </w:r>
            <w:r w:rsidR="00023469" w:rsidRPr="00283F46">
              <w:rPr>
                <w:bCs/>
                <w:szCs w:val="22"/>
              </w:rPr>
              <w:t xml:space="preserve">. </w:t>
            </w:r>
          </w:p>
          <w:p w14:paraId="7B64EF59" w14:textId="77777777" w:rsidR="00F56C6B" w:rsidRDefault="001F0C21" w:rsidP="002644D9">
            <w:pPr>
              <w:rPr>
                <w:bCs/>
                <w:szCs w:val="22"/>
              </w:rPr>
            </w:pPr>
            <w:r w:rsidRPr="00283F46">
              <w:rPr>
                <w:bCs/>
                <w:szCs w:val="22"/>
              </w:rPr>
              <w:t xml:space="preserve">The targets agreed to by the committee are a 10% increase in page views and users on the website and a 10% increase in engagement on social media. Between March 2019 to present our communication metrics were Facebook reach and website visitors, and page views. The data for 2019 was not collected due to reconstruction of the TTEITI website. For the period 2020 to present we have had an average of 17,000 users and </w:t>
            </w:r>
            <w:proofErr w:type="gramStart"/>
            <w:r w:rsidRPr="00283F46">
              <w:rPr>
                <w:bCs/>
                <w:szCs w:val="22"/>
              </w:rPr>
              <w:t>51,000 page</w:t>
            </w:r>
            <w:proofErr w:type="gramEnd"/>
            <w:r w:rsidRPr="00283F46">
              <w:rPr>
                <w:bCs/>
                <w:szCs w:val="22"/>
              </w:rPr>
              <w:t xml:space="preserve"> views. The tracking of Facebook reach began in 2021 and to date the reach has been approximately 500,000. </w:t>
            </w:r>
          </w:p>
          <w:p w14:paraId="7D34B8EE" w14:textId="603E5089" w:rsidR="00B5773C" w:rsidRPr="00283F46" w:rsidRDefault="00B5773C" w:rsidP="002644D9">
            <w:pPr>
              <w:rPr>
                <w:bCs/>
                <w:szCs w:val="22"/>
              </w:rPr>
            </w:pPr>
            <w:r w:rsidRPr="00283F46">
              <w:rPr>
                <w:bCs/>
                <w:szCs w:val="22"/>
              </w:rPr>
              <w:t>Environmental Reporting and Impact</w:t>
            </w:r>
            <w:r w:rsidR="00822DEE" w:rsidRPr="00283F46">
              <w:rPr>
                <w:bCs/>
                <w:szCs w:val="22"/>
              </w:rPr>
              <w:t xml:space="preserve">: </w:t>
            </w:r>
            <w:r w:rsidR="00C379F0" w:rsidRPr="00283F46">
              <w:rPr>
                <w:bCs/>
                <w:szCs w:val="22"/>
              </w:rPr>
              <w:t xml:space="preserve">The TTEITI Steering Committee has done considerable work on designing an environmental reporting template and including scoping studies on environmental indicators in its </w:t>
            </w:r>
            <w:r w:rsidR="000F3B49" w:rsidRPr="00283F46">
              <w:rPr>
                <w:bCs/>
                <w:szCs w:val="22"/>
              </w:rPr>
              <w:t xml:space="preserve">reports. The committee’s two main targets are linked to getting companies to participate in environmental reporting and to assess environmental impact of </w:t>
            </w:r>
            <w:r w:rsidR="000F3B49" w:rsidRPr="00283F46">
              <w:rPr>
                <w:bCs/>
                <w:szCs w:val="22"/>
              </w:rPr>
              <w:lastRenderedPageBreak/>
              <w:t xml:space="preserve">mining operations. The National Gas Company of Trinidad and Tobago agreed to </w:t>
            </w:r>
            <w:r w:rsidR="00681372" w:rsidRPr="00283F46">
              <w:rPr>
                <w:bCs/>
                <w:szCs w:val="22"/>
              </w:rPr>
              <w:t>be the first participant in the environmental reporting pilot. However, t</w:t>
            </w:r>
            <w:r w:rsidR="00822DEE" w:rsidRPr="00283F46">
              <w:rPr>
                <w:bCs/>
                <w:szCs w:val="22"/>
              </w:rPr>
              <w:t>he</w:t>
            </w:r>
            <w:r w:rsidR="00105263" w:rsidRPr="00283F46">
              <w:rPr>
                <w:bCs/>
                <w:szCs w:val="22"/>
              </w:rPr>
              <w:t xml:space="preserve"> Committee has had little success in conducting an environmental impact study on the mining sector</w:t>
            </w:r>
            <w:r w:rsidR="00C379F0" w:rsidRPr="00283F46">
              <w:rPr>
                <w:bCs/>
                <w:szCs w:val="22"/>
              </w:rPr>
              <w:t xml:space="preserve"> and will seek donor funding for the project in </w:t>
            </w:r>
            <w:r w:rsidR="00F56C6B">
              <w:rPr>
                <w:bCs/>
                <w:szCs w:val="22"/>
              </w:rPr>
              <w:t xml:space="preserve">Q3 </w:t>
            </w:r>
            <w:r w:rsidR="00C379F0" w:rsidRPr="00283F46">
              <w:rPr>
                <w:bCs/>
                <w:szCs w:val="22"/>
              </w:rPr>
              <w:t xml:space="preserve">2022. </w:t>
            </w:r>
          </w:p>
          <w:p w14:paraId="354459F8" w14:textId="7025573E" w:rsidR="00C6608B" w:rsidRPr="007F430A" w:rsidRDefault="00544D5C" w:rsidP="002644D9">
            <w:pPr>
              <w:rPr>
                <w:b/>
                <w:bCs/>
                <w:szCs w:val="22"/>
              </w:rPr>
            </w:pPr>
            <w:r w:rsidRPr="00283F46">
              <w:rPr>
                <w:bCs/>
                <w:szCs w:val="22"/>
              </w:rPr>
              <w:t xml:space="preserve">Supporting Documents include: </w:t>
            </w:r>
            <w:r w:rsidR="005D1C01" w:rsidRPr="00283F46">
              <w:rPr>
                <w:bCs/>
                <w:szCs w:val="22"/>
              </w:rPr>
              <w:t>Summary Data Template for Fiscal 2017 and Fiscal 2018</w:t>
            </w:r>
            <w:r w:rsidR="005D1C01" w:rsidRPr="007F430A">
              <w:rPr>
                <w:b/>
                <w:bCs/>
                <w:szCs w:val="22"/>
              </w:rPr>
              <w:t xml:space="preserve"> </w:t>
            </w:r>
          </w:p>
        </w:tc>
      </w:tr>
    </w:tbl>
    <w:p w14:paraId="161312AF" w14:textId="77777777" w:rsidR="00C6608B" w:rsidRPr="007F430A" w:rsidRDefault="00C6608B" w:rsidP="00C6608B">
      <w:pPr>
        <w:rPr>
          <w:b/>
          <w:bCs/>
          <w:szCs w:val="22"/>
        </w:rPr>
      </w:pPr>
    </w:p>
    <w:p w14:paraId="17141A5B" w14:textId="1337A35F" w:rsidR="00C6608B" w:rsidRPr="007F430A" w:rsidRDefault="00961F89" w:rsidP="00C6608B">
      <w:pPr>
        <w:rPr>
          <w:szCs w:val="22"/>
        </w:rPr>
      </w:pPr>
      <w:r w:rsidRPr="007F430A">
        <w:rPr>
          <w:b/>
          <w:bCs/>
          <w:szCs w:val="22"/>
        </w:rPr>
        <w:t>9</w:t>
      </w:r>
      <w:r w:rsidR="00C6608B" w:rsidRPr="007F430A">
        <w:rPr>
          <w:b/>
          <w:bCs/>
          <w:szCs w:val="22"/>
        </w:rPr>
        <w:t>. If the MSG has plans to include new issues or approaches to EITI implementation, please describe these</w:t>
      </w:r>
      <w:r w:rsidR="00C6608B" w:rsidRPr="007F430A">
        <w:rPr>
          <w:szCs w:val="22"/>
        </w:rPr>
        <w:t xml:space="preserve">. </w:t>
      </w:r>
    </w:p>
    <w:tbl>
      <w:tblPr>
        <w:tblStyle w:val="TableGrid"/>
        <w:tblW w:w="0" w:type="auto"/>
        <w:tblLook w:val="04A0" w:firstRow="1" w:lastRow="0" w:firstColumn="1" w:lastColumn="0" w:noHBand="0" w:noVBand="1"/>
      </w:tblPr>
      <w:tblGrid>
        <w:gridCol w:w="9062"/>
      </w:tblGrid>
      <w:tr w:rsidR="00C6608B" w:rsidRPr="007F430A" w14:paraId="0DAE3999" w14:textId="77777777" w:rsidTr="002644D9">
        <w:tc>
          <w:tcPr>
            <w:tcW w:w="9062" w:type="dxa"/>
          </w:tcPr>
          <w:p w14:paraId="7943C0E3" w14:textId="0884EE48" w:rsidR="00C6608B" w:rsidRPr="007F430A" w:rsidRDefault="007D3F99" w:rsidP="002644D9">
            <w:pPr>
              <w:rPr>
                <w:szCs w:val="22"/>
              </w:rPr>
            </w:pPr>
            <w:r w:rsidRPr="007F430A">
              <w:rPr>
                <w:szCs w:val="22"/>
              </w:rPr>
              <w:t xml:space="preserve">Mainstreaming &amp; </w:t>
            </w:r>
            <w:r w:rsidR="00AD7E87" w:rsidRPr="007F430A">
              <w:rPr>
                <w:szCs w:val="22"/>
              </w:rPr>
              <w:t xml:space="preserve">Risk based approach to reconciliation: Over a decade of EITI reporting, the </w:t>
            </w:r>
            <w:r w:rsidR="006C05F9" w:rsidRPr="007F430A">
              <w:rPr>
                <w:szCs w:val="22"/>
              </w:rPr>
              <w:t xml:space="preserve">reconciled differences between company payments and </w:t>
            </w:r>
            <w:r w:rsidRPr="007F430A">
              <w:rPr>
                <w:szCs w:val="22"/>
              </w:rPr>
              <w:t xml:space="preserve">Government receipts has been less than 0.04%. The TTEITI Steering </w:t>
            </w:r>
            <w:proofErr w:type="spellStart"/>
            <w:r w:rsidRPr="007F430A">
              <w:rPr>
                <w:szCs w:val="22"/>
              </w:rPr>
              <w:t>Committtee</w:t>
            </w:r>
            <w:proofErr w:type="spellEnd"/>
            <w:r w:rsidRPr="007F430A">
              <w:rPr>
                <w:szCs w:val="22"/>
              </w:rPr>
              <w:t xml:space="preserve"> has decided to take a </w:t>
            </w:r>
            <w:proofErr w:type="gramStart"/>
            <w:r w:rsidRPr="007F430A">
              <w:rPr>
                <w:szCs w:val="22"/>
              </w:rPr>
              <w:t>risk based</w:t>
            </w:r>
            <w:proofErr w:type="gramEnd"/>
            <w:r w:rsidRPr="007F430A">
              <w:rPr>
                <w:szCs w:val="22"/>
              </w:rPr>
              <w:t xml:space="preserve"> approach to reconciliation focusing solely on large revenue contributors </w:t>
            </w:r>
            <w:r w:rsidR="00F2759E" w:rsidRPr="007F430A">
              <w:rPr>
                <w:szCs w:val="22"/>
              </w:rPr>
              <w:t xml:space="preserve">and new reporting companies </w:t>
            </w:r>
            <w:r w:rsidRPr="007F430A">
              <w:rPr>
                <w:szCs w:val="22"/>
              </w:rPr>
              <w:t xml:space="preserve">while doing a mainstreaming gap analysis. The mainstreaming gap analysis will inform the committee’s approach to embedding EITI in Government </w:t>
            </w:r>
            <w:proofErr w:type="spellStart"/>
            <w:proofErr w:type="gramStart"/>
            <w:r w:rsidRPr="007F430A">
              <w:rPr>
                <w:szCs w:val="22"/>
              </w:rPr>
              <w:t>systems.</w:t>
            </w:r>
            <w:r w:rsidR="007912D2" w:rsidRPr="007F430A">
              <w:rPr>
                <w:szCs w:val="22"/>
              </w:rPr>
              <w:t>The</w:t>
            </w:r>
            <w:proofErr w:type="spellEnd"/>
            <w:proofErr w:type="gramEnd"/>
            <w:r w:rsidR="007912D2" w:rsidRPr="007F430A">
              <w:rPr>
                <w:szCs w:val="22"/>
              </w:rPr>
              <w:t xml:space="preserve"> </w:t>
            </w:r>
            <w:r w:rsidR="00F2759E" w:rsidRPr="007F430A">
              <w:rPr>
                <w:szCs w:val="22"/>
              </w:rPr>
              <w:t xml:space="preserve">committee </w:t>
            </w:r>
            <w:r w:rsidR="008D7153" w:rsidRPr="007F430A">
              <w:rPr>
                <w:szCs w:val="22"/>
              </w:rPr>
              <w:t xml:space="preserve">and the EITI Secretariat will partner on a digital reporting project in 2022 as well. </w:t>
            </w:r>
          </w:p>
          <w:p w14:paraId="7242F497" w14:textId="3936B832" w:rsidR="00C6608B" w:rsidRPr="007F430A" w:rsidRDefault="001C61FF" w:rsidP="002644D9">
            <w:pPr>
              <w:rPr>
                <w:szCs w:val="22"/>
              </w:rPr>
            </w:pPr>
            <w:r w:rsidRPr="007F430A">
              <w:rPr>
                <w:szCs w:val="22"/>
              </w:rPr>
              <w:t xml:space="preserve">Environmental </w:t>
            </w:r>
            <w:r w:rsidR="007D3F99" w:rsidRPr="007F430A">
              <w:rPr>
                <w:szCs w:val="22"/>
              </w:rPr>
              <w:t xml:space="preserve">Reporting </w:t>
            </w:r>
            <w:r w:rsidRPr="007F430A">
              <w:rPr>
                <w:szCs w:val="22"/>
              </w:rPr>
              <w:t>pilot</w:t>
            </w:r>
            <w:r w:rsidR="007D3F99" w:rsidRPr="007F430A">
              <w:rPr>
                <w:szCs w:val="22"/>
              </w:rPr>
              <w:t>: With changes to the EITI Standard requirement 6 and a global focus on climate change, the TTEITI Steering Committee decided to focus on environmental disclosures</w:t>
            </w:r>
            <w:r w:rsidR="008D7153" w:rsidRPr="007F430A">
              <w:rPr>
                <w:szCs w:val="22"/>
              </w:rPr>
              <w:t>.</w:t>
            </w:r>
            <w:r w:rsidR="00FC73C3" w:rsidRPr="007F430A">
              <w:rPr>
                <w:szCs w:val="22"/>
              </w:rPr>
              <w:t xml:space="preserve"> The committee developed a reporting template highlighting indicators such as GHG emissions,</w:t>
            </w:r>
            <w:r w:rsidR="008D7153" w:rsidRPr="007F430A">
              <w:rPr>
                <w:szCs w:val="22"/>
              </w:rPr>
              <w:t xml:space="preserve"> oil spills,</w:t>
            </w:r>
            <w:r w:rsidR="00FC73C3" w:rsidRPr="007F430A">
              <w:rPr>
                <w:szCs w:val="22"/>
              </w:rPr>
              <w:t xml:space="preserve"> water and energy use</w:t>
            </w:r>
            <w:r w:rsidR="008D7153" w:rsidRPr="007F430A">
              <w:rPr>
                <w:szCs w:val="22"/>
              </w:rPr>
              <w:t xml:space="preserve"> in operations</w:t>
            </w:r>
            <w:r w:rsidR="00FC73C3" w:rsidRPr="007F430A">
              <w:rPr>
                <w:szCs w:val="22"/>
              </w:rPr>
              <w:t>. The National Gas Company of Trinidad and Tobago will be the first company to participate in the pilot</w:t>
            </w:r>
            <w:r w:rsidR="00222E83" w:rsidRPr="007F430A">
              <w:rPr>
                <w:szCs w:val="22"/>
              </w:rPr>
              <w:t xml:space="preserve"> for</w:t>
            </w:r>
            <w:r w:rsidR="008D7153" w:rsidRPr="007F430A">
              <w:rPr>
                <w:szCs w:val="22"/>
              </w:rPr>
              <w:t xml:space="preserve"> the 2019-2020 report.</w:t>
            </w:r>
            <w:r w:rsidR="00222E83" w:rsidRPr="007F430A">
              <w:rPr>
                <w:szCs w:val="22"/>
              </w:rPr>
              <w:t xml:space="preserve"> </w:t>
            </w:r>
          </w:p>
        </w:tc>
      </w:tr>
    </w:tbl>
    <w:p w14:paraId="6FE4560E" w14:textId="77777777" w:rsidR="00C6608B" w:rsidRPr="007F430A" w:rsidRDefault="00C6608B" w:rsidP="00C6608B">
      <w:pPr>
        <w:rPr>
          <w:szCs w:val="22"/>
        </w:rPr>
      </w:pPr>
    </w:p>
    <w:p w14:paraId="25C64F1F" w14:textId="034534E1" w:rsidR="00C6608B" w:rsidRPr="007F430A" w:rsidRDefault="00961F89" w:rsidP="00C6608B">
      <w:pPr>
        <w:rPr>
          <w:b/>
          <w:szCs w:val="22"/>
        </w:rPr>
      </w:pPr>
      <w:r w:rsidRPr="007F430A">
        <w:rPr>
          <w:b/>
          <w:bCs/>
          <w:szCs w:val="22"/>
        </w:rPr>
        <w:t>10</w:t>
      </w:r>
      <w:r w:rsidR="00C6608B" w:rsidRPr="007F430A">
        <w:rPr>
          <w:b/>
          <w:bCs/>
          <w:szCs w:val="22"/>
        </w:rPr>
        <w:t>. What kind of outcomes and impact are these plans expected to result in?</w:t>
      </w:r>
    </w:p>
    <w:tbl>
      <w:tblPr>
        <w:tblStyle w:val="TableGrid"/>
        <w:tblW w:w="0" w:type="auto"/>
        <w:tblLook w:val="04A0" w:firstRow="1" w:lastRow="0" w:firstColumn="1" w:lastColumn="0" w:noHBand="0" w:noVBand="1"/>
      </w:tblPr>
      <w:tblGrid>
        <w:gridCol w:w="9062"/>
      </w:tblGrid>
      <w:tr w:rsidR="00C6608B" w:rsidRPr="007F430A" w14:paraId="76BD454B" w14:textId="77777777" w:rsidTr="002644D9">
        <w:tc>
          <w:tcPr>
            <w:tcW w:w="9062" w:type="dxa"/>
          </w:tcPr>
          <w:p w14:paraId="43D631CD" w14:textId="799CB5D6" w:rsidR="00C6608B" w:rsidRPr="007F430A" w:rsidRDefault="005F768E" w:rsidP="002644D9">
            <w:pPr>
              <w:rPr>
                <w:szCs w:val="22"/>
              </w:rPr>
            </w:pPr>
            <w:r w:rsidRPr="007F430A">
              <w:rPr>
                <w:szCs w:val="22"/>
              </w:rPr>
              <w:t xml:space="preserve">Mainstreaming &amp; Risk based approach to reconciliation: </w:t>
            </w:r>
            <w:r w:rsidR="000F22A9" w:rsidRPr="007F430A">
              <w:rPr>
                <w:szCs w:val="22"/>
              </w:rPr>
              <w:t xml:space="preserve">Mainstreaming and taking a </w:t>
            </w:r>
            <w:proofErr w:type="gramStart"/>
            <w:r w:rsidR="000F22A9" w:rsidRPr="007F430A">
              <w:rPr>
                <w:szCs w:val="22"/>
              </w:rPr>
              <w:t>risk based</w:t>
            </w:r>
            <w:proofErr w:type="gramEnd"/>
            <w:r w:rsidR="000F22A9" w:rsidRPr="007F430A">
              <w:rPr>
                <w:szCs w:val="22"/>
              </w:rPr>
              <w:t xml:space="preserve"> approach to reconciliation would help reduce costs of EITI implementation and help </w:t>
            </w:r>
            <w:proofErr w:type="spellStart"/>
            <w:r w:rsidR="000F22A9" w:rsidRPr="007F430A">
              <w:rPr>
                <w:szCs w:val="22"/>
              </w:rPr>
              <w:t>emded</w:t>
            </w:r>
            <w:proofErr w:type="spellEnd"/>
            <w:r w:rsidR="000F22A9" w:rsidRPr="007F430A">
              <w:rPr>
                <w:szCs w:val="22"/>
              </w:rPr>
              <w:t xml:space="preserve"> and streamline the EITI into Government systems. This will be aligned with Government’s digitalization </w:t>
            </w:r>
            <w:proofErr w:type="gramStart"/>
            <w:r w:rsidR="000F22A9" w:rsidRPr="007F430A">
              <w:rPr>
                <w:szCs w:val="22"/>
              </w:rPr>
              <w:t>strategy  and</w:t>
            </w:r>
            <w:proofErr w:type="gramEnd"/>
            <w:r w:rsidR="000F22A9" w:rsidRPr="007F430A">
              <w:rPr>
                <w:szCs w:val="22"/>
              </w:rPr>
              <w:t xml:space="preserve"> the need to optimize Government expenditure on key initiatives.</w:t>
            </w:r>
          </w:p>
          <w:p w14:paraId="664B6DB9" w14:textId="322EA686" w:rsidR="00C6608B" w:rsidRPr="007F430A" w:rsidRDefault="000F22A9" w:rsidP="002644D9">
            <w:pPr>
              <w:rPr>
                <w:szCs w:val="22"/>
              </w:rPr>
            </w:pPr>
            <w:r w:rsidRPr="007F430A">
              <w:rPr>
                <w:szCs w:val="22"/>
              </w:rPr>
              <w:t>Environmental Reporting pilot: By reporting on environmental disclosures</w:t>
            </w:r>
            <w:r w:rsidR="00AD40CD" w:rsidRPr="007F430A">
              <w:rPr>
                <w:szCs w:val="22"/>
              </w:rPr>
              <w:t>,</w:t>
            </w:r>
            <w:r w:rsidRPr="007F430A">
              <w:rPr>
                <w:szCs w:val="22"/>
              </w:rPr>
              <w:t xml:space="preserve"> the </w:t>
            </w:r>
            <w:r w:rsidR="00AD40CD" w:rsidRPr="007F430A">
              <w:rPr>
                <w:szCs w:val="22"/>
              </w:rPr>
              <w:t>TT</w:t>
            </w:r>
            <w:r w:rsidRPr="007F430A">
              <w:rPr>
                <w:szCs w:val="22"/>
              </w:rPr>
              <w:t xml:space="preserve">EITI </w:t>
            </w:r>
            <w:r w:rsidR="00AD40CD" w:rsidRPr="007F430A">
              <w:rPr>
                <w:szCs w:val="22"/>
              </w:rPr>
              <w:t xml:space="preserve">Steering Committee will be pioneers in EITI reporting and also bring attention to </w:t>
            </w:r>
            <w:r w:rsidR="00144F78" w:rsidRPr="007F430A">
              <w:rPr>
                <w:szCs w:val="22"/>
              </w:rPr>
              <w:t xml:space="preserve">the type of information the </w:t>
            </w:r>
            <w:proofErr w:type="spellStart"/>
            <w:r w:rsidR="00144F78" w:rsidRPr="007F430A">
              <w:rPr>
                <w:szCs w:val="22"/>
              </w:rPr>
              <w:t>Enivronmental</w:t>
            </w:r>
            <w:proofErr w:type="spellEnd"/>
            <w:r w:rsidR="00144F78" w:rsidRPr="007F430A">
              <w:rPr>
                <w:szCs w:val="22"/>
              </w:rPr>
              <w:t xml:space="preserve"> Management Authority can make available to the public. The reporting </w:t>
            </w:r>
            <w:r w:rsidRPr="007F430A">
              <w:rPr>
                <w:szCs w:val="22"/>
              </w:rPr>
              <w:t xml:space="preserve">will be </w:t>
            </w:r>
            <w:r w:rsidR="00AD5042" w:rsidRPr="007F430A">
              <w:rPr>
                <w:szCs w:val="22"/>
              </w:rPr>
              <w:t xml:space="preserve">aligned with Government’s </w:t>
            </w:r>
            <w:r w:rsidR="00732315" w:rsidRPr="007F430A">
              <w:rPr>
                <w:szCs w:val="22"/>
              </w:rPr>
              <w:t xml:space="preserve">Paris Climate </w:t>
            </w:r>
            <w:r w:rsidR="00144F78" w:rsidRPr="007F430A">
              <w:rPr>
                <w:szCs w:val="22"/>
              </w:rPr>
              <w:t>Accord g</w:t>
            </w:r>
            <w:r w:rsidR="00732315" w:rsidRPr="007F430A">
              <w:rPr>
                <w:szCs w:val="22"/>
              </w:rPr>
              <w:t xml:space="preserve">oals and </w:t>
            </w:r>
            <w:r w:rsidR="00144F78" w:rsidRPr="007F430A">
              <w:rPr>
                <w:szCs w:val="22"/>
              </w:rPr>
              <w:t xml:space="preserve">help build trust with citizens concerned with </w:t>
            </w:r>
            <w:r w:rsidR="00C314D6">
              <w:rPr>
                <w:szCs w:val="22"/>
              </w:rPr>
              <w:t xml:space="preserve">the </w:t>
            </w:r>
            <w:r w:rsidR="00144F78" w:rsidRPr="007F430A">
              <w:rPr>
                <w:szCs w:val="22"/>
              </w:rPr>
              <w:t xml:space="preserve">environmental impact of the industry on their communities. </w:t>
            </w:r>
          </w:p>
        </w:tc>
      </w:tr>
    </w:tbl>
    <w:p w14:paraId="56184E73" w14:textId="77777777" w:rsidR="00C6608B" w:rsidRPr="007F430A" w:rsidRDefault="00C6608B" w:rsidP="00C6608B">
      <w:pPr>
        <w:rPr>
          <w:szCs w:val="22"/>
        </w:rPr>
      </w:pPr>
    </w:p>
    <w:p w14:paraId="7D866385" w14:textId="673B67CD" w:rsidR="00C6608B" w:rsidRPr="007F430A" w:rsidRDefault="00C6608B" w:rsidP="00C6608B">
      <w:pPr>
        <w:rPr>
          <w:b/>
          <w:bCs/>
          <w:szCs w:val="22"/>
        </w:rPr>
      </w:pPr>
      <w:r w:rsidRPr="007F430A">
        <w:rPr>
          <w:b/>
          <w:bCs/>
          <w:szCs w:val="22"/>
        </w:rPr>
        <w:t>1</w:t>
      </w:r>
      <w:r w:rsidR="00961F89" w:rsidRPr="007F430A">
        <w:rPr>
          <w:b/>
          <w:bCs/>
          <w:szCs w:val="22"/>
        </w:rPr>
        <w:t>1</w:t>
      </w:r>
      <w:r w:rsidRPr="007F430A">
        <w:rPr>
          <w:b/>
          <w:bCs/>
          <w:szCs w:val="22"/>
        </w:rPr>
        <w:t>. Summarise the MSG’s efforts to strengthen the impact of EITI implementation in the period under review, including</w:t>
      </w:r>
      <w:r w:rsidRPr="007F430A">
        <w:rPr>
          <w:szCs w:val="22"/>
        </w:rPr>
        <w:t xml:space="preserve"> </w:t>
      </w:r>
      <w:r w:rsidRPr="007F430A">
        <w:rPr>
          <w:b/>
          <w:bCs/>
          <w:szCs w:val="22"/>
        </w:rPr>
        <w:t xml:space="preserve">any actions to extend the detail and scope of EITI reporting or to increase </w:t>
      </w:r>
      <w:r w:rsidRPr="007F430A">
        <w:rPr>
          <w:b/>
          <w:bCs/>
          <w:szCs w:val="22"/>
        </w:rPr>
        <w:lastRenderedPageBreak/>
        <w:t>engagement with stakeholders. The MSG is encouraged to document how it has taken gender considerations and inclusiveness into account.</w:t>
      </w:r>
    </w:p>
    <w:tbl>
      <w:tblPr>
        <w:tblStyle w:val="TableGrid"/>
        <w:tblW w:w="0" w:type="auto"/>
        <w:tblLook w:val="04A0" w:firstRow="1" w:lastRow="0" w:firstColumn="1" w:lastColumn="0" w:noHBand="0" w:noVBand="1"/>
      </w:tblPr>
      <w:tblGrid>
        <w:gridCol w:w="9062"/>
      </w:tblGrid>
      <w:tr w:rsidR="00C6608B" w:rsidRPr="007F430A" w14:paraId="53D0B4C5" w14:textId="77777777" w:rsidTr="002644D9">
        <w:tc>
          <w:tcPr>
            <w:tcW w:w="9062" w:type="dxa"/>
          </w:tcPr>
          <w:p w14:paraId="55AEB954" w14:textId="38569F48" w:rsidR="007A3CEC" w:rsidRPr="00283F46" w:rsidRDefault="00496DD4" w:rsidP="002644D9">
            <w:pPr>
              <w:rPr>
                <w:bCs/>
                <w:szCs w:val="22"/>
              </w:rPr>
            </w:pPr>
            <w:r w:rsidRPr="00283F46">
              <w:rPr>
                <w:bCs/>
                <w:szCs w:val="22"/>
              </w:rPr>
              <w:t xml:space="preserve">Between 2019 and 2022, the TTEITI Steering Committee has made several efforts to strengthen the impact of </w:t>
            </w:r>
            <w:r w:rsidR="00335622" w:rsidRPr="00283F46">
              <w:rPr>
                <w:bCs/>
                <w:szCs w:val="22"/>
              </w:rPr>
              <w:t xml:space="preserve">EITI implementation, taking several actions to extend the scope of EITI reporting or increase engagement with stakeholders. </w:t>
            </w:r>
            <w:r w:rsidR="007A3CEC" w:rsidRPr="00283F46">
              <w:rPr>
                <w:bCs/>
                <w:szCs w:val="22"/>
              </w:rPr>
              <w:t>These efforts include:</w:t>
            </w:r>
          </w:p>
          <w:p w14:paraId="06FE5740" w14:textId="0ECEBFEE" w:rsidR="007A3CEC" w:rsidRPr="00283F46" w:rsidRDefault="007A3CEC" w:rsidP="002644D9">
            <w:pPr>
              <w:rPr>
                <w:bCs/>
                <w:szCs w:val="22"/>
              </w:rPr>
            </w:pPr>
            <w:r w:rsidRPr="00283F46">
              <w:rPr>
                <w:bCs/>
                <w:szCs w:val="22"/>
              </w:rPr>
              <w:t xml:space="preserve">Beneficial Ownership Disclosure: The TTEITI Steering Committee developed the country’s first freely available beneficial ownership register. The committee also </w:t>
            </w:r>
            <w:r w:rsidR="00A77791">
              <w:rPr>
                <w:bCs/>
                <w:szCs w:val="22"/>
              </w:rPr>
              <w:t xml:space="preserve">prepared </w:t>
            </w:r>
            <w:r w:rsidRPr="00283F46">
              <w:rPr>
                <w:bCs/>
                <w:szCs w:val="22"/>
              </w:rPr>
              <w:t>a gap analysis report that critiques the current national BO legislation and provides</w:t>
            </w:r>
            <w:r w:rsidR="00A6542F" w:rsidRPr="00283F46">
              <w:rPr>
                <w:bCs/>
                <w:szCs w:val="22"/>
              </w:rPr>
              <w:t xml:space="preserve"> recommendations on addressing concerns on inconsistencies etc.</w:t>
            </w:r>
            <w:r w:rsidRPr="00283F46">
              <w:rPr>
                <w:bCs/>
                <w:szCs w:val="22"/>
              </w:rPr>
              <w:t xml:space="preserve"> Apart from this, the TTEITI hosted workshop with law enforcement and companies to shed light on how BO data can be used for investigative purposes as well as the importance of BO disclosure in mitigating business risks. </w:t>
            </w:r>
          </w:p>
          <w:p w14:paraId="758BEFA3" w14:textId="1DDB7744" w:rsidR="00144F78" w:rsidRPr="00283F46" w:rsidRDefault="00A6542F" w:rsidP="002644D9">
            <w:pPr>
              <w:rPr>
                <w:bCs/>
                <w:szCs w:val="22"/>
              </w:rPr>
            </w:pPr>
            <w:r w:rsidRPr="00283F46">
              <w:rPr>
                <w:bCs/>
                <w:szCs w:val="22"/>
              </w:rPr>
              <w:t>Digital Reporting</w:t>
            </w:r>
            <w:r w:rsidR="00C748E9" w:rsidRPr="00283F46">
              <w:rPr>
                <w:bCs/>
                <w:szCs w:val="22"/>
              </w:rPr>
              <w:t xml:space="preserve"> &amp; Targeted Outreach</w:t>
            </w:r>
            <w:r w:rsidRPr="00283F46">
              <w:rPr>
                <w:bCs/>
                <w:szCs w:val="22"/>
              </w:rPr>
              <w:t>: In an effort to target a wider audience</w:t>
            </w:r>
            <w:r w:rsidR="00C748E9" w:rsidRPr="00283F46">
              <w:rPr>
                <w:bCs/>
                <w:szCs w:val="22"/>
              </w:rPr>
              <w:t xml:space="preserve"> and in response to the Covid-19 pandemic,</w:t>
            </w:r>
            <w:r w:rsidRPr="00283F46">
              <w:rPr>
                <w:bCs/>
                <w:szCs w:val="22"/>
              </w:rPr>
              <w:t xml:space="preserve"> the TTEITI Steering Committee </w:t>
            </w:r>
            <w:r w:rsidR="00C748E9" w:rsidRPr="00283F46">
              <w:rPr>
                <w:bCs/>
                <w:szCs w:val="22"/>
              </w:rPr>
              <w:t>has adopted a digital approach to delivering its key messages, reports and policy notes. The Committee has revamped its website, focusing on storytelling and</w:t>
            </w:r>
            <w:r w:rsidR="00A92325" w:rsidRPr="00283F46">
              <w:rPr>
                <w:bCs/>
                <w:szCs w:val="22"/>
              </w:rPr>
              <w:t xml:space="preserve"> has</w:t>
            </w:r>
            <w:r w:rsidR="00C748E9" w:rsidRPr="00283F46">
              <w:rPr>
                <w:bCs/>
                <w:szCs w:val="22"/>
              </w:rPr>
              <w:t xml:space="preserve"> also used Facebook ads </w:t>
            </w:r>
            <w:r w:rsidR="00A92325" w:rsidRPr="00283F46">
              <w:rPr>
                <w:bCs/>
                <w:szCs w:val="22"/>
              </w:rPr>
              <w:t xml:space="preserve">with a call to action focus for citizens. </w:t>
            </w:r>
            <w:r w:rsidR="00C748E9" w:rsidRPr="00283F46">
              <w:rPr>
                <w:bCs/>
                <w:szCs w:val="22"/>
              </w:rPr>
              <w:t xml:space="preserve">The </w:t>
            </w:r>
            <w:proofErr w:type="spellStart"/>
            <w:r w:rsidR="00C748E9" w:rsidRPr="00283F46">
              <w:rPr>
                <w:bCs/>
                <w:szCs w:val="22"/>
              </w:rPr>
              <w:t>Committtee</w:t>
            </w:r>
            <w:proofErr w:type="spellEnd"/>
            <w:r w:rsidR="00C748E9" w:rsidRPr="00283F46">
              <w:rPr>
                <w:bCs/>
                <w:szCs w:val="22"/>
              </w:rPr>
              <w:t xml:space="preserve"> </w:t>
            </w:r>
            <w:r w:rsidR="00A92325" w:rsidRPr="00283F46">
              <w:rPr>
                <w:bCs/>
                <w:szCs w:val="22"/>
              </w:rPr>
              <w:t xml:space="preserve">has also </w:t>
            </w:r>
            <w:r w:rsidR="00C748E9" w:rsidRPr="00283F46">
              <w:rPr>
                <w:bCs/>
                <w:szCs w:val="22"/>
              </w:rPr>
              <w:t>undertaken targeted outreach on themes such as participatory budgeting</w:t>
            </w:r>
            <w:r w:rsidR="00A92325" w:rsidRPr="00283F46">
              <w:rPr>
                <w:bCs/>
                <w:szCs w:val="22"/>
              </w:rPr>
              <w:t>, beneficial ownership disclosure</w:t>
            </w:r>
            <w:r w:rsidR="00C748E9" w:rsidRPr="00283F46">
              <w:rPr>
                <w:bCs/>
                <w:szCs w:val="22"/>
              </w:rPr>
              <w:t xml:space="preserve"> and</w:t>
            </w:r>
            <w:r w:rsidR="00A92325" w:rsidRPr="00283F46">
              <w:rPr>
                <w:bCs/>
                <w:szCs w:val="22"/>
              </w:rPr>
              <w:t xml:space="preserve"> </w:t>
            </w:r>
            <w:r w:rsidR="00C15728" w:rsidRPr="00283F46">
              <w:rPr>
                <w:bCs/>
                <w:szCs w:val="22"/>
              </w:rPr>
              <w:t xml:space="preserve">Caribbean energy integration. </w:t>
            </w:r>
            <w:r w:rsidR="00C748E9" w:rsidRPr="00283F46">
              <w:rPr>
                <w:bCs/>
                <w:szCs w:val="22"/>
              </w:rPr>
              <w:t xml:space="preserve">  </w:t>
            </w:r>
          </w:p>
          <w:p w14:paraId="04EEAF88" w14:textId="400215AC" w:rsidR="00C6608B" w:rsidRPr="007F430A" w:rsidRDefault="00C748E9" w:rsidP="002644D9">
            <w:pPr>
              <w:rPr>
                <w:b/>
                <w:bCs/>
                <w:szCs w:val="22"/>
              </w:rPr>
            </w:pPr>
            <w:r w:rsidRPr="00283F46">
              <w:rPr>
                <w:bCs/>
                <w:szCs w:val="22"/>
              </w:rPr>
              <w:t xml:space="preserve">Gender Inclusiveness: In terms of gender representation, </w:t>
            </w:r>
            <w:proofErr w:type="spellStart"/>
            <w:r w:rsidRPr="00283F46">
              <w:rPr>
                <w:bCs/>
                <w:szCs w:val="22"/>
              </w:rPr>
              <w:t>fiftty</w:t>
            </w:r>
            <w:proofErr w:type="spellEnd"/>
            <w:r w:rsidRPr="00283F46">
              <w:rPr>
                <w:bCs/>
                <w:szCs w:val="22"/>
              </w:rPr>
              <w:t xml:space="preserve"> percent of the TTEITI Steering Committee is female</w:t>
            </w:r>
            <w:r w:rsidR="00AB5376">
              <w:rPr>
                <w:bCs/>
                <w:szCs w:val="22"/>
              </w:rPr>
              <w:t>.</w:t>
            </w:r>
            <w:r w:rsidRPr="00283F46">
              <w:rPr>
                <w:bCs/>
                <w:szCs w:val="22"/>
              </w:rPr>
              <w:t xml:space="preserve"> </w:t>
            </w:r>
            <w:r w:rsidR="00AB5376">
              <w:rPr>
                <w:bCs/>
                <w:szCs w:val="22"/>
              </w:rPr>
              <w:t>T</w:t>
            </w:r>
            <w:r w:rsidRPr="00283F46">
              <w:rPr>
                <w:bCs/>
                <w:szCs w:val="22"/>
              </w:rPr>
              <w:t>he Network of NGOs for the Advancement of Women</w:t>
            </w:r>
            <w:r w:rsidR="00AB5376">
              <w:rPr>
                <w:bCs/>
                <w:szCs w:val="22"/>
              </w:rPr>
              <w:t xml:space="preserve"> sits on the committee and</w:t>
            </w:r>
            <w:r w:rsidRPr="00283F46">
              <w:rPr>
                <w:bCs/>
                <w:szCs w:val="22"/>
              </w:rPr>
              <w:t xml:space="preserve"> ensures the content of EITI reports and outreach </w:t>
            </w:r>
            <w:proofErr w:type="spellStart"/>
            <w:r w:rsidRPr="00283F46">
              <w:rPr>
                <w:bCs/>
                <w:szCs w:val="22"/>
              </w:rPr>
              <w:t>programmes</w:t>
            </w:r>
            <w:proofErr w:type="spellEnd"/>
            <w:r w:rsidRPr="00283F46">
              <w:rPr>
                <w:bCs/>
                <w:szCs w:val="22"/>
              </w:rPr>
              <w:t xml:space="preserve"> feature gender inclusive themes.</w:t>
            </w:r>
          </w:p>
        </w:tc>
      </w:tr>
    </w:tbl>
    <w:p w14:paraId="08B3C488" w14:textId="77777777" w:rsidR="00C6608B" w:rsidRPr="007F430A" w:rsidRDefault="00C6608B" w:rsidP="00C6608B">
      <w:pPr>
        <w:rPr>
          <w:b/>
          <w:bCs/>
          <w:szCs w:val="22"/>
        </w:rPr>
      </w:pPr>
    </w:p>
    <w:p w14:paraId="2AF4F5E4" w14:textId="11F73472" w:rsidR="00C6608B" w:rsidRPr="007F430A" w:rsidRDefault="00C6608B" w:rsidP="00C6608B">
      <w:pPr>
        <w:pStyle w:val="Heading1"/>
        <w:rPr>
          <w:rFonts w:ascii="Franklin Gothic Book" w:hAnsi="Franklin Gothic Book"/>
          <w:sz w:val="22"/>
          <w:szCs w:val="22"/>
        </w:rPr>
      </w:pPr>
      <w:bookmarkStart w:id="5" w:name="_Toc57973529"/>
      <w:r w:rsidRPr="007F430A">
        <w:rPr>
          <w:rFonts w:ascii="Franklin Gothic Book" w:hAnsi="Franklin Gothic Book"/>
          <w:sz w:val="22"/>
          <w:szCs w:val="22"/>
        </w:rPr>
        <w:t>Part II: Public debate</w:t>
      </w:r>
      <w:bookmarkEnd w:id="5"/>
    </w:p>
    <w:p w14:paraId="1289FFAD" w14:textId="77777777" w:rsidR="00C6608B" w:rsidRPr="007F430A" w:rsidRDefault="00C6608B" w:rsidP="00C6608B">
      <w:pPr>
        <w:pStyle w:val="Heading2"/>
        <w:rPr>
          <w:sz w:val="22"/>
          <w:szCs w:val="22"/>
        </w:rPr>
      </w:pPr>
      <w:bookmarkStart w:id="6" w:name="_Toc57973530"/>
      <w:r w:rsidRPr="007F430A">
        <w:rPr>
          <w:sz w:val="22"/>
          <w:szCs w:val="22"/>
        </w:rPr>
        <w:t>Open data (Requirement 7.2)</w:t>
      </w:r>
      <w:bookmarkEnd w:id="6"/>
    </w:p>
    <w:p w14:paraId="53224D23" w14:textId="77777777" w:rsidR="00C6608B" w:rsidRPr="0022643A" w:rsidRDefault="00C6608B" w:rsidP="00C6608B">
      <w:pPr>
        <w:rPr>
          <w:szCs w:val="22"/>
        </w:rPr>
      </w:pPr>
    </w:p>
    <w:p w14:paraId="65F627E1" w14:textId="77777777" w:rsidR="00C6608B" w:rsidRPr="007F430A" w:rsidRDefault="00C6608B" w:rsidP="00C6608B">
      <w:pPr>
        <w:rPr>
          <w:b/>
          <w:bCs/>
          <w:szCs w:val="22"/>
        </w:rPr>
      </w:pPr>
      <w:r w:rsidRPr="007F430A">
        <w:rPr>
          <w:b/>
          <w:bCs/>
          <w:szCs w:val="22"/>
        </w:rPr>
        <w:t xml:space="preserve">11. Open data policy and disclosures </w:t>
      </w:r>
    </w:p>
    <w:tbl>
      <w:tblPr>
        <w:tblStyle w:val="TableGrid"/>
        <w:tblW w:w="0" w:type="auto"/>
        <w:tblLook w:val="04A0" w:firstRow="1" w:lastRow="0" w:firstColumn="1" w:lastColumn="0" w:noHBand="0" w:noVBand="1"/>
      </w:tblPr>
      <w:tblGrid>
        <w:gridCol w:w="4531"/>
        <w:gridCol w:w="4531"/>
      </w:tblGrid>
      <w:tr w:rsidR="00C6608B" w:rsidRPr="007F430A" w14:paraId="0891DFCD" w14:textId="77777777" w:rsidTr="002644D9">
        <w:tc>
          <w:tcPr>
            <w:tcW w:w="4531" w:type="dxa"/>
          </w:tcPr>
          <w:p w14:paraId="2F64DFB8" w14:textId="77777777" w:rsidR="00C6608B" w:rsidRPr="007F430A" w:rsidRDefault="00C6608B" w:rsidP="002644D9">
            <w:pPr>
              <w:rPr>
                <w:szCs w:val="22"/>
              </w:rPr>
            </w:pPr>
            <w:r w:rsidRPr="007F430A">
              <w:rPr>
                <w:szCs w:val="22"/>
              </w:rPr>
              <w:t>Provide a link to the open data policy agreed by the MSG (Requirement 7.2.a)</w:t>
            </w:r>
          </w:p>
        </w:tc>
        <w:tc>
          <w:tcPr>
            <w:tcW w:w="4531" w:type="dxa"/>
          </w:tcPr>
          <w:p w14:paraId="29109838" w14:textId="77777777" w:rsidR="00C6608B" w:rsidRPr="007F430A" w:rsidRDefault="00C6608B" w:rsidP="002644D9">
            <w:pPr>
              <w:rPr>
                <w:i/>
                <w:iCs/>
                <w:szCs w:val="22"/>
              </w:rPr>
            </w:pPr>
            <w:r w:rsidRPr="007F430A">
              <w:rPr>
                <w:i/>
                <w:iCs/>
                <w:szCs w:val="22"/>
              </w:rPr>
              <w:t>[Add link(s) to relevant open data policy(</w:t>
            </w:r>
            <w:proofErr w:type="spellStart"/>
            <w:r w:rsidRPr="007F430A">
              <w:rPr>
                <w:i/>
                <w:iCs/>
                <w:szCs w:val="22"/>
              </w:rPr>
              <w:t>ies</w:t>
            </w:r>
            <w:proofErr w:type="spellEnd"/>
            <w:r w:rsidRPr="007F430A">
              <w:rPr>
                <w:i/>
                <w:iCs/>
                <w:szCs w:val="22"/>
              </w:rPr>
              <w:t>) and any commentary.]</w:t>
            </w:r>
          </w:p>
          <w:p w14:paraId="4BE76EC9" w14:textId="66C6C74B" w:rsidR="001F0C21" w:rsidRPr="0022643A" w:rsidRDefault="002F5457" w:rsidP="002644D9">
            <w:pPr>
              <w:rPr>
                <w:i/>
                <w:iCs/>
                <w:szCs w:val="22"/>
              </w:rPr>
            </w:pPr>
            <w:hyperlink r:id="rId18" w:history="1">
              <w:r w:rsidR="001F0C21" w:rsidRPr="0022643A">
                <w:rPr>
                  <w:rStyle w:val="Hyperlink"/>
                  <w:i/>
                  <w:iCs/>
                  <w:szCs w:val="22"/>
                </w:rPr>
                <w:t>https://www.tteiti.com/open-data</w:t>
              </w:r>
            </w:hyperlink>
          </w:p>
        </w:tc>
      </w:tr>
      <w:tr w:rsidR="00C6608B" w:rsidRPr="007F430A" w14:paraId="1C0BCD25" w14:textId="77777777" w:rsidTr="002644D9">
        <w:tc>
          <w:tcPr>
            <w:tcW w:w="4531" w:type="dxa"/>
          </w:tcPr>
          <w:p w14:paraId="5F437996" w14:textId="77777777" w:rsidR="00C6608B" w:rsidRPr="007F430A" w:rsidRDefault="00C6608B" w:rsidP="002644D9">
            <w:pPr>
              <w:rPr>
                <w:szCs w:val="22"/>
              </w:rPr>
            </w:pPr>
            <w:r w:rsidRPr="007F430A">
              <w:rPr>
                <w:szCs w:val="22"/>
              </w:rPr>
              <w:t xml:space="preserve">Is EITI data available in open data format and </w:t>
            </w:r>
            <w:proofErr w:type="spellStart"/>
            <w:r w:rsidRPr="007F430A">
              <w:rPr>
                <w:szCs w:val="22"/>
              </w:rPr>
              <w:t>publicised</w:t>
            </w:r>
            <w:proofErr w:type="spellEnd"/>
            <w:r w:rsidRPr="007F430A">
              <w:rPr>
                <w:szCs w:val="22"/>
              </w:rPr>
              <w:t>? (Requirement 7.2.b)</w:t>
            </w:r>
          </w:p>
        </w:tc>
        <w:tc>
          <w:tcPr>
            <w:tcW w:w="4531" w:type="dxa"/>
          </w:tcPr>
          <w:p w14:paraId="3A9C5F96" w14:textId="7398F7D6" w:rsidR="00C6608B" w:rsidRPr="007F430A" w:rsidRDefault="00C6608B" w:rsidP="002644D9">
            <w:pPr>
              <w:rPr>
                <w:szCs w:val="22"/>
              </w:rPr>
            </w:pPr>
            <w:r w:rsidRPr="007F430A">
              <w:rPr>
                <w:i/>
                <w:iCs/>
                <w:szCs w:val="22"/>
              </w:rPr>
              <w:t>[EITI data refers to disclosures within the scope of the EITI Standard, including the tables, charts and figures from EITI reports</w:t>
            </w:r>
            <w:proofErr w:type="gramStart"/>
            <w:r w:rsidRPr="007F430A">
              <w:rPr>
                <w:i/>
                <w:iCs/>
                <w:szCs w:val="22"/>
              </w:rPr>
              <w:t>.]</w:t>
            </w:r>
            <w:r w:rsidR="00961F89" w:rsidRPr="007F430A">
              <w:rPr>
                <w:i/>
                <w:iCs/>
                <w:szCs w:val="22"/>
              </w:rPr>
              <w:t>Yes</w:t>
            </w:r>
            <w:proofErr w:type="gramEnd"/>
            <w:r w:rsidR="00961F89" w:rsidRPr="007F430A">
              <w:rPr>
                <w:i/>
                <w:iCs/>
                <w:szCs w:val="22"/>
              </w:rPr>
              <w:t>, EITI data is available in open format on the TTEITI website</w:t>
            </w:r>
            <w:r w:rsidR="00AB5376">
              <w:rPr>
                <w:i/>
                <w:iCs/>
                <w:szCs w:val="22"/>
              </w:rPr>
              <w:t>.</w:t>
            </w:r>
          </w:p>
        </w:tc>
      </w:tr>
      <w:tr w:rsidR="00C6608B" w:rsidRPr="007F430A" w14:paraId="59273CAF" w14:textId="77777777" w:rsidTr="002644D9">
        <w:tc>
          <w:tcPr>
            <w:tcW w:w="4531" w:type="dxa"/>
          </w:tcPr>
          <w:p w14:paraId="0BC9BB24" w14:textId="77777777" w:rsidR="00C6608B" w:rsidRPr="007F430A" w:rsidRDefault="00C6608B" w:rsidP="002644D9">
            <w:pPr>
              <w:rPr>
                <w:szCs w:val="22"/>
              </w:rPr>
            </w:pPr>
            <w:r w:rsidRPr="007F430A">
              <w:rPr>
                <w:szCs w:val="22"/>
              </w:rPr>
              <w:lastRenderedPageBreak/>
              <w:t>Has the MSG identified gaps in the availability of EITI data in open format? If yes, what kind of gaps? (Requirement 7.2.b)</w:t>
            </w:r>
          </w:p>
        </w:tc>
        <w:tc>
          <w:tcPr>
            <w:tcW w:w="4531" w:type="dxa"/>
          </w:tcPr>
          <w:p w14:paraId="551D1E7B" w14:textId="256CE52C" w:rsidR="00C6608B" w:rsidRPr="007F430A" w:rsidRDefault="00400BF3" w:rsidP="002644D9">
            <w:pPr>
              <w:rPr>
                <w:szCs w:val="22"/>
              </w:rPr>
            </w:pPr>
            <w:r w:rsidRPr="007F430A">
              <w:rPr>
                <w:szCs w:val="22"/>
              </w:rPr>
              <w:t>In its 2021-2023 work plan, t</w:t>
            </w:r>
            <w:r w:rsidR="00961F89" w:rsidRPr="007F430A">
              <w:rPr>
                <w:szCs w:val="22"/>
              </w:rPr>
              <w:t xml:space="preserve">he MSG has identified a gap in </w:t>
            </w:r>
            <w:r w:rsidR="00A31604" w:rsidRPr="007F430A">
              <w:rPr>
                <w:szCs w:val="22"/>
              </w:rPr>
              <w:t xml:space="preserve">the need to </w:t>
            </w:r>
            <w:r w:rsidR="00961F89" w:rsidRPr="007F430A">
              <w:rPr>
                <w:szCs w:val="22"/>
              </w:rPr>
              <w:t>includ</w:t>
            </w:r>
            <w:r w:rsidR="00A31604" w:rsidRPr="007F430A">
              <w:rPr>
                <w:szCs w:val="22"/>
              </w:rPr>
              <w:t>e</w:t>
            </w:r>
            <w:r w:rsidR="00961F89" w:rsidRPr="007F430A">
              <w:rPr>
                <w:szCs w:val="22"/>
              </w:rPr>
              <w:t xml:space="preserve"> up to date data </w:t>
            </w:r>
            <w:r w:rsidR="00A31604" w:rsidRPr="007F430A">
              <w:rPr>
                <w:szCs w:val="22"/>
              </w:rPr>
              <w:t xml:space="preserve">on </w:t>
            </w:r>
            <w:r w:rsidR="005D1C01" w:rsidRPr="007F430A">
              <w:rPr>
                <w:szCs w:val="22"/>
              </w:rPr>
              <w:t xml:space="preserve">the TTEITI website </w:t>
            </w:r>
            <w:r w:rsidR="00A31604" w:rsidRPr="007F430A">
              <w:rPr>
                <w:szCs w:val="22"/>
              </w:rPr>
              <w:t xml:space="preserve">portal. </w:t>
            </w:r>
            <w:r w:rsidR="00961F89" w:rsidRPr="007F430A">
              <w:rPr>
                <w:szCs w:val="22"/>
              </w:rPr>
              <w:t xml:space="preserve"> </w:t>
            </w:r>
          </w:p>
        </w:tc>
      </w:tr>
      <w:tr w:rsidR="00C6608B" w:rsidRPr="007F430A" w14:paraId="40130A8A" w14:textId="77777777" w:rsidTr="002644D9">
        <w:tc>
          <w:tcPr>
            <w:tcW w:w="4531" w:type="dxa"/>
          </w:tcPr>
          <w:p w14:paraId="514FE3E9" w14:textId="77777777" w:rsidR="00C6608B" w:rsidRPr="007F430A" w:rsidRDefault="00C6608B" w:rsidP="002644D9">
            <w:pPr>
              <w:rPr>
                <w:szCs w:val="22"/>
              </w:rPr>
            </w:pPr>
            <w:r w:rsidRPr="007F430A">
              <w:rPr>
                <w:szCs w:val="22"/>
              </w:rPr>
              <w:t xml:space="preserve">Has the MSG undertaken efforts to improve the availability of data in open format? If yes, please describe these. (Requirement 7.2.b) </w:t>
            </w:r>
          </w:p>
        </w:tc>
        <w:tc>
          <w:tcPr>
            <w:tcW w:w="4531" w:type="dxa"/>
          </w:tcPr>
          <w:p w14:paraId="00E72F6D" w14:textId="44C36DE3" w:rsidR="00C6608B" w:rsidRPr="007F430A" w:rsidRDefault="00107137" w:rsidP="002644D9">
            <w:pPr>
              <w:rPr>
                <w:szCs w:val="22"/>
              </w:rPr>
            </w:pPr>
            <w:r w:rsidRPr="007F430A">
              <w:rPr>
                <w:szCs w:val="22"/>
              </w:rPr>
              <w:t xml:space="preserve">The TTEITI Steering Committee has revamped the </w:t>
            </w:r>
            <w:r w:rsidR="001C61FF" w:rsidRPr="007F430A">
              <w:rPr>
                <w:szCs w:val="22"/>
              </w:rPr>
              <w:t>website and data portal</w:t>
            </w:r>
            <w:r w:rsidR="00A31604" w:rsidRPr="007F430A">
              <w:rPr>
                <w:szCs w:val="22"/>
              </w:rPr>
              <w:t>.</w:t>
            </w:r>
            <w:r w:rsidR="001C61FF" w:rsidRPr="007F430A">
              <w:rPr>
                <w:szCs w:val="22"/>
              </w:rPr>
              <w:t xml:space="preserve"> </w:t>
            </w:r>
          </w:p>
        </w:tc>
      </w:tr>
      <w:tr w:rsidR="00C6608B" w:rsidRPr="007F430A" w14:paraId="0A1B1CBE" w14:textId="77777777" w:rsidTr="002644D9">
        <w:tc>
          <w:tcPr>
            <w:tcW w:w="4531" w:type="dxa"/>
          </w:tcPr>
          <w:p w14:paraId="358834D7" w14:textId="77777777" w:rsidR="00C6608B" w:rsidRPr="007F430A" w:rsidRDefault="00C6608B" w:rsidP="002644D9">
            <w:pPr>
              <w:rPr>
                <w:szCs w:val="22"/>
              </w:rPr>
            </w:pPr>
            <w:r w:rsidRPr="007F430A">
              <w:rPr>
                <w:szCs w:val="22"/>
              </w:rPr>
              <w:t>Have summary data files been completed for each fiscal year for which data has been disclosed? (Requirement 7.2.c)</w:t>
            </w:r>
          </w:p>
        </w:tc>
        <w:tc>
          <w:tcPr>
            <w:tcW w:w="4531" w:type="dxa"/>
          </w:tcPr>
          <w:p w14:paraId="455FDFD7" w14:textId="6AC3A0A1" w:rsidR="00C6608B" w:rsidRPr="007F430A" w:rsidRDefault="00107137" w:rsidP="002644D9">
            <w:pPr>
              <w:rPr>
                <w:szCs w:val="22"/>
              </w:rPr>
            </w:pPr>
            <w:r w:rsidRPr="007F430A">
              <w:rPr>
                <w:szCs w:val="22"/>
              </w:rPr>
              <w:t>Yes.</w:t>
            </w:r>
          </w:p>
        </w:tc>
      </w:tr>
      <w:tr w:rsidR="00C6608B" w:rsidRPr="007F430A" w14:paraId="2388496B" w14:textId="77777777" w:rsidTr="002644D9">
        <w:tc>
          <w:tcPr>
            <w:tcW w:w="4531" w:type="dxa"/>
          </w:tcPr>
          <w:p w14:paraId="4D2A4C23" w14:textId="77777777" w:rsidR="00C6608B" w:rsidRPr="007F430A" w:rsidRDefault="00C6608B" w:rsidP="002644D9">
            <w:pPr>
              <w:rPr>
                <w:i/>
                <w:iCs/>
                <w:szCs w:val="22"/>
              </w:rPr>
            </w:pPr>
            <w:r w:rsidRPr="007F430A">
              <w:rPr>
                <w:i/>
                <w:iCs/>
                <w:szCs w:val="22"/>
              </w:rPr>
              <w:t>What systematically disclosed data that is in the scope of EITI disclosures is machine readable and inter-operable? (Requirement 7.2.d)</w:t>
            </w:r>
          </w:p>
        </w:tc>
        <w:tc>
          <w:tcPr>
            <w:tcW w:w="4531" w:type="dxa"/>
          </w:tcPr>
          <w:p w14:paraId="6AB7AD82" w14:textId="2A76E1A2" w:rsidR="005D2FC1" w:rsidRPr="007F430A" w:rsidRDefault="003E35D0" w:rsidP="002644D9">
            <w:pPr>
              <w:rPr>
                <w:szCs w:val="22"/>
              </w:rPr>
            </w:pPr>
            <w:r w:rsidRPr="007F430A">
              <w:rPr>
                <w:szCs w:val="22"/>
              </w:rPr>
              <w:t>There are several areas where systematically disclosed data is available in machine readable format including: contract and license allocations, Oil, gas and mining l</w:t>
            </w:r>
            <w:r w:rsidR="005D2FC1" w:rsidRPr="007F430A">
              <w:rPr>
                <w:szCs w:val="22"/>
              </w:rPr>
              <w:t>icense register</w:t>
            </w:r>
            <w:r w:rsidRPr="007F430A">
              <w:rPr>
                <w:szCs w:val="22"/>
              </w:rPr>
              <w:t>s</w:t>
            </w:r>
            <w:r w:rsidR="00107137" w:rsidRPr="007F430A">
              <w:rPr>
                <w:szCs w:val="22"/>
              </w:rPr>
              <w:t xml:space="preserve">, </w:t>
            </w:r>
            <w:r w:rsidRPr="007F430A">
              <w:rPr>
                <w:szCs w:val="22"/>
              </w:rPr>
              <w:t xml:space="preserve">beneficial ownership, </w:t>
            </w:r>
            <w:r w:rsidR="00107137" w:rsidRPr="007F430A">
              <w:rPr>
                <w:szCs w:val="22"/>
              </w:rPr>
              <w:t>production</w:t>
            </w:r>
            <w:r w:rsidR="00066F89" w:rsidRPr="007F430A">
              <w:rPr>
                <w:szCs w:val="22"/>
              </w:rPr>
              <w:t xml:space="preserve"> and economic contribution.</w:t>
            </w:r>
            <w:r w:rsidR="00107137" w:rsidRPr="007F430A">
              <w:rPr>
                <w:szCs w:val="22"/>
              </w:rPr>
              <w:t xml:space="preserve"> </w:t>
            </w:r>
            <w:r w:rsidR="005D2FC1" w:rsidRPr="007F430A">
              <w:rPr>
                <w:szCs w:val="22"/>
              </w:rPr>
              <w:t xml:space="preserve"> </w:t>
            </w:r>
          </w:p>
        </w:tc>
      </w:tr>
    </w:tbl>
    <w:p w14:paraId="3E7544A5" w14:textId="77777777" w:rsidR="00C6608B" w:rsidRPr="007F430A" w:rsidRDefault="00C6608B" w:rsidP="00C6608B">
      <w:pPr>
        <w:pStyle w:val="Heading2"/>
        <w:rPr>
          <w:sz w:val="22"/>
          <w:szCs w:val="22"/>
        </w:rPr>
      </w:pPr>
      <w:bookmarkStart w:id="7" w:name="_Toc50122778"/>
    </w:p>
    <w:p w14:paraId="33D73F51" w14:textId="77777777" w:rsidR="00C6608B" w:rsidRPr="007F430A" w:rsidRDefault="00C6608B" w:rsidP="00C6608B">
      <w:pPr>
        <w:pStyle w:val="Heading2"/>
        <w:rPr>
          <w:sz w:val="22"/>
          <w:szCs w:val="22"/>
        </w:rPr>
      </w:pPr>
      <w:bookmarkStart w:id="8" w:name="_Toc57973531"/>
      <w:r w:rsidRPr="007F430A">
        <w:rPr>
          <w:sz w:val="22"/>
          <w:szCs w:val="22"/>
        </w:rPr>
        <w:t>Outreach and communications</w:t>
      </w:r>
      <w:bookmarkEnd w:id="7"/>
      <w:r w:rsidRPr="007F430A">
        <w:rPr>
          <w:sz w:val="22"/>
          <w:szCs w:val="22"/>
        </w:rPr>
        <w:t xml:space="preserve"> (Requirement 7.1)</w:t>
      </w:r>
      <w:bookmarkEnd w:id="8"/>
    </w:p>
    <w:p w14:paraId="63A4C3F1" w14:textId="77777777" w:rsidR="00C6608B" w:rsidRPr="0022643A" w:rsidRDefault="00C6608B" w:rsidP="00C6608B">
      <w:pPr>
        <w:rPr>
          <w:b/>
          <w:bCs/>
          <w:szCs w:val="22"/>
        </w:rPr>
      </w:pPr>
    </w:p>
    <w:p w14:paraId="42FDD343" w14:textId="77777777" w:rsidR="00C6608B" w:rsidRPr="007F430A" w:rsidRDefault="00C6608B" w:rsidP="00C6608B">
      <w:pPr>
        <w:rPr>
          <w:szCs w:val="22"/>
        </w:rPr>
      </w:pPr>
      <w:r w:rsidRPr="007F430A">
        <w:rPr>
          <w:b/>
          <w:bCs/>
          <w:szCs w:val="22"/>
        </w:rPr>
        <w:t>12. Describe the MSG’s efforts in the period under review to ensure that information published about the extractive sector is comprehensible and available in appropriate languages</w:t>
      </w:r>
      <w:r w:rsidRPr="007F430A">
        <w:rPr>
          <w:szCs w:val="22"/>
        </w:rPr>
        <w:t>.</w:t>
      </w:r>
    </w:p>
    <w:tbl>
      <w:tblPr>
        <w:tblStyle w:val="TableGrid"/>
        <w:tblW w:w="0" w:type="auto"/>
        <w:tblLook w:val="04A0" w:firstRow="1" w:lastRow="0" w:firstColumn="1" w:lastColumn="0" w:noHBand="0" w:noVBand="1"/>
      </w:tblPr>
      <w:tblGrid>
        <w:gridCol w:w="9062"/>
      </w:tblGrid>
      <w:tr w:rsidR="00C6608B" w:rsidRPr="007F430A" w14:paraId="7CEAB952" w14:textId="77777777" w:rsidTr="002644D9">
        <w:tc>
          <w:tcPr>
            <w:tcW w:w="9062" w:type="dxa"/>
          </w:tcPr>
          <w:p w14:paraId="1E9E7B99" w14:textId="21D0BA69" w:rsidR="00C6608B" w:rsidRPr="007F430A" w:rsidRDefault="003E35D0" w:rsidP="002644D9">
            <w:pPr>
              <w:rPr>
                <w:szCs w:val="22"/>
              </w:rPr>
            </w:pPr>
            <w:r w:rsidRPr="007F430A">
              <w:rPr>
                <w:szCs w:val="22"/>
              </w:rPr>
              <w:t xml:space="preserve">The TTEITI Steering Committee, in collaboration with communication agency Yellow House Media, has taken a conscious decision to simplify </w:t>
            </w:r>
            <w:r w:rsidR="00066F89" w:rsidRPr="007F430A">
              <w:rPr>
                <w:szCs w:val="22"/>
              </w:rPr>
              <w:t xml:space="preserve">EITI reports through developing summary briefs and using graphic design to simplify the messages conveyed in reports. The committee has focused on digital reporting and relaying information via social media </w:t>
            </w:r>
            <w:r w:rsidR="000F2D79" w:rsidRPr="007F430A">
              <w:rPr>
                <w:szCs w:val="22"/>
              </w:rPr>
              <w:t xml:space="preserve">with clear key messages and calls to action. The steering committee has </w:t>
            </w:r>
            <w:r w:rsidR="006767FD" w:rsidRPr="007F430A">
              <w:rPr>
                <w:szCs w:val="22"/>
              </w:rPr>
              <w:t>developed jingles and videos on key extractive themes such as beneficial ownership etc.</w:t>
            </w:r>
          </w:p>
          <w:p w14:paraId="40F85048" w14:textId="77777777" w:rsidR="00C6608B" w:rsidRPr="007F430A" w:rsidRDefault="00C6608B" w:rsidP="002644D9">
            <w:pPr>
              <w:rPr>
                <w:szCs w:val="22"/>
              </w:rPr>
            </w:pPr>
          </w:p>
          <w:p w14:paraId="25C66DCD" w14:textId="77777777" w:rsidR="00C6608B" w:rsidRPr="0022643A" w:rsidRDefault="00066F89" w:rsidP="002644D9">
            <w:pPr>
              <w:rPr>
                <w:szCs w:val="22"/>
              </w:rPr>
            </w:pPr>
            <w:r w:rsidRPr="007F430A">
              <w:rPr>
                <w:szCs w:val="22"/>
              </w:rPr>
              <w:t xml:space="preserve">See: TTEITI website </w:t>
            </w:r>
            <w:hyperlink r:id="rId19" w:history="1">
              <w:r w:rsidRPr="0022643A">
                <w:rPr>
                  <w:rStyle w:val="Hyperlink"/>
                  <w:szCs w:val="22"/>
                </w:rPr>
                <w:t>www.tteiti.com</w:t>
              </w:r>
            </w:hyperlink>
            <w:r w:rsidRPr="0022643A">
              <w:rPr>
                <w:szCs w:val="22"/>
              </w:rPr>
              <w:t xml:space="preserve"> </w:t>
            </w:r>
          </w:p>
          <w:p w14:paraId="112CC0BC" w14:textId="0A964F44" w:rsidR="000F2D79" w:rsidRPr="007F430A" w:rsidRDefault="000F2D79" w:rsidP="002644D9">
            <w:pPr>
              <w:rPr>
                <w:szCs w:val="22"/>
              </w:rPr>
            </w:pPr>
            <w:r w:rsidRPr="007F430A">
              <w:rPr>
                <w:szCs w:val="22"/>
              </w:rPr>
              <w:t xml:space="preserve">TTEITI </w:t>
            </w:r>
            <w:proofErr w:type="spellStart"/>
            <w:r w:rsidRPr="007F430A">
              <w:rPr>
                <w:szCs w:val="22"/>
              </w:rPr>
              <w:t>Youtube</w:t>
            </w:r>
            <w:proofErr w:type="spellEnd"/>
            <w:r w:rsidRPr="007F430A">
              <w:rPr>
                <w:szCs w:val="22"/>
              </w:rPr>
              <w:t xml:space="preserve"> Channel</w:t>
            </w:r>
          </w:p>
        </w:tc>
      </w:tr>
    </w:tbl>
    <w:p w14:paraId="53D47480" w14:textId="77777777" w:rsidR="00C6608B" w:rsidRPr="007F430A" w:rsidRDefault="00C6608B" w:rsidP="00C6608B">
      <w:pPr>
        <w:rPr>
          <w:szCs w:val="22"/>
        </w:rPr>
      </w:pPr>
    </w:p>
    <w:p w14:paraId="18863A21" w14:textId="77777777" w:rsidR="00C6608B" w:rsidRPr="0022643A" w:rsidRDefault="00C6608B" w:rsidP="00C6608B">
      <w:pPr>
        <w:rPr>
          <w:b/>
          <w:bCs/>
          <w:szCs w:val="22"/>
        </w:rPr>
      </w:pPr>
      <w:r w:rsidRPr="007F430A">
        <w:rPr>
          <w:b/>
          <w:bCs/>
          <w:szCs w:val="22"/>
        </w:rPr>
        <w:lastRenderedPageBreak/>
        <w:t>13. Describe examples of use of EITI data</w:t>
      </w:r>
      <w:r w:rsidRPr="0022643A">
        <w:rPr>
          <w:b/>
          <w:bCs/>
          <w:szCs w:val="22"/>
        </w:rPr>
        <w:t>.</w:t>
      </w:r>
    </w:p>
    <w:tbl>
      <w:tblPr>
        <w:tblStyle w:val="TableGrid"/>
        <w:tblW w:w="0" w:type="auto"/>
        <w:tblLook w:val="04A0" w:firstRow="1" w:lastRow="0" w:firstColumn="1" w:lastColumn="0" w:noHBand="0" w:noVBand="1"/>
      </w:tblPr>
      <w:tblGrid>
        <w:gridCol w:w="9062"/>
      </w:tblGrid>
      <w:tr w:rsidR="00C6608B" w:rsidRPr="00202866" w14:paraId="3CEC81E0" w14:textId="77777777" w:rsidTr="002644D9">
        <w:tc>
          <w:tcPr>
            <w:tcW w:w="9062" w:type="dxa"/>
          </w:tcPr>
          <w:p w14:paraId="306EB411" w14:textId="17D2B92E" w:rsidR="00C6608B" w:rsidRPr="007F430A" w:rsidRDefault="006767FD" w:rsidP="002644D9">
            <w:pPr>
              <w:rPr>
                <w:i/>
                <w:iCs/>
                <w:szCs w:val="22"/>
              </w:rPr>
            </w:pPr>
            <w:r w:rsidRPr="007F430A" w:rsidDel="006767FD">
              <w:rPr>
                <w:szCs w:val="22"/>
              </w:rPr>
              <w:t xml:space="preserve"> </w:t>
            </w:r>
            <w:r w:rsidR="00C6608B" w:rsidRPr="007F430A">
              <w:rPr>
                <w:i/>
                <w:iCs/>
                <w:szCs w:val="22"/>
              </w:rPr>
              <w:t>[Document instances of use of EITI data in various formats, whether from MSG members or any stakeholders. Examples of types of EITI data use could include:</w:t>
            </w:r>
          </w:p>
          <w:p w14:paraId="21FEB6AF" w14:textId="77777777" w:rsidR="00C6608B" w:rsidRPr="007F430A" w:rsidRDefault="00C6608B" w:rsidP="00C6608B">
            <w:pPr>
              <w:pStyle w:val="ListParagraph"/>
              <w:numPr>
                <w:ilvl w:val="0"/>
                <w:numId w:val="13"/>
              </w:numPr>
              <w:spacing w:before="0" w:after="0" w:line="276" w:lineRule="auto"/>
              <w:contextualSpacing/>
              <w:rPr>
                <w:i/>
                <w:iCs/>
                <w:szCs w:val="22"/>
              </w:rPr>
            </w:pPr>
            <w:r w:rsidRPr="007F430A">
              <w:rPr>
                <w:i/>
                <w:iCs/>
                <w:szCs w:val="22"/>
              </w:rPr>
              <w:t>Print and broadcast media coverage of stories referencing EITI data</w:t>
            </w:r>
          </w:p>
          <w:p w14:paraId="43B32E7E" w14:textId="77777777" w:rsidR="00C6608B" w:rsidRPr="007F430A" w:rsidRDefault="00C6608B" w:rsidP="00C6608B">
            <w:pPr>
              <w:pStyle w:val="ListParagraph"/>
              <w:numPr>
                <w:ilvl w:val="0"/>
                <w:numId w:val="13"/>
              </w:numPr>
              <w:spacing w:before="0" w:after="0" w:line="276" w:lineRule="auto"/>
              <w:contextualSpacing/>
              <w:rPr>
                <w:i/>
                <w:iCs/>
                <w:szCs w:val="22"/>
              </w:rPr>
            </w:pPr>
            <w:r w:rsidRPr="007F430A">
              <w:rPr>
                <w:i/>
                <w:iCs/>
                <w:szCs w:val="22"/>
              </w:rPr>
              <w:t>Research and analytical studies drawing on EITI data</w:t>
            </w:r>
          </w:p>
          <w:p w14:paraId="4C0B6639" w14:textId="77777777" w:rsidR="00C6608B" w:rsidRPr="007F430A" w:rsidRDefault="00C6608B" w:rsidP="00C6608B">
            <w:pPr>
              <w:pStyle w:val="ListParagraph"/>
              <w:numPr>
                <w:ilvl w:val="0"/>
                <w:numId w:val="13"/>
              </w:numPr>
              <w:spacing w:before="0" w:after="0" w:line="276" w:lineRule="auto"/>
              <w:contextualSpacing/>
              <w:rPr>
                <w:i/>
                <w:iCs/>
                <w:szCs w:val="22"/>
              </w:rPr>
            </w:pPr>
            <w:r w:rsidRPr="007F430A">
              <w:rPr>
                <w:i/>
                <w:iCs/>
                <w:szCs w:val="22"/>
              </w:rPr>
              <w:t>Advocacy and lobbying notes referencing EITI data</w:t>
            </w:r>
          </w:p>
          <w:p w14:paraId="6C5D795D" w14:textId="77777777" w:rsidR="00C6608B" w:rsidRPr="007F430A" w:rsidRDefault="00C6608B" w:rsidP="00C6608B">
            <w:pPr>
              <w:pStyle w:val="ListParagraph"/>
              <w:numPr>
                <w:ilvl w:val="0"/>
                <w:numId w:val="13"/>
              </w:numPr>
              <w:spacing w:before="0" w:after="0" w:line="276" w:lineRule="auto"/>
              <w:contextualSpacing/>
              <w:rPr>
                <w:i/>
                <w:iCs/>
                <w:szCs w:val="22"/>
              </w:rPr>
            </w:pPr>
            <w:r w:rsidRPr="007F430A">
              <w:rPr>
                <w:i/>
                <w:iCs/>
                <w:szCs w:val="22"/>
              </w:rPr>
              <w:t>Parliamentary submissions or proceedings drawing on EITI data</w:t>
            </w:r>
          </w:p>
          <w:p w14:paraId="5905CAC3" w14:textId="04C6FE99" w:rsidR="00C6608B" w:rsidRPr="00650EBC" w:rsidRDefault="00C6608B" w:rsidP="00650EBC">
            <w:pPr>
              <w:spacing w:before="0" w:after="0" w:line="276" w:lineRule="auto"/>
              <w:ind w:left="400"/>
              <w:contextualSpacing/>
              <w:rPr>
                <w:i/>
                <w:iCs/>
                <w:szCs w:val="22"/>
              </w:rPr>
            </w:pPr>
          </w:p>
          <w:p w14:paraId="32A81F77" w14:textId="29880811" w:rsidR="00C6608B" w:rsidRPr="007F430A" w:rsidRDefault="00C6608B" w:rsidP="002644D9">
            <w:pPr>
              <w:rPr>
                <w:szCs w:val="22"/>
              </w:rPr>
            </w:pPr>
            <w:r w:rsidRPr="007F430A">
              <w:rPr>
                <w:i/>
                <w:iCs/>
                <w:szCs w:val="22"/>
              </w:rPr>
              <w:t>Provide links to supporting evidence where available</w:t>
            </w:r>
            <w:proofErr w:type="gramStart"/>
            <w:r w:rsidRPr="007F430A">
              <w:rPr>
                <w:i/>
                <w:iCs/>
                <w:szCs w:val="22"/>
              </w:rPr>
              <w:t>.]</w:t>
            </w:r>
            <w:r w:rsidRPr="007F430A">
              <w:rPr>
                <w:szCs w:val="22"/>
              </w:rPr>
              <w:t>Anecdotal</w:t>
            </w:r>
            <w:proofErr w:type="gramEnd"/>
            <w:r w:rsidRPr="007F430A">
              <w:rPr>
                <w:szCs w:val="22"/>
              </w:rPr>
              <w:t xml:space="preserve"> evidence can also be recorded, for instance in the following way: </w:t>
            </w:r>
          </w:p>
          <w:p w14:paraId="76CBE94D" w14:textId="77777777" w:rsidR="00C6608B" w:rsidRPr="007F430A" w:rsidRDefault="00C6608B" w:rsidP="002644D9">
            <w:pPr>
              <w:rPr>
                <w:szCs w:val="22"/>
              </w:rPr>
            </w:pPr>
            <w:r w:rsidRPr="007F430A">
              <w:rPr>
                <w:szCs w:val="22"/>
              </w:rPr>
              <w:t xml:space="preserve">[This person / </w:t>
            </w:r>
            <w:proofErr w:type="gramStart"/>
            <w:r w:rsidRPr="007F430A">
              <w:rPr>
                <w:szCs w:val="22"/>
              </w:rPr>
              <w:t>group ]</w:t>
            </w:r>
            <w:proofErr w:type="gramEnd"/>
            <w:r w:rsidRPr="007F430A">
              <w:rPr>
                <w:szCs w:val="22"/>
              </w:rPr>
              <w:t xml:space="preserve"> has used [type of data in the scope of EITI disclosures] to do [what the data was used for / what problem did it solve.]</w:t>
            </w:r>
          </w:p>
          <w:p w14:paraId="645DFF26" w14:textId="1DE7F8FA" w:rsidR="008C50E8" w:rsidRPr="007F430A" w:rsidRDefault="00170452" w:rsidP="006767FD">
            <w:pPr>
              <w:rPr>
                <w:szCs w:val="22"/>
              </w:rPr>
            </w:pPr>
            <w:r w:rsidRPr="007F430A">
              <w:rPr>
                <w:szCs w:val="22"/>
              </w:rPr>
              <w:t xml:space="preserve">EITI </w:t>
            </w:r>
            <w:r w:rsidR="008C50E8" w:rsidRPr="007F430A">
              <w:rPr>
                <w:szCs w:val="22"/>
              </w:rPr>
              <w:t>d</w:t>
            </w:r>
            <w:r w:rsidRPr="007F430A">
              <w:rPr>
                <w:szCs w:val="22"/>
              </w:rPr>
              <w:t xml:space="preserve">ata has been used in several print and broadcast media stories, for research and analytical studies, parliamentary proceedings and </w:t>
            </w:r>
            <w:r w:rsidR="008C50E8" w:rsidRPr="007F430A">
              <w:rPr>
                <w:szCs w:val="22"/>
              </w:rPr>
              <w:t>for advocacy and lobbying notes. The following examples illustrate the use of EITI Data</w:t>
            </w:r>
            <w:r w:rsidR="00283F46">
              <w:rPr>
                <w:szCs w:val="22"/>
              </w:rPr>
              <w:t>:</w:t>
            </w:r>
            <w:r w:rsidR="008C50E8" w:rsidRPr="007F430A">
              <w:rPr>
                <w:szCs w:val="22"/>
              </w:rPr>
              <w:t xml:space="preserve"> </w:t>
            </w:r>
          </w:p>
          <w:p w14:paraId="64A0FCE0" w14:textId="654DCB26" w:rsidR="00100945" w:rsidRPr="007F430A" w:rsidRDefault="00100945" w:rsidP="00100945">
            <w:pPr>
              <w:rPr>
                <w:szCs w:val="22"/>
              </w:rPr>
            </w:pPr>
            <w:bookmarkStart w:id="9" w:name="_Hlk98511577"/>
          </w:p>
          <w:p w14:paraId="0F11FAD0" w14:textId="77777777" w:rsidR="00100945" w:rsidRPr="0022643A" w:rsidRDefault="002F5457" w:rsidP="00100945">
            <w:pPr>
              <w:numPr>
                <w:ilvl w:val="0"/>
                <w:numId w:val="17"/>
              </w:numPr>
              <w:pBdr>
                <w:top w:val="nil"/>
                <w:left w:val="nil"/>
                <w:bottom w:val="nil"/>
                <w:right w:val="nil"/>
                <w:between w:val="nil"/>
              </w:pBdr>
              <w:rPr>
                <w:szCs w:val="22"/>
              </w:rPr>
            </w:pPr>
            <w:hyperlink r:id="rId20">
              <w:r w:rsidR="00100945" w:rsidRPr="0022643A">
                <w:rPr>
                  <w:rFonts w:eastAsia="Libre Franklin" w:cs="Libre Franklin"/>
                  <w:color w:val="0000FF"/>
                  <w:szCs w:val="22"/>
                  <w:u w:val="single"/>
                </w:rPr>
                <w:t>https://trinidadexpress.com/opinion/letters/christmas-wish-list/article_fcd54d68-457c-11eb-b748-9bfd78e78d4d.html</w:t>
              </w:r>
            </w:hyperlink>
          </w:p>
          <w:p w14:paraId="3FCFC472" w14:textId="77777777" w:rsidR="00100945" w:rsidRPr="0022643A" w:rsidRDefault="002F5457" w:rsidP="00100945">
            <w:pPr>
              <w:numPr>
                <w:ilvl w:val="0"/>
                <w:numId w:val="17"/>
              </w:numPr>
              <w:pBdr>
                <w:top w:val="nil"/>
                <w:left w:val="nil"/>
                <w:bottom w:val="nil"/>
                <w:right w:val="nil"/>
                <w:between w:val="nil"/>
              </w:pBdr>
              <w:rPr>
                <w:szCs w:val="22"/>
              </w:rPr>
            </w:pPr>
            <w:hyperlink r:id="rId21">
              <w:r w:rsidR="00100945" w:rsidRPr="0022643A">
                <w:rPr>
                  <w:rFonts w:eastAsia="Libre Franklin" w:cs="Libre Franklin"/>
                  <w:color w:val="0000FF"/>
                  <w:szCs w:val="22"/>
                  <w:u w:val="single"/>
                </w:rPr>
                <w:t>https://ffost</w:t>
              </w:r>
              <w:r w:rsidR="00100945" w:rsidRPr="007F430A">
                <w:rPr>
                  <w:rFonts w:eastAsia="Libre Franklin" w:cs="Libre Franklin"/>
                  <w:color w:val="0000FF"/>
                  <w:szCs w:val="22"/>
                  <w:u w:val="single"/>
                </w:rPr>
                <w:t>t.com/2021/03/12/is-17-5b-ttd-a-planned-leakage/</w:t>
              </w:r>
            </w:hyperlink>
          </w:p>
          <w:p w14:paraId="20B01CD0" w14:textId="77777777" w:rsidR="00100945" w:rsidRPr="0022643A" w:rsidRDefault="002F5457" w:rsidP="00100945">
            <w:pPr>
              <w:numPr>
                <w:ilvl w:val="0"/>
                <w:numId w:val="17"/>
              </w:numPr>
              <w:pBdr>
                <w:top w:val="nil"/>
                <w:left w:val="nil"/>
                <w:bottom w:val="nil"/>
                <w:right w:val="nil"/>
                <w:between w:val="nil"/>
              </w:pBdr>
              <w:rPr>
                <w:szCs w:val="22"/>
              </w:rPr>
            </w:pPr>
            <w:hyperlink r:id="rId22">
              <w:r w:rsidR="00100945" w:rsidRPr="0022643A">
                <w:rPr>
                  <w:rFonts w:eastAsia="Libre Franklin" w:cs="Libre Franklin"/>
                  <w:color w:val="0000FF"/>
                  <w:szCs w:val="22"/>
                  <w:u w:val="single"/>
                </w:rPr>
                <w:t>https://www.facebook.com/100064406571171/videos/3090432841277677</w:t>
              </w:r>
            </w:hyperlink>
          </w:p>
          <w:p w14:paraId="1F4E1169" w14:textId="77777777" w:rsidR="00100945" w:rsidRPr="0022643A" w:rsidRDefault="002F5457" w:rsidP="00100945">
            <w:pPr>
              <w:numPr>
                <w:ilvl w:val="0"/>
                <w:numId w:val="17"/>
              </w:numPr>
              <w:pBdr>
                <w:top w:val="nil"/>
                <w:left w:val="nil"/>
                <w:bottom w:val="nil"/>
                <w:right w:val="nil"/>
                <w:between w:val="nil"/>
              </w:pBdr>
              <w:rPr>
                <w:szCs w:val="22"/>
              </w:rPr>
            </w:pPr>
            <w:hyperlink r:id="rId23">
              <w:r w:rsidR="00100945" w:rsidRPr="0022643A">
                <w:rPr>
                  <w:rFonts w:eastAsia="Libre Franklin" w:cs="Libre Franklin"/>
                  <w:color w:val="0000FF"/>
                  <w:szCs w:val="22"/>
                  <w:u w:val="single"/>
                </w:rPr>
                <w:t>https://www.guardian.co.tt/news/postcovid-tt--part-v-6.2.1130378.0d8b18f782</w:t>
              </w:r>
            </w:hyperlink>
            <w:r w:rsidR="00100945" w:rsidRPr="0022643A">
              <w:rPr>
                <w:rFonts w:eastAsia="Libre Franklin" w:cs="Libre Franklin"/>
                <w:color w:val="000000"/>
                <w:szCs w:val="22"/>
              </w:rPr>
              <w:t xml:space="preserve"> </w:t>
            </w:r>
          </w:p>
          <w:p w14:paraId="10FEA551" w14:textId="77777777" w:rsidR="00100945" w:rsidRPr="007F430A" w:rsidRDefault="00100945" w:rsidP="00100945">
            <w:pPr>
              <w:rPr>
                <w:szCs w:val="22"/>
              </w:rPr>
            </w:pPr>
            <w:r w:rsidRPr="007F430A">
              <w:rPr>
                <w:szCs w:val="22"/>
              </w:rPr>
              <w:t>The Cari-</w:t>
            </w:r>
            <w:proofErr w:type="spellStart"/>
            <w:r w:rsidRPr="007F430A">
              <w:rPr>
                <w:szCs w:val="22"/>
              </w:rPr>
              <w:t>Bois</w:t>
            </w:r>
            <w:proofErr w:type="spellEnd"/>
            <w:r w:rsidRPr="007F430A">
              <w:rPr>
                <w:szCs w:val="22"/>
              </w:rPr>
              <w:t xml:space="preserve"> News Network, led by the Cropper Foundation also utilizes TTEITI data when reporting on issues related to the extractive sector. Examples of these include:</w:t>
            </w:r>
          </w:p>
          <w:p w14:paraId="1418C26F" w14:textId="77777777" w:rsidR="00100945" w:rsidRPr="0022643A" w:rsidRDefault="002F5457" w:rsidP="00100945">
            <w:pPr>
              <w:numPr>
                <w:ilvl w:val="0"/>
                <w:numId w:val="17"/>
              </w:numPr>
              <w:pBdr>
                <w:top w:val="nil"/>
                <w:left w:val="nil"/>
                <w:bottom w:val="nil"/>
                <w:right w:val="nil"/>
                <w:between w:val="nil"/>
              </w:pBdr>
              <w:rPr>
                <w:szCs w:val="22"/>
              </w:rPr>
            </w:pPr>
            <w:hyperlink r:id="rId24">
              <w:r w:rsidR="00100945" w:rsidRPr="0022643A">
                <w:rPr>
                  <w:rFonts w:eastAsia="Libre Franklin" w:cs="Libre Franklin"/>
                  <w:color w:val="0000FF"/>
                  <w:szCs w:val="22"/>
                  <w:u w:val="single"/>
                </w:rPr>
                <w:t>https://www.caribois.org/2021/02/irresponsible-quarrying-hurting-communities-forests-wildlife-in-tt/</w:t>
              </w:r>
            </w:hyperlink>
          </w:p>
          <w:p w14:paraId="14E7E409" w14:textId="77777777" w:rsidR="00100945" w:rsidRPr="0022643A" w:rsidRDefault="002F5457" w:rsidP="00100945">
            <w:pPr>
              <w:numPr>
                <w:ilvl w:val="0"/>
                <w:numId w:val="17"/>
              </w:numPr>
              <w:pBdr>
                <w:top w:val="nil"/>
                <w:left w:val="nil"/>
                <w:bottom w:val="nil"/>
                <w:right w:val="nil"/>
                <w:between w:val="nil"/>
              </w:pBdr>
              <w:rPr>
                <w:szCs w:val="22"/>
              </w:rPr>
            </w:pPr>
            <w:hyperlink r:id="rId25">
              <w:r w:rsidR="00100945" w:rsidRPr="0022643A">
                <w:rPr>
                  <w:rFonts w:eastAsia="Libre Franklin" w:cs="Libre Franklin"/>
                  <w:color w:val="0000FF"/>
                  <w:szCs w:val="22"/>
                  <w:u w:val="single"/>
                </w:rPr>
                <w:t>https://www.caribois.org/2020/05/policy-needs-people-to-come-alive/</w:t>
              </w:r>
            </w:hyperlink>
          </w:p>
          <w:p w14:paraId="1F23DA3B" w14:textId="77777777" w:rsidR="00100945" w:rsidRPr="0022643A" w:rsidRDefault="002F5457" w:rsidP="00100945">
            <w:pPr>
              <w:numPr>
                <w:ilvl w:val="0"/>
                <w:numId w:val="17"/>
              </w:numPr>
              <w:pBdr>
                <w:top w:val="nil"/>
                <w:left w:val="nil"/>
                <w:bottom w:val="nil"/>
                <w:right w:val="nil"/>
                <w:between w:val="nil"/>
              </w:pBdr>
              <w:rPr>
                <w:szCs w:val="22"/>
              </w:rPr>
            </w:pPr>
            <w:hyperlink r:id="rId26">
              <w:r w:rsidR="00100945" w:rsidRPr="0022643A">
                <w:rPr>
                  <w:rFonts w:eastAsia="Libre Franklin" w:cs="Libre Franklin"/>
                  <w:color w:val="0000FF"/>
                  <w:szCs w:val="22"/>
                  <w:u w:val="single"/>
                </w:rPr>
                <w:t>https://www.caribois.org/2020/11/tteiti-advocates-for-greater-data-transparency-in-the-management-of-the-extractive-sector/</w:t>
              </w:r>
            </w:hyperlink>
          </w:p>
          <w:p w14:paraId="3D77BC4F" w14:textId="77777777" w:rsidR="00100945" w:rsidRPr="0022643A" w:rsidRDefault="002F5457" w:rsidP="00100945">
            <w:pPr>
              <w:numPr>
                <w:ilvl w:val="0"/>
                <w:numId w:val="17"/>
              </w:numPr>
              <w:pBdr>
                <w:top w:val="nil"/>
                <w:left w:val="nil"/>
                <w:bottom w:val="nil"/>
                <w:right w:val="nil"/>
                <w:between w:val="nil"/>
              </w:pBdr>
              <w:rPr>
                <w:szCs w:val="22"/>
              </w:rPr>
            </w:pPr>
            <w:hyperlink r:id="rId27">
              <w:r w:rsidR="00100945" w:rsidRPr="0022643A">
                <w:rPr>
                  <w:rFonts w:eastAsia="Libre Franklin" w:cs="Libre Franklin"/>
                  <w:color w:val="0000FF"/>
                  <w:szCs w:val="22"/>
                  <w:u w:val="single"/>
                </w:rPr>
                <w:t>https://www.caribois.org/2020/05/transparency-and-accountability-of-tt-extractive-sector-demands-more-data/</w:t>
              </w:r>
            </w:hyperlink>
          </w:p>
          <w:p w14:paraId="0BF395B2" w14:textId="77777777" w:rsidR="00100945" w:rsidRPr="0022643A" w:rsidRDefault="00100945" w:rsidP="00100945">
            <w:pPr>
              <w:rPr>
                <w:szCs w:val="22"/>
              </w:rPr>
            </w:pPr>
            <w:r w:rsidRPr="007F430A">
              <w:rPr>
                <w:szCs w:val="22"/>
              </w:rPr>
              <w:t xml:space="preserve">The OWTU, as mentioned previously, hosts a TTEITI-focused public forum annually in which it shares information and knowledge around the TTEITI, within a context of discussion and </w:t>
            </w:r>
            <w:r w:rsidRPr="007F430A">
              <w:rPr>
                <w:szCs w:val="22"/>
              </w:rPr>
              <w:lastRenderedPageBreak/>
              <w:t xml:space="preserve">debate. The 2021 forum can be viewed here: </w:t>
            </w:r>
            <w:hyperlink r:id="rId28">
              <w:r w:rsidRPr="0022643A">
                <w:rPr>
                  <w:color w:val="0000FF"/>
                  <w:szCs w:val="22"/>
                  <w:u w:val="single"/>
                </w:rPr>
                <w:t>https://www.facebook.com/OilfieldsWorkersTradeUnion/vide</w:t>
              </w:r>
              <w:r w:rsidRPr="007F430A">
                <w:rPr>
                  <w:color w:val="0000FF"/>
                  <w:szCs w:val="22"/>
                  <w:u w:val="single"/>
                </w:rPr>
                <w:t>os/2879239705740172</w:t>
              </w:r>
            </w:hyperlink>
          </w:p>
          <w:p w14:paraId="1AC27288" w14:textId="77777777" w:rsidR="00100945" w:rsidRPr="007F430A" w:rsidRDefault="00100945" w:rsidP="00100945">
            <w:pPr>
              <w:rPr>
                <w:color w:val="000000"/>
                <w:szCs w:val="22"/>
              </w:rPr>
            </w:pPr>
            <w:r w:rsidRPr="007F430A">
              <w:rPr>
                <w:color w:val="000000"/>
                <w:szCs w:val="22"/>
              </w:rPr>
              <w:t>OWTU TTEITI Public Policy Forum (Nov 2021)</w:t>
            </w:r>
          </w:p>
          <w:p w14:paraId="30B08CF8" w14:textId="77777777" w:rsidR="00100945" w:rsidRPr="0022643A" w:rsidRDefault="002F5457" w:rsidP="00100945">
            <w:pPr>
              <w:numPr>
                <w:ilvl w:val="0"/>
                <w:numId w:val="17"/>
              </w:numPr>
              <w:pBdr>
                <w:top w:val="nil"/>
                <w:left w:val="nil"/>
                <w:bottom w:val="nil"/>
                <w:right w:val="nil"/>
                <w:between w:val="nil"/>
              </w:pBdr>
              <w:rPr>
                <w:rFonts w:eastAsia="Libre Franklin" w:cs="Libre Franklin"/>
                <w:color w:val="FF0000"/>
                <w:szCs w:val="22"/>
              </w:rPr>
            </w:pPr>
            <w:hyperlink r:id="rId29">
              <w:r w:rsidR="00100945" w:rsidRPr="0022643A">
                <w:rPr>
                  <w:rFonts w:eastAsia="Libre Franklin" w:cs="Libre Franklin"/>
                  <w:color w:val="0000FF"/>
                  <w:szCs w:val="22"/>
                  <w:u w:val="single"/>
                </w:rPr>
                <w:t>https://newsday.co.tt/2021/11/12/owtu-to-hold-government-to-account-as-soe-comes-t</w:t>
              </w:r>
              <w:r w:rsidR="00100945" w:rsidRPr="007F430A">
                <w:rPr>
                  <w:rFonts w:eastAsia="Libre Franklin" w:cs="Libre Franklin"/>
                  <w:color w:val="0000FF"/>
                  <w:szCs w:val="22"/>
                  <w:u w:val="single"/>
                </w:rPr>
                <w:t>o-an-end/</w:t>
              </w:r>
            </w:hyperlink>
          </w:p>
          <w:p w14:paraId="001CDD77" w14:textId="77777777" w:rsidR="00100945" w:rsidRPr="0022643A" w:rsidRDefault="002F5457" w:rsidP="00100945">
            <w:pPr>
              <w:numPr>
                <w:ilvl w:val="0"/>
                <w:numId w:val="17"/>
              </w:numPr>
              <w:pBdr>
                <w:top w:val="nil"/>
                <w:left w:val="nil"/>
                <w:bottom w:val="nil"/>
                <w:right w:val="nil"/>
                <w:between w:val="nil"/>
              </w:pBdr>
              <w:rPr>
                <w:rFonts w:eastAsia="Libre Franklin" w:cs="Libre Franklin"/>
                <w:color w:val="FF0000"/>
                <w:szCs w:val="22"/>
              </w:rPr>
            </w:pPr>
            <w:hyperlink r:id="rId30">
              <w:r w:rsidR="00100945" w:rsidRPr="0022643A">
                <w:rPr>
                  <w:rFonts w:eastAsia="Libre Franklin" w:cs="Libre Franklin"/>
                  <w:color w:val="0000FF"/>
                  <w:szCs w:val="22"/>
                  <w:u w:val="single"/>
                </w:rPr>
                <w:t>https://www.guardian.co.tt/news/report-mining-sector-owes-government-194m-in-outstanding-royalties-6.2.14</w:t>
              </w:r>
              <w:r w:rsidR="00100945" w:rsidRPr="007F430A">
                <w:rPr>
                  <w:rFonts w:eastAsia="Libre Franklin" w:cs="Libre Franklin"/>
                  <w:color w:val="0000FF"/>
                  <w:szCs w:val="22"/>
                  <w:u w:val="single"/>
                </w:rPr>
                <w:t>11626.99b3202149</w:t>
              </w:r>
            </w:hyperlink>
          </w:p>
          <w:p w14:paraId="6E68C9C3" w14:textId="77777777" w:rsidR="00100945" w:rsidRPr="007F430A" w:rsidRDefault="00100945" w:rsidP="00100945">
            <w:pPr>
              <w:rPr>
                <w:color w:val="000000"/>
                <w:szCs w:val="22"/>
              </w:rPr>
            </w:pPr>
            <w:r w:rsidRPr="007F430A">
              <w:rPr>
                <w:color w:val="000000"/>
                <w:szCs w:val="22"/>
              </w:rPr>
              <w:t>OWTU TTEITI Public Policy Forum (May 2020)</w:t>
            </w:r>
          </w:p>
          <w:p w14:paraId="45112C23" w14:textId="77777777" w:rsidR="00100945" w:rsidRPr="0022643A" w:rsidRDefault="002F5457" w:rsidP="00100945">
            <w:pPr>
              <w:numPr>
                <w:ilvl w:val="0"/>
                <w:numId w:val="17"/>
              </w:numPr>
              <w:pBdr>
                <w:top w:val="nil"/>
                <w:left w:val="nil"/>
                <w:bottom w:val="nil"/>
                <w:right w:val="nil"/>
                <w:between w:val="nil"/>
              </w:pBdr>
              <w:rPr>
                <w:rFonts w:eastAsia="Libre Franklin" w:cs="Libre Franklin"/>
                <w:color w:val="FF0000"/>
                <w:szCs w:val="22"/>
              </w:rPr>
            </w:pPr>
            <w:hyperlink r:id="rId31">
              <w:r w:rsidR="00100945" w:rsidRPr="0022643A">
                <w:rPr>
                  <w:rFonts w:eastAsia="Libre Franklin" w:cs="Libre Franklin"/>
                  <w:color w:val="0000FF"/>
                  <w:szCs w:val="22"/>
                  <w:u w:val="single"/>
                </w:rPr>
                <w:t>https://newsday.co.tt/2020/05/09/owtu-transparency-accountability-must-be-kept-on-track/</w:t>
              </w:r>
            </w:hyperlink>
            <w:r w:rsidR="00100945" w:rsidRPr="0022643A">
              <w:rPr>
                <w:rFonts w:eastAsia="Libre Franklin" w:cs="Libre Franklin"/>
                <w:color w:val="FF0000"/>
                <w:szCs w:val="22"/>
              </w:rPr>
              <w:t xml:space="preserve"> </w:t>
            </w:r>
          </w:p>
          <w:p w14:paraId="3ED70AF7" w14:textId="77777777" w:rsidR="00100945" w:rsidRPr="007F430A" w:rsidRDefault="00100945" w:rsidP="00100945">
            <w:pPr>
              <w:rPr>
                <w:color w:val="000000"/>
                <w:szCs w:val="22"/>
              </w:rPr>
            </w:pPr>
            <w:r w:rsidRPr="007F430A">
              <w:rPr>
                <w:color w:val="000000"/>
                <w:szCs w:val="22"/>
              </w:rPr>
              <w:t>Other Newspaper articles with CS mentioning/ using TTEITI Data:</w:t>
            </w:r>
          </w:p>
          <w:p w14:paraId="5ACC6DCF" w14:textId="77777777" w:rsidR="00100945" w:rsidRPr="00283F46" w:rsidRDefault="002F5457" w:rsidP="00100945">
            <w:pPr>
              <w:numPr>
                <w:ilvl w:val="0"/>
                <w:numId w:val="17"/>
              </w:numPr>
              <w:pBdr>
                <w:top w:val="nil"/>
                <w:left w:val="nil"/>
                <w:bottom w:val="nil"/>
                <w:right w:val="nil"/>
                <w:between w:val="nil"/>
              </w:pBdr>
              <w:rPr>
                <w:rFonts w:eastAsia="Libre Franklin" w:cs="Libre Franklin"/>
                <w:color w:val="000000"/>
                <w:szCs w:val="22"/>
                <w:lang w:val="nb-NO"/>
              </w:rPr>
            </w:pPr>
            <w:hyperlink r:id="rId32">
              <w:r w:rsidR="00100945" w:rsidRPr="00283F46">
                <w:rPr>
                  <w:rFonts w:eastAsia="Libre Franklin" w:cs="Libre Franklin"/>
                  <w:color w:val="0000FF"/>
                  <w:szCs w:val="22"/>
                  <w:u w:val="single"/>
                  <w:lang w:val="nb-NO"/>
                </w:rPr>
                <w:t>https://newsday.co.tt/2020/11/13/roget-blasts-unc-leader-over-patriotic-claims/</w:t>
              </w:r>
            </w:hyperlink>
            <w:r w:rsidR="00100945" w:rsidRPr="00283F46">
              <w:rPr>
                <w:rFonts w:eastAsia="Libre Franklin" w:cs="Libre Franklin"/>
                <w:color w:val="FF0000"/>
                <w:szCs w:val="22"/>
                <w:lang w:val="nb-NO"/>
              </w:rPr>
              <w:t xml:space="preserve">  </w:t>
            </w:r>
            <w:r w:rsidR="00100945" w:rsidRPr="00283F46">
              <w:rPr>
                <w:rFonts w:eastAsia="Libre Franklin" w:cs="Libre Franklin"/>
                <w:color w:val="000000"/>
                <w:szCs w:val="22"/>
                <w:lang w:val="nb-NO"/>
              </w:rPr>
              <w:t>(Nov 2020)</w:t>
            </w:r>
          </w:p>
          <w:p w14:paraId="54F45190" w14:textId="77777777" w:rsidR="00283F46" w:rsidRPr="007F430A" w:rsidRDefault="00283F46" w:rsidP="00283F46">
            <w:pPr>
              <w:rPr>
                <w:szCs w:val="22"/>
              </w:rPr>
            </w:pPr>
            <w:r w:rsidRPr="007F430A">
              <w:rPr>
                <w:szCs w:val="22"/>
              </w:rPr>
              <w:t xml:space="preserve">The Energy Chamber has used EITI data on supplemental petroleum taxes and petroleum profit taxes to inform its </w:t>
            </w:r>
            <w:proofErr w:type="spellStart"/>
            <w:r w:rsidRPr="007F430A">
              <w:rPr>
                <w:szCs w:val="22"/>
              </w:rPr>
              <w:t>advovacy</w:t>
            </w:r>
            <w:proofErr w:type="spellEnd"/>
            <w:r w:rsidRPr="007F430A">
              <w:rPr>
                <w:szCs w:val="22"/>
              </w:rPr>
              <w:t xml:space="preserve"> to Government on fiscal regime reform. </w:t>
            </w:r>
          </w:p>
          <w:p w14:paraId="07C21D59" w14:textId="189435CC" w:rsidR="00C6608B" w:rsidRPr="00283F46" w:rsidRDefault="00283F46" w:rsidP="002644D9">
            <w:pPr>
              <w:rPr>
                <w:szCs w:val="22"/>
              </w:rPr>
            </w:pPr>
            <w:r w:rsidRPr="007F430A">
              <w:rPr>
                <w:szCs w:val="22"/>
              </w:rPr>
              <w:t>Fishermen and Friends of the Sea has used EITI data on oil spills in their advocacy to Government on environmental impact of industrial activity.</w:t>
            </w:r>
            <w:r w:rsidR="008C50E8" w:rsidRPr="00283F46">
              <w:rPr>
                <w:szCs w:val="22"/>
                <w:lang w:val="nb-NO"/>
              </w:rPr>
              <w:t xml:space="preserve"> </w:t>
            </w:r>
            <w:r w:rsidR="00170452" w:rsidRPr="00283F46">
              <w:rPr>
                <w:szCs w:val="22"/>
                <w:lang w:val="nb-NO"/>
              </w:rPr>
              <w:t xml:space="preserve"> </w:t>
            </w:r>
            <w:bookmarkEnd w:id="9"/>
          </w:p>
        </w:tc>
      </w:tr>
    </w:tbl>
    <w:p w14:paraId="471D22E5" w14:textId="77777777" w:rsidR="00147BF7" w:rsidRPr="007F430A" w:rsidRDefault="00147BF7" w:rsidP="00147BF7">
      <w:pPr>
        <w:rPr>
          <w:szCs w:val="22"/>
        </w:rPr>
      </w:pPr>
      <w:r w:rsidRPr="007F430A">
        <w:rPr>
          <w:b/>
          <w:bCs/>
          <w:szCs w:val="22"/>
        </w:rPr>
        <w:lastRenderedPageBreak/>
        <w:t xml:space="preserve">14. Provide information about outreach events </w:t>
      </w:r>
      <w:proofErr w:type="spellStart"/>
      <w:r w:rsidRPr="007F430A">
        <w:rPr>
          <w:b/>
          <w:bCs/>
          <w:szCs w:val="22"/>
        </w:rPr>
        <w:t>organised</w:t>
      </w:r>
      <w:proofErr w:type="spellEnd"/>
      <w:r w:rsidRPr="007F430A">
        <w:rPr>
          <w:b/>
          <w:bCs/>
          <w:szCs w:val="22"/>
        </w:rPr>
        <w:t xml:space="preserve"> to spread awareness of and facilitate dialogue about governance of extractive resources, building on EITI disclosures</w:t>
      </w:r>
      <w:r w:rsidRPr="007F430A">
        <w:rPr>
          <w:szCs w:val="22"/>
        </w:rPr>
        <w:t>.</w:t>
      </w:r>
    </w:p>
    <w:p w14:paraId="43D07452" w14:textId="77777777" w:rsidR="00147BF7" w:rsidRPr="007F430A" w:rsidRDefault="00147BF7" w:rsidP="00147BF7">
      <w:pPr>
        <w:rPr>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37"/>
        <w:gridCol w:w="1530"/>
        <w:gridCol w:w="900"/>
        <w:gridCol w:w="1256"/>
        <w:gridCol w:w="1154"/>
        <w:gridCol w:w="1332"/>
        <w:gridCol w:w="1463"/>
      </w:tblGrid>
      <w:tr w:rsidR="00147BF7" w:rsidRPr="007F430A" w14:paraId="06BB79D7" w14:textId="77777777" w:rsidTr="00147BF7">
        <w:tc>
          <w:tcPr>
            <w:tcW w:w="1312" w:type="dxa"/>
            <w:tcBorders>
              <w:top w:val="nil"/>
              <w:left w:val="nil"/>
              <w:bottom w:val="single" w:sz="4" w:space="0" w:color="auto"/>
              <w:right w:val="single" w:sz="4" w:space="0" w:color="auto"/>
            </w:tcBorders>
            <w:shd w:val="clear" w:color="auto" w:fill="E7E6E6" w:themeFill="background2"/>
            <w:hideMark/>
          </w:tcPr>
          <w:p w14:paraId="2F0B526B" w14:textId="77777777" w:rsidR="00147BF7" w:rsidRPr="007F430A" w:rsidRDefault="00147BF7">
            <w:pPr>
              <w:rPr>
                <w:b/>
                <w:szCs w:val="22"/>
                <w:lang w:val="nb-NO"/>
              </w:rPr>
            </w:pPr>
            <w:r w:rsidRPr="007F430A">
              <w:rPr>
                <w:b/>
                <w:szCs w:val="22"/>
                <w:lang w:val="nb-NO"/>
              </w:rPr>
              <w:t xml:space="preserve">Event name </w:t>
            </w:r>
          </w:p>
        </w:tc>
        <w:tc>
          <w:tcPr>
            <w:tcW w:w="1314" w:type="dxa"/>
            <w:tcBorders>
              <w:top w:val="nil"/>
              <w:left w:val="single" w:sz="4" w:space="0" w:color="auto"/>
              <w:bottom w:val="single" w:sz="4" w:space="0" w:color="auto"/>
              <w:right w:val="single" w:sz="4" w:space="0" w:color="auto"/>
            </w:tcBorders>
            <w:shd w:val="clear" w:color="auto" w:fill="E7E6E6" w:themeFill="background2"/>
            <w:hideMark/>
          </w:tcPr>
          <w:p w14:paraId="6065AA89" w14:textId="77777777" w:rsidR="00147BF7" w:rsidRPr="00283F46" w:rsidRDefault="00147BF7">
            <w:pPr>
              <w:rPr>
                <w:b/>
                <w:szCs w:val="22"/>
                <w:lang w:val="en-GB"/>
              </w:rPr>
            </w:pPr>
            <w:r w:rsidRPr="00283F46">
              <w:rPr>
                <w:b/>
                <w:szCs w:val="22"/>
                <w:lang w:val="en-GB"/>
              </w:rPr>
              <w:t>Brief description of the event</w:t>
            </w:r>
          </w:p>
        </w:tc>
        <w:tc>
          <w:tcPr>
            <w:tcW w:w="1229" w:type="dxa"/>
            <w:tcBorders>
              <w:top w:val="nil"/>
              <w:left w:val="single" w:sz="4" w:space="0" w:color="auto"/>
              <w:bottom w:val="single" w:sz="4" w:space="0" w:color="auto"/>
              <w:right w:val="single" w:sz="4" w:space="0" w:color="auto"/>
            </w:tcBorders>
            <w:shd w:val="clear" w:color="auto" w:fill="E7E6E6" w:themeFill="background2"/>
            <w:hideMark/>
          </w:tcPr>
          <w:p w14:paraId="374C378A" w14:textId="77777777" w:rsidR="00147BF7" w:rsidRPr="007F430A" w:rsidRDefault="00147BF7">
            <w:pPr>
              <w:rPr>
                <w:b/>
                <w:szCs w:val="22"/>
                <w:lang w:val="nb-NO"/>
              </w:rPr>
            </w:pPr>
            <w:r w:rsidRPr="007F430A">
              <w:rPr>
                <w:b/>
                <w:szCs w:val="22"/>
                <w:lang w:val="nb-NO"/>
              </w:rPr>
              <w:t>Date</w:t>
            </w:r>
          </w:p>
        </w:tc>
        <w:tc>
          <w:tcPr>
            <w:tcW w:w="1296" w:type="dxa"/>
            <w:tcBorders>
              <w:top w:val="nil"/>
              <w:left w:val="single" w:sz="4" w:space="0" w:color="auto"/>
              <w:bottom w:val="single" w:sz="4" w:space="0" w:color="auto"/>
              <w:right w:val="single" w:sz="4" w:space="0" w:color="auto"/>
            </w:tcBorders>
            <w:shd w:val="clear" w:color="auto" w:fill="E7E6E6" w:themeFill="background2"/>
            <w:hideMark/>
          </w:tcPr>
          <w:p w14:paraId="01FB86F2" w14:textId="77777777" w:rsidR="00147BF7" w:rsidRPr="007F430A" w:rsidRDefault="00147BF7">
            <w:pPr>
              <w:rPr>
                <w:b/>
                <w:szCs w:val="22"/>
                <w:lang w:val="nb-NO"/>
              </w:rPr>
            </w:pPr>
            <w:r w:rsidRPr="007F430A">
              <w:rPr>
                <w:b/>
                <w:szCs w:val="22"/>
                <w:lang w:val="nb-NO"/>
              </w:rPr>
              <w:t>Location</w:t>
            </w:r>
          </w:p>
        </w:tc>
        <w:tc>
          <w:tcPr>
            <w:tcW w:w="1363" w:type="dxa"/>
            <w:tcBorders>
              <w:top w:val="nil"/>
              <w:left w:val="single" w:sz="4" w:space="0" w:color="auto"/>
              <w:bottom w:val="single" w:sz="4" w:space="0" w:color="auto"/>
              <w:right w:val="single" w:sz="4" w:space="0" w:color="auto"/>
            </w:tcBorders>
            <w:shd w:val="clear" w:color="auto" w:fill="E7E6E6" w:themeFill="background2"/>
            <w:hideMark/>
          </w:tcPr>
          <w:p w14:paraId="2974B547" w14:textId="77777777" w:rsidR="00147BF7" w:rsidRPr="007F430A" w:rsidRDefault="00147BF7">
            <w:pPr>
              <w:rPr>
                <w:b/>
                <w:szCs w:val="22"/>
                <w:lang w:val="nb-NO"/>
              </w:rPr>
            </w:pPr>
            <w:r w:rsidRPr="007F430A">
              <w:rPr>
                <w:b/>
                <w:szCs w:val="22"/>
                <w:lang w:val="nb-NO"/>
              </w:rPr>
              <w:t>Organiser</w:t>
            </w:r>
          </w:p>
        </w:tc>
        <w:tc>
          <w:tcPr>
            <w:tcW w:w="1066" w:type="dxa"/>
            <w:tcBorders>
              <w:top w:val="nil"/>
              <w:left w:val="single" w:sz="4" w:space="0" w:color="auto"/>
              <w:bottom w:val="single" w:sz="4" w:space="0" w:color="auto"/>
              <w:right w:val="single" w:sz="4" w:space="0" w:color="auto"/>
            </w:tcBorders>
            <w:shd w:val="clear" w:color="auto" w:fill="E7E6E6" w:themeFill="background2"/>
            <w:hideMark/>
          </w:tcPr>
          <w:p w14:paraId="7D5B2395" w14:textId="77777777" w:rsidR="00147BF7" w:rsidRPr="00283F46" w:rsidRDefault="00147BF7">
            <w:pPr>
              <w:rPr>
                <w:b/>
                <w:szCs w:val="22"/>
                <w:lang w:val="en-GB"/>
              </w:rPr>
            </w:pPr>
            <w:r w:rsidRPr="00283F46">
              <w:rPr>
                <w:b/>
                <w:szCs w:val="22"/>
                <w:lang w:val="en-GB"/>
              </w:rPr>
              <w:t>Number and type of attendees</w:t>
            </w:r>
          </w:p>
        </w:tc>
        <w:tc>
          <w:tcPr>
            <w:tcW w:w="1482" w:type="dxa"/>
            <w:tcBorders>
              <w:top w:val="nil"/>
              <w:left w:val="single" w:sz="4" w:space="0" w:color="auto"/>
              <w:bottom w:val="single" w:sz="4" w:space="0" w:color="auto"/>
              <w:right w:val="nil"/>
            </w:tcBorders>
            <w:shd w:val="clear" w:color="auto" w:fill="E7E6E6" w:themeFill="background2"/>
            <w:hideMark/>
          </w:tcPr>
          <w:p w14:paraId="2C710437" w14:textId="77777777" w:rsidR="00147BF7" w:rsidRPr="007F430A" w:rsidRDefault="00147BF7">
            <w:pPr>
              <w:rPr>
                <w:b/>
                <w:szCs w:val="22"/>
                <w:lang w:val="nb-NO"/>
              </w:rPr>
            </w:pPr>
            <w:r w:rsidRPr="007F430A">
              <w:rPr>
                <w:b/>
                <w:szCs w:val="22"/>
                <w:lang w:val="nb-NO"/>
              </w:rPr>
              <w:t>Links to further information</w:t>
            </w:r>
          </w:p>
        </w:tc>
      </w:tr>
      <w:tr w:rsidR="00147BF7" w:rsidRPr="007F430A" w14:paraId="7C7BA75F" w14:textId="77777777" w:rsidTr="00147BF7">
        <w:tc>
          <w:tcPr>
            <w:tcW w:w="1312" w:type="dxa"/>
            <w:tcBorders>
              <w:top w:val="single" w:sz="4" w:space="0" w:color="auto"/>
              <w:left w:val="nil"/>
              <w:bottom w:val="single" w:sz="4" w:space="0" w:color="auto"/>
              <w:right w:val="single" w:sz="4" w:space="0" w:color="auto"/>
            </w:tcBorders>
            <w:hideMark/>
          </w:tcPr>
          <w:p w14:paraId="613DE7FF" w14:textId="77777777" w:rsidR="00147BF7" w:rsidRPr="00283F46" w:rsidRDefault="00147BF7">
            <w:pPr>
              <w:rPr>
                <w:szCs w:val="22"/>
                <w:lang w:val="en-GB"/>
              </w:rPr>
            </w:pPr>
            <w:r w:rsidRPr="00283F46">
              <w:rPr>
                <w:szCs w:val="22"/>
                <w:lang w:val="en-GB"/>
              </w:rPr>
              <w:t>Digging Deeper: Addressing Mining Sector Challenges in T&amp;T</w:t>
            </w:r>
          </w:p>
        </w:tc>
        <w:tc>
          <w:tcPr>
            <w:tcW w:w="1314" w:type="dxa"/>
            <w:tcBorders>
              <w:top w:val="single" w:sz="4" w:space="0" w:color="auto"/>
              <w:left w:val="single" w:sz="4" w:space="0" w:color="auto"/>
              <w:bottom w:val="single" w:sz="4" w:space="0" w:color="auto"/>
              <w:right w:val="single" w:sz="4" w:space="0" w:color="auto"/>
            </w:tcBorders>
            <w:hideMark/>
          </w:tcPr>
          <w:p w14:paraId="1EFA1900" w14:textId="77777777" w:rsidR="00147BF7" w:rsidRPr="00283F46" w:rsidRDefault="00147BF7">
            <w:pPr>
              <w:rPr>
                <w:szCs w:val="22"/>
                <w:lang w:val="en-GB"/>
              </w:rPr>
            </w:pPr>
            <w:r w:rsidRPr="00283F46">
              <w:rPr>
                <w:szCs w:val="22"/>
                <w:lang w:val="en-GB"/>
              </w:rPr>
              <w:t xml:space="preserve">A panel of local and international experts addressed the way forward for the mining and quarrying sector. </w:t>
            </w:r>
          </w:p>
        </w:tc>
        <w:tc>
          <w:tcPr>
            <w:tcW w:w="1229" w:type="dxa"/>
            <w:tcBorders>
              <w:top w:val="single" w:sz="4" w:space="0" w:color="auto"/>
              <w:left w:val="single" w:sz="4" w:space="0" w:color="auto"/>
              <w:bottom w:val="single" w:sz="4" w:space="0" w:color="auto"/>
              <w:right w:val="single" w:sz="4" w:space="0" w:color="auto"/>
            </w:tcBorders>
            <w:hideMark/>
          </w:tcPr>
          <w:p w14:paraId="7B9DD609" w14:textId="77777777" w:rsidR="00147BF7" w:rsidRPr="007F430A" w:rsidRDefault="00147BF7">
            <w:pPr>
              <w:rPr>
                <w:szCs w:val="22"/>
                <w:lang w:val="nb-NO"/>
              </w:rPr>
            </w:pPr>
            <w:r w:rsidRPr="007F430A">
              <w:rPr>
                <w:szCs w:val="22"/>
                <w:lang w:val="nb-NO"/>
              </w:rPr>
              <w:t>March 23, 2022</w:t>
            </w:r>
          </w:p>
        </w:tc>
        <w:tc>
          <w:tcPr>
            <w:tcW w:w="1296" w:type="dxa"/>
            <w:tcBorders>
              <w:top w:val="single" w:sz="4" w:space="0" w:color="auto"/>
              <w:left w:val="single" w:sz="4" w:space="0" w:color="auto"/>
              <w:bottom w:val="single" w:sz="4" w:space="0" w:color="auto"/>
              <w:right w:val="single" w:sz="4" w:space="0" w:color="auto"/>
            </w:tcBorders>
            <w:hideMark/>
          </w:tcPr>
          <w:p w14:paraId="71290A95" w14:textId="77777777" w:rsidR="00147BF7" w:rsidRPr="007F430A" w:rsidRDefault="00147BF7">
            <w:pPr>
              <w:rPr>
                <w:szCs w:val="22"/>
                <w:lang w:val="nb-NO"/>
              </w:rPr>
            </w:pPr>
            <w:r w:rsidRPr="007F430A">
              <w:rPr>
                <w:szCs w:val="22"/>
                <w:lang w:val="nb-NO"/>
              </w:rPr>
              <w:t>Online – ZOOM Webinar</w:t>
            </w:r>
          </w:p>
        </w:tc>
        <w:tc>
          <w:tcPr>
            <w:tcW w:w="1363" w:type="dxa"/>
            <w:tcBorders>
              <w:top w:val="single" w:sz="4" w:space="0" w:color="auto"/>
              <w:left w:val="single" w:sz="4" w:space="0" w:color="auto"/>
              <w:bottom w:val="single" w:sz="4" w:space="0" w:color="auto"/>
              <w:right w:val="single" w:sz="4" w:space="0" w:color="auto"/>
            </w:tcBorders>
            <w:hideMark/>
          </w:tcPr>
          <w:p w14:paraId="4E87E4F3" w14:textId="77777777" w:rsidR="00147BF7" w:rsidRPr="007F430A" w:rsidRDefault="00147BF7">
            <w:pPr>
              <w:rPr>
                <w:szCs w:val="22"/>
                <w:lang w:val="nb-NO"/>
              </w:rPr>
            </w:pPr>
            <w:r w:rsidRPr="007F430A">
              <w:rPr>
                <w:szCs w:val="22"/>
                <w:lang w:val="nb-NO"/>
              </w:rPr>
              <w:t>TTEITI</w:t>
            </w:r>
          </w:p>
        </w:tc>
        <w:tc>
          <w:tcPr>
            <w:tcW w:w="1066" w:type="dxa"/>
            <w:tcBorders>
              <w:top w:val="single" w:sz="4" w:space="0" w:color="auto"/>
              <w:left w:val="single" w:sz="4" w:space="0" w:color="auto"/>
              <w:bottom w:val="single" w:sz="4" w:space="0" w:color="auto"/>
              <w:right w:val="single" w:sz="4" w:space="0" w:color="auto"/>
            </w:tcBorders>
            <w:hideMark/>
          </w:tcPr>
          <w:p w14:paraId="4E670AA1" w14:textId="77777777" w:rsidR="00147BF7" w:rsidRPr="00283F46" w:rsidRDefault="00147BF7">
            <w:pPr>
              <w:rPr>
                <w:szCs w:val="22"/>
                <w:lang w:val="en-GB"/>
              </w:rPr>
            </w:pPr>
            <w:r w:rsidRPr="00283F46">
              <w:rPr>
                <w:szCs w:val="22"/>
                <w:lang w:val="en-GB"/>
              </w:rPr>
              <w:t>CSO</w:t>
            </w:r>
          </w:p>
          <w:p w14:paraId="620F9FD9" w14:textId="77777777" w:rsidR="00147BF7" w:rsidRPr="00283F46" w:rsidRDefault="00147BF7">
            <w:pPr>
              <w:rPr>
                <w:szCs w:val="22"/>
                <w:lang w:val="en-GB"/>
              </w:rPr>
            </w:pPr>
            <w:r w:rsidRPr="00283F46">
              <w:rPr>
                <w:szCs w:val="22"/>
                <w:lang w:val="en-GB"/>
              </w:rPr>
              <w:t>Quarry Operators</w:t>
            </w:r>
          </w:p>
          <w:p w14:paraId="0C742E1D" w14:textId="77777777" w:rsidR="00147BF7" w:rsidRPr="00283F46" w:rsidRDefault="00147BF7">
            <w:pPr>
              <w:rPr>
                <w:szCs w:val="22"/>
                <w:lang w:val="en-GB"/>
              </w:rPr>
            </w:pPr>
            <w:r w:rsidRPr="00283F46">
              <w:rPr>
                <w:szCs w:val="22"/>
                <w:lang w:val="en-GB"/>
              </w:rPr>
              <w:t>Government Rep</w:t>
            </w:r>
          </w:p>
          <w:p w14:paraId="6019BFB0" w14:textId="77777777" w:rsidR="00147BF7" w:rsidRPr="00283F46" w:rsidRDefault="00147BF7">
            <w:pPr>
              <w:rPr>
                <w:szCs w:val="22"/>
                <w:lang w:val="en-GB"/>
              </w:rPr>
            </w:pPr>
            <w:r w:rsidRPr="00283F46">
              <w:rPr>
                <w:szCs w:val="22"/>
                <w:lang w:val="en-GB"/>
              </w:rPr>
              <w:t>Private Sector</w:t>
            </w:r>
          </w:p>
          <w:p w14:paraId="56DBA2C5" w14:textId="77777777" w:rsidR="00147BF7" w:rsidRPr="007F430A" w:rsidRDefault="00147BF7">
            <w:pPr>
              <w:rPr>
                <w:szCs w:val="22"/>
                <w:lang w:val="nb-NO"/>
              </w:rPr>
            </w:pPr>
            <w:r w:rsidRPr="007F430A">
              <w:rPr>
                <w:szCs w:val="22"/>
                <w:lang w:val="nb-NO"/>
              </w:rPr>
              <w:t>108</w:t>
            </w:r>
          </w:p>
        </w:tc>
        <w:tc>
          <w:tcPr>
            <w:tcW w:w="1482" w:type="dxa"/>
            <w:tcBorders>
              <w:top w:val="single" w:sz="4" w:space="0" w:color="auto"/>
              <w:left w:val="single" w:sz="4" w:space="0" w:color="auto"/>
              <w:bottom w:val="single" w:sz="4" w:space="0" w:color="auto"/>
              <w:right w:val="nil"/>
            </w:tcBorders>
          </w:tcPr>
          <w:p w14:paraId="4300459E" w14:textId="4EA536AF" w:rsidR="00147BF7" w:rsidRPr="007F430A" w:rsidRDefault="002F5457">
            <w:pPr>
              <w:rPr>
                <w:szCs w:val="22"/>
                <w:lang w:val="nb-NO"/>
              </w:rPr>
            </w:pPr>
            <w:hyperlink r:id="rId33" w:history="1">
              <w:r w:rsidR="00283F46">
                <w:rPr>
                  <w:rStyle w:val="Hyperlink"/>
                </w:rPr>
                <w:t>TTEITI Mining Forum 2022 — TTEITI</w:t>
              </w:r>
            </w:hyperlink>
          </w:p>
        </w:tc>
      </w:tr>
      <w:tr w:rsidR="00147BF7" w:rsidRPr="007F430A" w14:paraId="09BE2DD3" w14:textId="77777777" w:rsidTr="00147BF7">
        <w:tc>
          <w:tcPr>
            <w:tcW w:w="1312" w:type="dxa"/>
            <w:tcBorders>
              <w:top w:val="single" w:sz="4" w:space="0" w:color="auto"/>
              <w:left w:val="nil"/>
              <w:bottom w:val="single" w:sz="4" w:space="0" w:color="auto"/>
              <w:right w:val="single" w:sz="4" w:space="0" w:color="auto"/>
            </w:tcBorders>
            <w:hideMark/>
          </w:tcPr>
          <w:p w14:paraId="2ED0D3B6" w14:textId="77777777" w:rsidR="00147BF7" w:rsidRPr="00283F46" w:rsidRDefault="00147BF7">
            <w:pPr>
              <w:rPr>
                <w:szCs w:val="22"/>
                <w:lang w:val="en-GB"/>
              </w:rPr>
            </w:pPr>
            <w:r w:rsidRPr="00283F46">
              <w:rPr>
                <w:szCs w:val="22"/>
                <w:lang w:val="en-GB"/>
              </w:rPr>
              <w:lastRenderedPageBreak/>
              <w:t>Discussion on State of the Extractive Sector’s Report: Social Dialogue &amp; Democracy</w:t>
            </w:r>
          </w:p>
        </w:tc>
        <w:tc>
          <w:tcPr>
            <w:tcW w:w="1314" w:type="dxa"/>
            <w:tcBorders>
              <w:top w:val="single" w:sz="4" w:space="0" w:color="auto"/>
              <w:left w:val="single" w:sz="4" w:space="0" w:color="auto"/>
              <w:bottom w:val="single" w:sz="4" w:space="0" w:color="auto"/>
              <w:right w:val="single" w:sz="4" w:space="0" w:color="auto"/>
            </w:tcBorders>
            <w:hideMark/>
          </w:tcPr>
          <w:p w14:paraId="1C56ABAF" w14:textId="77777777" w:rsidR="00147BF7" w:rsidRPr="00283F46" w:rsidRDefault="00147BF7">
            <w:pPr>
              <w:rPr>
                <w:szCs w:val="22"/>
                <w:lang w:val="en-GB"/>
              </w:rPr>
            </w:pPr>
            <w:r w:rsidRPr="00283F46">
              <w:rPr>
                <w:szCs w:val="22"/>
                <w:lang w:val="en-GB"/>
              </w:rPr>
              <w:t>The TTEITI will meet with members of the OTWTU and other CSOs to breakdown the latest report.</w:t>
            </w:r>
          </w:p>
        </w:tc>
        <w:tc>
          <w:tcPr>
            <w:tcW w:w="1229" w:type="dxa"/>
            <w:tcBorders>
              <w:top w:val="single" w:sz="4" w:space="0" w:color="auto"/>
              <w:left w:val="single" w:sz="4" w:space="0" w:color="auto"/>
              <w:bottom w:val="single" w:sz="4" w:space="0" w:color="auto"/>
              <w:right w:val="single" w:sz="4" w:space="0" w:color="auto"/>
            </w:tcBorders>
            <w:hideMark/>
          </w:tcPr>
          <w:p w14:paraId="440525C0" w14:textId="77777777" w:rsidR="00147BF7" w:rsidRPr="007F430A" w:rsidRDefault="00147BF7">
            <w:pPr>
              <w:rPr>
                <w:szCs w:val="22"/>
                <w:lang w:val="nb-NO"/>
              </w:rPr>
            </w:pPr>
            <w:r w:rsidRPr="007F430A">
              <w:rPr>
                <w:szCs w:val="22"/>
                <w:lang w:val="nb-NO"/>
              </w:rPr>
              <w:t>Nov 9,2021</w:t>
            </w:r>
          </w:p>
        </w:tc>
        <w:tc>
          <w:tcPr>
            <w:tcW w:w="1296" w:type="dxa"/>
            <w:tcBorders>
              <w:top w:val="single" w:sz="4" w:space="0" w:color="auto"/>
              <w:left w:val="single" w:sz="4" w:space="0" w:color="auto"/>
              <w:bottom w:val="single" w:sz="4" w:space="0" w:color="auto"/>
              <w:right w:val="single" w:sz="4" w:space="0" w:color="auto"/>
            </w:tcBorders>
            <w:hideMark/>
          </w:tcPr>
          <w:p w14:paraId="1486140A" w14:textId="77777777" w:rsidR="00147BF7" w:rsidRPr="007F430A" w:rsidRDefault="00147BF7">
            <w:pPr>
              <w:rPr>
                <w:szCs w:val="22"/>
                <w:lang w:val="nb-NO"/>
              </w:rPr>
            </w:pPr>
            <w:r w:rsidRPr="007F430A">
              <w:rPr>
                <w:szCs w:val="22"/>
                <w:lang w:val="nb-NO"/>
              </w:rPr>
              <w:t>Facebook Live &amp; Zoom</w:t>
            </w:r>
          </w:p>
        </w:tc>
        <w:tc>
          <w:tcPr>
            <w:tcW w:w="1363" w:type="dxa"/>
            <w:tcBorders>
              <w:top w:val="single" w:sz="4" w:space="0" w:color="auto"/>
              <w:left w:val="single" w:sz="4" w:space="0" w:color="auto"/>
              <w:bottom w:val="single" w:sz="4" w:space="0" w:color="auto"/>
              <w:right w:val="single" w:sz="4" w:space="0" w:color="auto"/>
            </w:tcBorders>
            <w:hideMark/>
          </w:tcPr>
          <w:p w14:paraId="76BB7C93" w14:textId="77777777" w:rsidR="00147BF7" w:rsidRPr="007F430A" w:rsidRDefault="00147BF7">
            <w:pPr>
              <w:rPr>
                <w:szCs w:val="22"/>
                <w:lang w:val="nb-NO"/>
              </w:rPr>
            </w:pPr>
            <w:r w:rsidRPr="007F430A">
              <w:rPr>
                <w:szCs w:val="22"/>
                <w:lang w:val="nb-NO"/>
              </w:rPr>
              <w:t>TTEITI &amp; OWTU</w:t>
            </w:r>
          </w:p>
        </w:tc>
        <w:tc>
          <w:tcPr>
            <w:tcW w:w="1066" w:type="dxa"/>
            <w:tcBorders>
              <w:top w:val="single" w:sz="4" w:space="0" w:color="auto"/>
              <w:left w:val="single" w:sz="4" w:space="0" w:color="auto"/>
              <w:bottom w:val="single" w:sz="4" w:space="0" w:color="auto"/>
              <w:right w:val="single" w:sz="4" w:space="0" w:color="auto"/>
            </w:tcBorders>
            <w:hideMark/>
          </w:tcPr>
          <w:p w14:paraId="11A71568" w14:textId="77777777" w:rsidR="00147BF7" w:rsidRPr="007F430A" w:rsidRDefault="00147BF7">
            <w:pPr>
              <w:rPr>
                <w:szCs w:val="22"/>
                <w:lang w:val="nb-NO"/>
              </w:rPr>
            </w:pPr>
            <w:r w:rsidRPr="007F430A">
              <w:rPr>
                <w:szCs w:val="22"/>
                <w:lang w:val="nb-NO"/>
              </w:rPr>
              <w:t>CSOs</w:t>
            </w:r>
          </w:p>
        </w:tc>
        <w:tc>
          <w:tcPr>
            <w:tcW w:w="1482" w:type="dxa"/>
            <w:tcBorders>
              <w:top w:val="single" w:sz="4" w:space="0" w:color="auto"/>
              <w:left w:val="single" w:sz="4" w:space="0" w:color="auto"/>
              <w:bottom w:val="single" w:sz="4" w:space="0" w:color="auto"/>
              <w:right w:val="nil"/>
            </w:tcBorders>
          </w:tcPr>
          <w:p w14:paraId="51ECEFF3" w14:textId="77777777" w:rsidR="00147BF7" w:rsidRPr="007F430A" w:rsidRDefault="00147BF7">
            <w:pPr>
              <w:rPr>
                <w:szCs w:val="22"/>
                <w:lang w:val="nb-NO"/>
              </w:rPr>
            </w:pPr>
          </w:p>
        </w:tc>
      </w:tr>
      <w:tr w:rsidR="00147BF7" w:rsidRPr="007F430A" w14:paraId="4D9AEAC0" w14:textId="77777777" w:rsidTr="00147BF7">
        <w:tc>
          <w:tcPr>
            <w:tcW w:w="1312" w:type="dxa"/>
            <w:tcBorders>
              <w:top w:val="single" w:sz="4" w:space="0" w:color="auto"/>
              <w:left w:val="nil"/>
              <w:bottom w:val="single" w:sz="4" w:space="0" w:color="auto"/>
              <w:right w:val="single" w:sz="4" w:space="0" w:color="auto"/>
            </w:tcBorders>
            <w:hideMark/>
          </w:tcPr>
          <w:p w14:paraId="5FF0A462" w14:textId="77777777" w:rsidR="00147BF7" w:rsidRPr="00283F46" w:rsidRDefault="00147BF7">
            <w:pPr>
              <w:rPr>
                <w:szCs w:val="22"/>
                <w:lang w:val="en-GB"/>
              </w:rPr>
            </w:pPr>
            <w:r w:rsidRPr="00283F46">
              <w:rPr>
                <w:szCs w:val="22"/>
                <w:lang w:val="en-GB"/>
              </w:rPr>
              <w:t>State of the Extractive Sector 2018</w:t>
            </w:r>
          </w:p>
        </w:tc>
        <w:tc>
          <w:tcPr>
            <w:tcW w:w="1314" w:type="dxa"/>
            <w:tcBorders>
              <w:top w:val="single" w:sz="4" w:space="0" w:color="auto"/>
              <w:left w:val="single" w:sz="4" w:space="0" w:color="auto"/>
              <w:bottom w:val="single" w:sz="4" w:space="0" w:color="auto"/>
              <w:right w:val="single" w:sz="4" w:space="0" w:color="auto"/>
            </w:tcBorders>
            <w:hideMark/>
          </w:tcPr>
          <w:p w14:paraId="2DDF2E4D" w14:textId="77777777" w:rsidR="00147BF7" w:rsidRPr="007F430A" w:rsidRDefault="00147BF7">
            <w:pPr>
              <w:rPr>
                <w:szCs w:val="22"/>
                <w:lang w:val="nb-NO"/>
              </w:rPr>
            </w:pPr>
            <w:r w:rsidRPr="007F430A">
              <w:rPr>
                <w:szCs w:val="22"/>
                <w:lang w:val="nb-NO"/>
              </w:rPr>
              <w:t>TTEITI Report Launch</w:t>
            </w:r>
          </w:p>
        </w:tc>
        <w:tc>
          <w:tcPr>
            <w:tcW w:w="1229" w:type="dxa"/>
            <w:tcBorders>
              <w:top w:val="single" w:sz="4" w:space="0" w:color="auto"/>
              <w:left w:val="single" w:sz="4" w:space="0" w:color="auto"/>
              <w:bottom w:val="single" w:sz="4" w:space="0" w:color="auto"/>
              <w:right w:val="single" w:sz="4" w:space="0" w:color="auto"/>
            </w:tcBorders>
            <w:hideMark/>
          </w:tcPr>
          <w:p w14:paraId="66000C9F" w14:textId="77777777" w:rsidR="00147BF7" w:rsidRPr="007F430A" w:rsidRDefault="00147BF7">
            <w:pPr>
              <w:rPr>
                <w:szCs w:val="22"/>
                <w:lang w:val="nb-NO"/>
              </w:rPr>
            </w:pPr>
            <w:r w:rsidRPr="007F430A">
              <w:rPr>
                <w:szCs w:val="22"/>
                <w:lang w:val="nb-NO"/>
              </w:rPr>
              <w:t>May 28, 2021</w:t>
            </w:r>
          </w:p>
        </w:tc>
        <w:tc>
          <w:tcPr>
            <w:tcW w:w="1296" w:type="dxa"/>
            <w:tcBorders>
              <w:top w:val="single" w:sz="4" w:space="0" w:color="auto"/>
              <w:left w:val="single" w:sz="4" w:space="0" w:color="auto"/>
              <w:bottom w:val="single" w:sz="4" w:space="0" w:color="auto"/>
              <w:right w:val="single" w:sz="4" w:space="0" w:color="auto"/>
            </w:tcBorders>
            <w:hideMark/>
          </w:tcPr>
          <w:p w14:paraId="2AF128FF" w14:textId="77777777" w:rsidR="00147BF7" w:rsidRPr="007F430A" w:rsidRDefault="00147BF7">
            <w:pPr>
              <w:rPr>
                <w:szCs w:val="22"/>
                <w:lang w:val="nb-NO"/>
              </w:rPr>
            </w:pPr>
            <w:r w:rsidRPr="007F430A">
              <w:rPr>
                <w:szCs w:val="22"/>
                <w:lang w:val="nb-NO"/>
              </w:rPr>
              <w:t>Zoom</w:t>
            </w:r>
          </w:p>
        </w:tc>
        <w:tc>
          <w:tcPr>
            <w:tcW w:w="1363" w:type="dxa"/>
            <w:tcBorders>
              <w:top w:val="single" w:sz="4" w:space="0" w:color="auto"/>
              <w:left w:val="single" w:sz="4" w:space="0" w:color="auto"/>
              <w:bottom w:val="single" w:sz="4" w:space="0" w:color="auto"/>
              <w:right w:val="single" w:sz="4" w:space="0" w:color="auto"/>
            </w:tcBorders>
            <w:hideMark/>
          </w:tcPr>
          <w:p w14:paraId="00BE946F" w14:textId="77777777" w:rsidR="00147BF7" w:rsidRPr="007F430A" w:rsidRDefault="00147BF7">
            <w:pPr>
              <w:rPr>
                <w:szCs w:val="22"/>
                <w:lang w:val="nb-NO"/>
              </w:rPr>
            </w:pPr>
            <w:r w:rsidRPr="007F430A">
              <w:rPr>
                <w:szCs w:val="22"/>
                <w:lang w:val="nb-NO"/>
              </w:rPr>
              <w:t>TTEITI</w:t>
            </w:r>
          </w:p>
        </w:tc>
        <w:tc>
          <w:tcPr>
            <w:tcW w:w="1066" w:type="dxa"/>
            <w:tcBorders>
              <w:top w:val="single" w:sz="4" w:space="0" w:color="auto"/>
              <w:left w:val="single" w:sz="4" w:space="0" w:color="auto"/>
              <w:bottom w:val="single" w:sz="4" w:space="0" w:color="auto"/>
              <w:right w:val="single" w:sz="4" w:space="0" w:color="auto"/>
            </w:tcBorders>
            <w:hideMark/>
          </w:tcPr>
          <w:p w14:paraId="2A5118FA" w14:textId="77777777" w:rsidR="00147BF7" w:rsidRPr="00283F46" w:rsidRDefault="00147BF7">
            <w:pPr>
              <w:rPr>
                <w:szCs w:val="22"/>
                <w:lang w:val="en-GB"/>
              </w:rPr>
            </w:pPr>
            <w:r w:rsidRPr="00283F46">
              <w:rPr>
                <w:szCs w:val="22"/>
                <w:lang w:val="en-GB"/>
              </w:rPr>
              <w:t>CSO</w:t>
            </w:r>
          </w:p>
          <w:p w14:paraId="04380092" w14:textId="77777777" w:rsidR="00147BF7" w:rsidRPr="00283F46" w:rsidRDefault="00147BF7">
            <w:pPr>
              <w:rPr>
                <w:szCs w:val="22"/>
                <w:lang w:val="en-GB"/>
              </w:rPr>
            </w:pPr>
            <w:r w:rsidRPr="00283F46">
              <w:rPr>
                <w:szCs w:val="22"/>
                <w:lang w:val="en-GB"/>
              </w:rPr>
              <w:t>Oil and Gas Company Heads</w:t>
            </w:r>
          </w:p>
          <w:p w14:paraId="737AA688" w14:textId="77777777" w:rsidR="00147BF7" w:rsidRPr="007F430A" w:rsidRDefault="00147BF7">
            <w:pPr>
              <w:rPr>
                <w:szCs w:val="22"/>
                <w:lang w:val="nb-NO"/>
              </w:rPr>
            </w:pPr>
            <w:r w:rsidRPr="007F430A">
              <w:rPr>
                <w:szCs w:val="22"/>
                <w:lang w:val="nb-NO"/>
              </w:rPr>
              <w:t>Govt</w:t>
            </w:r>
          </w:p>
          <w:p w14:paraId="4353AE86" w14:textId="77777777" w:rsidR="00147BF7" w:rsidRPr="007F430A" w:rsidRDefault="00147BF7">
            <w:pPr>
              <w:rPr>
                <w:szCs w:val="22"/>
                <w:lang w:val="nb-NO"/>
              </w:rPr>
            </w:pPr>
            <w:r w:rsidRPr="007F430A">
              <w:rPr>
                <w:szCs w:val="22"/>
                <w:lang w:val="nb-NO"/>
              </w:rPr>
              <w:t>Media</w:t>
            </w:r>
          </w:p>
        </w:tc>
        <w:tc>
          <w:tcPr>
            <w:tcW w:w="1482" w:type="dxa"/>
            <w:tcBorders>
              <w:top w:val="single" w:sz="4" w:space="0" w:color="auto"/>
              <w:left w:val="single" w:sz="4" w:space="0" w:color="auto"/>
              <w:bottom w:val="single" w:sz="4" w:space="0" w:color="auto"/>
              <w:right w:val="nil"/>
            </w:tcBorders>
          </w:tcPr>
          <w:p w14:paraId="7C5B1754" w14:textId="77777777" w:rsidR="00147BF7" w:rsidRPr="007F430A" w:rsidRDefault="00147BF7">
            <w:pPr>
              <w:rPr>
                <w:szCs w:val="22"/>
                <w:lang w:val="nb-NO"/>
              </w:rPr>
            </w:pPr>
          </w:p>
        </w:tc>
      </w:tr>
      <w:tr w:rsidR="00147BF7" w:rsidRPr="007F430A" w14:paraId="61141EE6" w14:textId="77777777" w:rsidTr="00147BF7">
        <w:tc>
          <w:tcPr>
            <w:tcW w:w="1312" w:type="dxa"/>
            <w:tcBorders>
              <w:top w:val="single" w:sz="4" w:space="0" w:color="auto"/>
              <w:left w:val="nil"/>
              <w:bottom w:val="single" w:sz="4" w:space="0" w:color="auto"/>
              <w:right w:val="single" w:sz="4" w:space="0" w:color="auto"/>
            </w:tcBorders>
            <w:hideMark/>
          </w:tcPr>
          <w:p w14:paraId="4B2C9DB1" w14:textId="77777777" w:rsidR="00147BF7" w:rsidRPr="00283F46" w:rsidRDefault="00147BF7">
            <w:pPr>
              <w:rPr>
                <w:szCs w:val="22"/>
                <w:lang w:val="en-GB"/>
              </w:rPr>
            </w:pPr>
            <w:r w:rsidRPr="00283F46">
              <w:rPr>
                <w:szCs w:val="22"/>
                <w:lang w:val="en-GB"/>
              </w:rPr>
              <w:t>Participatory Budgeting as a tool for CSOs &amp; Policymakers</w:t>
            </w:r>
          </w:p>
        </w:tc>
        <w:tc>
          <w:tcPr>
            <w:tcW w:w="1314" w:type="dxa"/>
            <w:tcBorders>
              <w:top w:val="single" w:sz="4" w:space="0" w:color="auto"/>
              <w:left w:val="single" w:sz="4" w:space="0" w:color="auto"/>
              <w:bottom w:val="single" w:sz="4" w:space="0" w:color="auto"/>
              <w:right w:val="single" w:sz="4" w:space="0" w:color="auto"/>
            </w:tcBorders>
            <w:hideMark/>
          </w:tcPr>
          <w:p w14:paraId="09AA7642" w14:textId="77777777" w:rsidR="00147BF7" w:rsidRPr="00283F46" w:rsidRDefault="00147BF7">
            <w:pPr>
              <w:rPr>
                <w:szCs w:val="22"/>
                <w:lang w:val="en-GB"/>
              </w:rPr>
            </w:pPr>
            <w:r w:rsidRPr="00283F46">
              <w:rPr>
                <w:szCs w:val="22"/>
                <w:lang w:val="en-GB"/>
              </w:rPr>
              <w:t xml:space="preserve">This webinar aided in helping CSOs, </w:t>
            </w:r>
            <w:proofErr w:type="gramStart"/>
            <w:r w:rsidRPr="00283F46">
              <w:rPr>
                <w:szCs w:val="22"/>
                <w:lang w:val="en-GB"/>
              </w:rPr>
              <w:t>community based</w:t>
            </w:r>
            <w:proofErr w:type="gramEnd"/>
            <w:r w:rsidRPr="00283F46">
              <w:rPr>
                <w:szCs w:val="22"/>
                <w:lang w:val="en-GB"/>
              </w:rPr>
              <w:t xml:space="preserve"> organization, lobby groups, professionals, and local business trade orgs, help find and understand the information within the national budget this is relevant to them</w:t>
            </w:r>
          </w:p>
        </w:tc>
        <w:tc>
          <w:tcPr>
            <w:tcW w:w="1229" w:type="dxa"/>
            <w:tcBorders>
              <w:top w:val="single" w:sz="4" w:space="0" w:color="auto"/>
              <w:left w:val="single" w:sz="4" w:space="0" w:color="auto"/>
              <w:bottom w:val="single" w:sz="4" w:space="0" w:color="auto"/>
              <w:right w:val="single" w:sz="4" w:space="0" w:color="auto"/>
            </w:tcBorders>
            <w:hideMark/>
          </w:tcPr>
          <w:p w14:paraId="6B87651E" w14:textId="77777777" w:rsidR="00147BF7" w:rsidRPr="007F430A" w:rsidRDefault="00147BF7">
            <w:pPr>
              <w:rPr>
                <w:szCs w:val="22"/>
                <w:lang w:val="nb-NO"/>
              </w:rPr>
            </w:pPr>
            <w:r w:rsidRPr="007F430A">
              <w:rPr>
                <w:szCs w:val="22"/>
                <w:lang w:val="nb-NO"/>
              </w:rPr>
              <w:t>April 28, 2021</w:t>
            </w:r>
          </w:p>
        </w:tc>
        <w:tc>
          <w:tcPr>
            <w:tcW w:w="1296" w:type="dxa"/>
            <w:tcBorders>
              <w:top w:val="single" w:sz="4" w:space="0" w:color="auto"/>
              <w:left w:val="single" w:sz="4" w:space="0" w:color="auto"/>
              <w:bottom w:val="single" w:sz="4" w:space="0" w:color="auto"/>
              <w:right w:val="single" w:sz="4" w:space="0" w:color="auto"/>
            </w:tcBorders>
            <w:hideMark/>
          </w:tcPr>
          <w:p w14:paraId="443F1101" w14:textId="77777777" w:rsidR="00147BF7" w:rsidRPr="007F430A" w:rsidRDefault="00147BF7">
            <w:pPr>
              <w:rPr>
                <w:szCs w:val="22"/>
                <w:lang w:val="nb-NO"/>
              </w:rPr>
            </w:pPr>
            <w:r w:rsidRPr="007F430A">
              <w:rPr>
                <w:szCs w:val="22"/>
                <w:lang w:val="nb-NO"/>
              </w:rPr>
              <w:t>Zoom</w:t>
            </w:r>
          </w:p>
        </w:tc>
        <w:tc>
          <w:tcPr>
            <w:tcW w:w="1363" w:type="dxa"/>
            <w:tcBorders>
              <w:top w:val="single" w:sz="4" w:space="0" w:color="auto"/>
              <w:left w:val="single" w:sz="4" w:space="0" w:color="auto"/>
              <w:bottom w:val="single" w:sz="4" w:space="0" w:color="auto"/>
              <w:right w:val="single" w:sz="4" w:space="0" w:color="auto"/>
            </w:tcBorders>
            <w:hideMark/>
          </w:tcPr>
          <w:p w14:paraId="427C3CCA" w14:textId="77777777" w:rsidR="00147BF7" w:rsidRPr="007F430A" w:rsidRDefault="00147BF7">
            <w:pPr>
              <w:rPr>
                <w:szCs w:val="22"/>
                <w:lang w:val="nb-NO"/>
              </w:rPr>
            </w:pPr>
            <w:r w:rsidRPr="007F430A">
              <w:rPr>
                <w:szCs w:val="22"/>
                <w:lang w:val="nb-NO"/>
              </w:rPr>
              <w:t>USFTIF /TTEITI</w:t>
            </w:r>
          </w:p>
        </w:tc>
        <w:tc>
          <w:tcPr>
            <w:tcW w:w="1066" w:type="dxa"/>
            <w:tcBorders>
              <w:top w:val="single" w:sz="4" w:space="0" w:color="auto"/>
              <w:left w:val="single" w:sz="4" w:space="0" w:color="auto"/>
              <w:bottom w:val="single" w:sz="4" w:space="0" w:color="auto"/>
              <w:right w:val="single" w:sz="4" w:space="0" w:color="auto"/>
            </w:tcBorders>
            <w:hideMark/>
          </w:tcPr>
          <w:p w14:paraId="3334DAAA" w14:textId="77777777" w:rsidR="00147BF7" w:rsidRPr="00283F46" w:rsidRDefault="00147BF7">
            <w:pPr>
              <w:rPr>
                <w:szCs w:val="22"/>
                <w:lang w:val="en-GB"/>
              </w:rPr>
            </w:pPr>
            <w:r w:rsidRPr="00283F46">
              <w:rPr>
                <w:szCs w:val="22"/>
                <w:lang w:val="en-GB"/>
              </w:rPr>
              <w:t>CSOs</w:t>
            </w:r>
          </w:p>
          <w:p w14:paraId="0DB577F7" w14:textId="77777777" w:rsidR="00147BF7" w:rsidRPr="00283F46" w:rsidRDefault="00147BF7">
            <w:pPr>
              <w:rPr>
                <w:szCs w:val="22"/>
                <w:lang w:val="en-GB"/>
              </w:rPr>
            </w:pPr>
            <w:r w:rsidRPr="00283F46">
              <w:rPr>
                <w:szCs w:val="22"/>
                <w:lang w:val="en-GB"/>
              </w:rPr>
              <w:t xml:space="preserve">Oil and Gas </w:t>
            </w:r>
            <w:proofErr w:type="spellStart"/>
            <w:r w:rsidRPr="00283F46">
              <w:rPr>
                <w:szCs w:val="22"/>
                <w:lang w:val="en-GB"/>
              </w:rPr>
              <w:t>Cmpany</w:t>
            </w:r>
            <w:proofErr w:type="spellEnd"/>
            <w:r w:rsidRPr="00283F46">
              <w:rPr>
                <w:szCs w:val="22"/>
                <w:lang w:val="en-GB"/>
              </w:rPr>
              <w:t xml:space="preserve"> reps</w:t>
            </w:r>
          </w:p>
        </w:tc>
        <w:tc>
          <w:tcPr>
            <w:tcW w:w="1482" w:type="dxa"/>
            <w:tcBorders>
              <w:top w:val="single" w:sz="4" w:space="0" w:color="auto"/>
              <w:left w:val="single" w:sz="4" w:space="0" w:color="auto"/>
              <w:bottom w:val="single" w:sz="4" w:space="0" w:color="auto"/>
              <w:right w:val="nil"/>
            </w:tcBorders>
          </w:tcPr>
          <w:p w14:paraId="05C7E7CC" w14:textId="69A3AD05" w:rsidR="00147BF7" w:rsidRPr="00283F46" w:rsidRDefault="002F5457">
            <w:pPr>
              <w:rPr>
                <w:szCs w:val="22"/>
                <w:lang w:val="en-GB"/>
              </w:rPr>
            </w:pPr>
            <w:hyperlink r:id="rId34" w:history="1">
              <w:r w:rsidR="00283F46">
                <w:rPr>
                  <w:rStyle w:val="Hyperlink"/>
                </w:rPr>
                <w:t xml:space="preserve">A Guide to the Trinidad and Tobago Budget for Civil Society </w:t>
              </w:r>
              <w:proofErr w:type="spellStart"/>
              <w:r w:rsidR="00283F46">
                <w:rPr>
                  <w:rStyle w:val="Hyperlink"/>
                </w:rPr>
                <w:t>Organisations</w:t>
              </w:r>
              <w:proofErr w:type="spellEnd"/>
              <w:r w:rsidR="00283F46">
                <w:rPr>
                  <w:rStyle w:val="Hyperlink"/>
                </w:rPr>
                <w:t xml:space="preserve"> (tteiti.com)</w:t>
              </w:r>
            </w:hyperlink>
          </w:p>
        </w:tc>
      </w:tr>
      <w:tr w:rsidR="00147BF7" w:rsidRPr="007F430A" w14:paraId="0669A34B" w14:textId="77777777" w:rsidTr="00147BF7">
        <w:tc>
          <w:tcPr>
            <w:tcW w:w="1312" w:type="dxa"/>
            <w:tcBorders>
              <w:top w:val="single" w:sz="4" w:space="0" w:color="auto"/>
              <w:left w:val="nil"/>
              <w:bottom w:val="single" w:sz="4" w:space="0" w:color="auto"/>
              <w:right w:val="single" w:sz="4" w:space="0" w:color="auto"/>
            </w:tcBorders>
            <w:hideMark/>
          </w:tcPr>
          <w:p w14:paraId="5BF25AAF" w14:textId="77777777" w:rsidR="00147BF7" w:rsidRPr="00283F46" w:rsidRDefault="00147BF7">
            <w:pPr>
              <w:rPr>
                <w:szCs w:val="22"/>
                <w:lang w:val="en-GB"/>
              </w:rPr>
            </w:pPr>
            <w:r w:rsidRPr="00283F46">
              <w:rPr>
                <w:szCs w:val="22"/>
                <w:lang w:val="en-GB"/>
              </w:rPr>
              <w:t xml:space="preserve">Digging Deeper- Seeking Solutions for the Mining </w:t>
            </w:r>
            <w:r w:rsidRPr="00283F46">
              <w:rPr>
                <w:szCs w:val="22"/>
                <w:lang w:val="en-GB"/>
              </w:rPr>
              <w:lastRenderedPageBreak/>
              <w:t>Sector Challenges</w:t>
            </w:r>
          </w:p>
        </w:tc>
        <w:tc>
          <w:tcPr>
            <w:tcW w:w="1314" w:type="dxa"/>
            <w:tcBorders>
              <w:top w:val="single" w:sz="4" w:space="0" w:color="auto"/>
              <w:left w:val="single" w:sz="4" w:space="0" w:color="auto"/>
              <w:bottom w:val="single" w:sz="4" w:space="0" w:color="auto"/>
              <w:right w:val="single" w:sz="4" w:space="0" w:color="auto"/>
            </w:tcBorders>
            <w:hideMark/>
          </w:tcPr>
          <w:p w14:paraId="7B8DD273" w14:textId="77777777" w:rsidR="00147BF7" w:rsidRPr="00283F46" w:rsidRDefault="00147BF7">
            <w:pPr>
              <w:rPr>
                <w:szCs w:val="22"/>
                <w:lang w:val="en-GB"/>
              </w:rPr>
            </w:pPr>
            <w:r w:rsidRPr="00283F46">
              <w:rPr>
                <w:szCs w:val="22"/>
                <w:lang w:val="en-GB"/>
              </w:rPr>
              <w:lastRenderedPageBreak/>
              <w:t xml:space="preserve">To promote mining </w:t>
            </w:r>
            <w:proofErr w:type="gramStart"/>
            <w:r w:rsidRPr="00283F46">
              <w:rPr>
                <w:szCs w:val="22"/>
                <w:lang w:val="en-GB"/>
              </w:rPr>
              <w:t>company</w:t>
            </w:r>
            <w:proofErr w:type="gramEnd"/>
            <w:r w:rsidRPr="00283F46">
              <w:rPr>
                <w:szCs w:val="22"/>
                <w:lang w:val="en-GB"/>
              </w:rPr>
              <w:t xml:space="preserve"> buy-in for quarry rehabilitation, promote environmenta</w:t>
            </w:r>
            <w:r w:rsidRPr="00283F46">
              <w:rPr>
                <w:szCs w:val="22"/>
                <w:lang w:val="en-GB"/>
              </w:rPr>
              <w:lastRenderedPageBreak/>
              <w:t>l stewardship and corporate and social responsibility</w:t>
            </w:r>
          </w:p>
        </w:tc>
        <w:tc>
          <w:tcPr>
            <w:tcW w:w="1229" w:type="dxa"/>
            <w:tcBorders>
              <w:top w:val="single" w:sz="4" w:space="0" w:color="auto"/>
              <w:left w:val="single" w:sz="4" w:space="0" w:color="auto"/>
              <w:bottom w:val="single" w:sz="4" w:space="0" w:color="auto"/>
              <w:right w:val="single" w:sz="4" w:space="0" w:color="auto"/>
            </w:tcBorders>
            <w:hideMark/>
          </w:tcPr>
          <w:p w14:paraId="0ACF6EAE" w14:textId="77777777" w:rsidR="00147BF7" w:rsidRPr="007F430A" w:rsidRDefault="00147BF7">
            <w:pPr>
              <w:rPr>
                <w:szCs w:val="22"/>
                <w:lang w:val="nb-NO"/>
              </w:rPr>
            </w:pPr>
            <w:r w:rsidRPr="007F430A">
              <w:rPr>
                <w:szCs w:val="22"/>
                <w:lang w:val="nb-NO"/>
              </w:rPr>
              <w:lastRenderedPageBreak/>
              <w:t>Aug 13, 2020</w:t>
            </w:r>
          </w:p>
        </w:tc>
        <w:tc>
          <w:tcPr>
            <w:tcW w:w="1296" w:type="dxa"/>
            <w:tcBorders>
              <w:top w:val="single" w:sz="4" w:space="0" w:color="auto"/>
              <w:left w:val="single" w:sz="4" w:space="0" w:color="auto"/>
              <w:bottom w:val="single" w:sz="4" w:space="0" w:color="auto"/>
              <w:right w:val="single" w:sz="4" w:space="0" w:color="auto"/>
            </w:tcBorders>
            <w:hideMark/>
          </w:tcPr>
          <w:p w14:paraId="52D5C813" w14:textId="77777777" w:rsidR="00147BF7" w:rsidRPr="007F430A" w:rsidRDefault="00147BF7">
            <w:pPr>
              <w:rPr>
                <w:szCs w:val="22"/>
                <w:lang w:val="nb-NO"/>
              </w:rPr>
            </w:pPr>
            <w:r w:rsidRPr="007F430A">
              <w:rPr>
                <w:szCs w:val="22"/>
                <w:lang w:val="nb-NO"/>
              </w:rPr>
              <w:t>Zoom</w:t>
            </w:r>
          </w:p>
        </w:tc>
        <w:tc>
          <w:tcPr>
            <w:tcW w:w="1363" w:type="dxa"/>
            <w:tcBorders>
              <w:top w:val="single" w:sz="4" w:space="0" w:color="auto"/>
              <w:left w:val="single" w:sz="4" w:space="0" w:color="auto"/>
              <w:bottom w:val="single" w:sz="4" w:space="0" w:color="auto"/>
              <w:right w:val="single" w:sz="4" w:space="0" w:color="auto"/>
            </w:tcBorders>
            <w:hideMark/>
          </w:tcPr>
          <w:p w14:paraId="6E6969F3" w14:textId="77777777" w:rsidR="00147BF7" w:rsidRPr="007F430A" w:rsidRDefault="00147BF7">
            <w:pPr>
              <w:rPr>
                <w:szCs w:val="22"/>
                <w:lang w:val="nb-NO"/>
              </w:rPr>
            </w:pPr>
            <w:r w:rsidRPr="007F430A">
              <w:rPr>
                <w:szCs w:val="22"/>
                <w:lang w:val="nb-NO"/>
              </w:rPr>
              <w:t>IWEco.TT/ EMA/ TTEITI</w:t>
            </w:r>
          </w:p>
        </w:tc>
        <w:tc>
          <w:tcPr>
            <w:tcW w:w="1066" w:type="dxa"/>
            <w:tcBorders>
              <w:top w:val="single" w:sz="4" w:space="0" w:color="auto"/>
              <w:left w:val="single" w:sz="4" w:space="0" w:color="auto"/>
              <w:bottom w:val="single" w:sz="4" w:space="0" w:color="auto"/>
              <w:right w:val="single" w:sz="4" w:space="0" w:color="auto"/>
            </w:tcBorders>
            <w:hideMark/>
          </w:tcPr>
          <w:p w14:paraId="5D128271" w14:textId="77777777" w:rsidR="00147BF7" w:rsidRPr="00283F46" w:rsidRDefault="00147BF7">
            <w:pPr>
              <w:rPr>
                <w:szCs w:val="22"/>
                <w:lang w:val="en-GB"/>
              </w:rPr>
            </w:pPr>
            <w:r w:rsidRPr="00283F46">
              <w:rPr>
                <w:szCs w:val="22"/>
                <w:lang w:val="en-GB"/>
              </w:rPr>
              <w:t>CSOs</w:t>
            </w:r>
          </w:p>
          <w:p w14:paraId="2A2309EF" w14:textId="77777777" w:rsidR="00147BF7" w:rsidRPr="00283F46" w:rsidRDefault="00147BF7">
            <w:pPr>
              <w:rPr>
                <w:szCs w:val="22"/>
                <w:lang w:val="en-GB"/>
              </w:rPr>
            </w:pPr>
            <w:r w:rsidRPr="00283F46">
              <w:rPr>
                <w:szCs w:val="22"/>
                <w:lang w:val="en-GB"/>
              </w:rPr>
              <w:t>NGOs</w:t>
            </w:r>
          </w:p>
          <w:p w14:paraId="1D40EA59" w14:textId="77777777" w:rsidR="00147BF7" w:rsidRPr="00283F46" w:rsidRDefault="00147BF7">
            <w:pPr>
              <w:rPr>
                <w:szCs w:val="22"/>
                <w:lang w:val="en-GB"/>
              </w:rPr>
            </w:pPr>
            <w:r w:rsidRPr="00283F46">
              <w:rPr>
                <w:szCs w:val="22"/>
                <w:lang w:val="en-GB"/>
              </w:rPr>
              <w:t>Quarry Operators</w:t>
            </w:r>
          </w:p>
          <w:p w14:paraId="5E6B079C" w14:textId="77777777" w:rsidR="00147BF7" w:rsidRPr="00283F46" w:rsidRDefault="00147BF7">
            <w:pPr>
              <w:rPr>
                <w:szCs w:val="22"/>
                <w:lang w:val="en-GB"/>
              </w:rPr>
            </w:pPr>
            <w:r w:rsidRPr="00283F46">
              <w:rPr>
                <w:szCs w:val="22"/>
                <w:lang w:val="en-GB"/>
              </w:rPr>
              <w:lastRenderedPageBreak/>
              <w:t>Govt</w:t>
            </w:r>
          </w:p>
          <w:p w14:paraId="4B0FDD1D" w14:textId="77777777" w:rsidR="00147BF7" w:rsidRPr="00283F46" w:rsidRDefault="00147BF7">
            <w:pPr>
              <w:rPr>
                <w:szCs w:val="22"/>
                <w:lang w:val="en-GB"/>
              </w:rPr>
            </w:pPr>
            <w:r w:rsidRPr="00283F46">
              <w:rPr>
                <w:szCs w:val="22"/>
                <w:lang w:val="en-GB"/>
              </w:rPr>
              <w:t>MEEI</w:t>
            </w:r>
          </w:p>
        </w:tc>
        <w:tc>
          <w:tcPr>
            <w:tcW w:w="1482" w:type="dxa"/>
            <w:tcBorders>
              <w:top w:val="single" w:sz="4" w:space="0" w:color="auto"/>
              <w:left w:val="single" w:sz="4" w:space="0" w:color="auto"/>
              <w:bottom w:val="single" w:sz="4" w:space="0" w:color="auto"/>
              <w:right w:val="nil"/>
            </w:tcBorders>
          </w:tcPr>
          <w:p w14:paraId="3AA27B86" w14:textId="77777777" w:rsidR="00147BF7" w:rsidRPr="00283F46" w:rsidRDefault="00147BF7">
            <w:pPr>
              <w:rPr>
                <w:szCs w:val="22"/>
                <w:lang w:val="en-GB"/>
              </w:rPr>
            </w:pPr>
          </w:p>
        </w:tc>
      </w:tr>
      <w:tr w:rsidR="00147BF7" w:rsidRPr="007F430A" w14:paraId="4592EB51" w14:textId="77777777" w:rsidTr="00147BF7">
        <w:tc>
          <w:tcPr>
            <w:tcW w:w="1312" w:type="dxa"/>
            <w:tcBorders>
              <w:top w:val="single" w:sz="4" w:space="0" w:color="auto"/>
              <w:left w:val="nil"/>
              <w:bottom w:val="single" w:sz="4" w:space="0" w:color="auto"/>
              <w:right w:val="single" w:sz="4" w:space="0" w:color="auto"/>
            </w:tcBorders>
            <w:hideMark/>
          </w:tcPr>
          <w:p w14:paraId="1DAA1F08" w14:textId="77777777" w:rsidR="00147BF7" w:rsidRPr="0022643A" w:rsidRDefault="00147BF7">
            <w:pPr>
              <w:rPr>
                <w:szCs w:val="22"/>
                <w:lang w:val="nb-NO"/>
              </w:rPr>
            </w:pPr>
            <w:r w:rsidRPr="0022643A">
              <w:rPr>
                <w:szCs w:val="22"/>
                <w:lang w:val="nb-NO"/>
              </w:rPr>
              <w:t>Transparecny in Covid Times</w:t>
            </w:r>
          </w:p>
        </w:tc>
        <w:tc>
          <w:tcPr>
            <w:tcW w:w="1314" w:type="dxa"/>
            <w:tcBorders>
              <w:top w:val="single" w:sz="4" w:space="0" w:color="auto"/>
              <w:left w:val="single" w:sz="4" w:space="0" w:color="auto"/>
              <w:bottom w:val="single" w:sz="4" w:space="0" w:color="auto"/>
              <w:right w:val="single" w:sz="4" w:space="0" w:color="auto"/>
            </w:tcBorders>
          </w:tcPr>
          <w:p w14:paraId="227544E2" w14:textId="77777777" w:rsidR="00147BF7" w:rsidRPr="007F430A" w:rsidRDefault="00147BF7">
            <w:pPr>
              <w:rPr>
                <w:szCs w:val="22"/>
                <w:lang w:val="nb-NO"/>
              </w:rPr>
            </w:pPr>
          </w:p>
        </w:tc>
        <w:tc>
          <w:tcPr>
            <w:tcW w:w="1229" w:type="dxa"/>
            <w:tcBorders>
              <w:top w:val="single" w:sz="4" w:space="0" w:color="auto"/>
              <w:left w:val="single" w:sz="4" w:space="0" w:color="auto"/>
              <w:bottom w:val="single" w:sz="4" w:space="0" w:color="auto"/>
              <w:right w:val="single" w:sz="4" w:space="0" w:color="auto"/>
            </w:tcBorders>
            <w:hideMark/>
          </w:tcPr>
          <w:p w14:paraId="07E056D1" w14:textId="77777777" w:rsidR="00147BF7" w:rsidRPr="007F430A" w:rsidRDefault="00147BF7">
            <w:pPr>
              <w:rPr>
                <w:szCs w:val="22"/>
                <w:lang w:val="nb-NO"/>
              </w:rPr>
            </w:pPr>
            <w:r w:rsidRPr="007F430A">
              <w:rPr>
                <w:szCs w:val="22"/>
                <w:lang w:val="nb-NO"/>
              </w:rPr>
              <w:t>May 7, 2020</w:t>
            </w:r>
          </w:p>
        </w:tc>
        <w:tc>
          <w:tcPr>
            <w:tcW w:w="1296" w:type="dxa"/>
            <w:tcBorders>
              <w:top w:val="single" w:sz="4" w:space="0" w:color="auto"/>
              <w:left w:val="single" w:sz="4" w:space="0" w:color="auto"/>
              <w:bottom w:val="single" w:sz="4" w:space="0" w:color="auto"/>
              <w:right w:val="single" w:sz="4" w:space="0" w:color="auto"/>
            </w:tcBorders>
            <w:hideMark/>
          </w:tcPr>
          <w:p w14:paraId="446F32B1" w14:textId="77777777" w:rsidR="00147BF7" w:rsidRPr="007F430A" w:rsidRDefault="00147BF7">
            <w:pPr>
              <w:rPr>
                <w:szCs w:val="22"/>
                <w:lang w:val="nb-NO"/>
              </w:rPr>
            </w:pPr>
            <w:r w:rsidRPr="007F430A">
              <w:rPr>
                <w:szCs w:val="22"/>
                <w:lang w:val="nb-NO"/>
              </w:rPr>
              <w:t>Facebook Live/ Zoom</w:t>
            </w:r>
          </w:p>
        </w:tc>
        <w:tc>
          <w:tcPr>
            <w:tcW w:w="1363" w:type="dxa"/>
            <w:tcBorders>
              <w:top w:val="single" w:sz="4" w:space="0" w:color="auto"/>
              <w:left w:val="single" w:sz="4" w:space="0" w:color="auto"/>
              <w:bottom w:val="single" w:sz="4" w:space="0" w:color="auto"/>
              <w:right w:val="single" w:sz="4" w:space="0" w:color="auto"/>
            </w:tcBorders>
            <w:hideMark/>
          </w:tcPr>
          <w:p w14:paraId="78F894ED" w14:textId="77777777" w:rsidR="00147BF7" w:rsidRPr="007F430A" w:rsidRDefault="00147BF7">
            <w:pPr>
              <w:rPr>
                <w:szCs w:val="22"/>
                <w:lang w:val="nb-NO"/>
              </w:rPr>
            </w:pPr>
            <w:r w:rsidRPr="007F430A">
              <w:rPr>
                <w:szCs w:val="22"/>
                <w:lang w:val="nb-NO"/>
              </w:rPr>
              <w:t>TTEITI/ OWTU</w:t>
            </w:r>
          </w:p>
        </w:tc>
        <w:tc>
          <w:tcPr>
            <w:tcW w:w="1066" w:type="dxa"/>
            <w:tcBorders>
              <w:top w:val="single" w:sz="4" w:space="0" w:color="auto"/>
              <w:left w:val="single" w:sz="4" w:space="0" w:color="auto"/>
              <w:bottom w:val="single" w:sz="4" w:space="0" w:color="auto"/>
              <w:right w:val="single" w:sz="4" w:space="0" w:color="auto"/>
            </w:tcBorders>
            <w:hideMark/>
          </w:tcPr>
          <w:p w14:paraId="73764620" w14:textId="77777777" w:rsidR="00147BF7" w:rsidRPr="007F430A" w:rsidRDefault="00147BF7">
            <w:pPr>
              <w:rPr>
                <w:szCs w:val="22"/>
                <w:lang w:val="nb-NO"/>
              </w:rPr>
            </w:pPr>
            <w:r w:rsidRPr="007F430A">
              <w:rPr>
                <w:szCs w:val="22"/>
                <w:lang w:val="nb-NO"/>
              </w:rPr>
              <w:t>CSOs</w:t>
            </w:r>
          </w:p>
        </w:tc>
        <w:tc>
          <w:tcPr>
            <w:tcW w:w="1482" w:type="dxa"/>
            <w:tcBorders>
              <w:top w:val="single" w:sz="4" w:space="0" w:color="auto"/>
              <w:left w:val="single" w:sz="4" w:space="0" w:color="auto"/>
              <w:bottom w:val="single" w:sz="4" w:space="0" w:color="auto"/>
              <w:right w:val="nil"/>
            </w:tcBorders>
          </w:tcPr>
          <w:p w14:paraId="1B6D278C" w14:textId="77777777" w:rsidR="00147BF7" w:rsidRPr="007F430A" w:rsidRDefault="00147BF7">
            <w:pPr>
              <w:rPr>
                <w:szCs w:val="22"/>
                <w:lang w:val="nb-NO"/>
              </w:rPr>
            </w:pPr>
          </w:p>
        </w:tc>
      </w:tr>
      <w:tr w:rsidR="00147BF7" w:rsidRPr="007F430A" w14:paraId="07AF85EC" w14:textId="77777777" w:rsidTr="00147BF7">
        <w:tc>
          <w:tcPr>
            <w:tcW w:w="1312" w:type="dxa"/>
            <w:tcBorders>
              <w:top w:val="single" w:sz="4" w:space="0" w:color="auto"/>
              <w:left w:val="nil"/>
              <w:bottom w:val="single" w:sz="4" w:space="0" w:color="auto"/>
              <w:right w:val="single" w:sz="4" w:space="0" w:color="auto"/>
            </w:tcBorders>
            <w:hideMark/>
          </w:tcPr>
          <w:p w14:paraId="305A6AE1" w14:textId="77777777" w:rsidR="00147BF7" w:rsidRPr="00283F46" w:rsidRDefault="00147BF7">
            <w:pPr>
              <w:rPr>
                <w:szCs w:val="22"/>
                <w:lang w:val="en-GB"/>
              </w:rPr>
            </w:pPr>
            <w:r w:rsidRPr="00283F46">
              <w:rPr>
                <w:szCs w:val="22"/>
                <w:lang w:val="en-GB"/>
              </w:rPr>
              <w:t>A conversation on BO Disclosure in Tobago Lifting the Veil on Secret Company Ownership</w:t>
            </w:r>
          </w:p>
        </w:tc>
        <w:tc>
          <w:tcPr>
            <w:tcW w:w="1314" w:type="dxa"/>
            <w:tcBorders>
              <w:top w:val="single" w:sz="4" w:space="0" w:color="auto"/>
              <w:left w:val="single" w:sz="4" w:space="0" w:color="auto"/>
              <w:bottom w:val="single" w:sz="4" w:space="0" w:color="auto"/>
              <w:right w:val="single" w:sz="4" w:space="0" w:color="auto"/>
            </w:tcBorders>
            <w:hideMark/>
          </w:tcPr>
          <w:p w14:paraId="17C2F529" w14:textId="77777777" w:rsidR="00147BF7" w:rsidRPr="00283F46" w:rsidRDefault="00147BF7">
            <w:pPr>
              <w:rPr>
                <w:szCs w:val="22"/>
                <w:lang w:val="en-GB"/>
              </w:rPr>
            </w:pPr>
            <w:r w:rsidRPr="00283F46">
              <w:rPr>
                <w:szCs w:val="22"/>
                <w:lang w:val="en-GB"/>
              </w:rPr>
              <w:t xml:space="preserve">To increase CSO understanding and appreciation of BO in the extractive sector </w:t>
            </w:r>
          </w:p>
        </w:tc>
        <w:tc>
          <w:tcPr>
            <w:tcW w:w="1229" w:type="dxa"/>
            <w:tcBorders>
              <w:top w:val="single" w:sz="4" w:space="0" w:color="auto"/>
              <w:left w:val="single" w:sz="4" w:space="0" w:color="auto"/>
              <w:bottom w:val="single" w:sz="4" w:space="0" w:color="auto"/>
              <w:right w:val="single" w:sz="4" w:space="0" w:color="auto"/>
            </w:tcBorders>
            <w:hideMark/>
          </w:tcPr>
          <w:p w14:paraId="2D43DAF2" w14:textId="77777777" w:rsidR="00147BF7" w:rsidRPr="007F430A" w:rsidRDefault="00147BF7">
            <w:pPr>
              <w:rPr>
                <w:szCs w:val="22"/>
                <w:lang w:val="nb-NO"/>
              </w:rPr>
            </w:pPr>
            <w:r w:rsidRPr="007F430A">
              <w:rPr>
                <w:szCs w:val="22"/>
                <w:lang w:val="nb-NO"/>
              </w:rPr>
              <w:t>Feb 6, 2020</w:t>
            </w:r>
          </w:p>
        </w:tc>
        <w:tc>
          <w:tcPr>
            <w:tcW w:w="1296" w:type="dxa"/>
            <w:tcBorders>
              <w:top w:val="single" w:sz="4" w:space="0" w:color="auto"/>
              <w:left w:val="single" w:sz="4" w:space="0" w:color="auto"/>
              <w:bottom w:val="single" w:sz="4" w:space="0" w:color="auto"/>
              <w:right w:val="single" w:sz="4" w:space="0" w:color="auto"/>
            </w:tcBorders>
            <w:hideMark/>
          </w:tcPr>
          <w:p w14:paraId="1F334078" w14:textId="77777777" w:rsidR="00147BF7" w:rsidRPr="00283F46" w:rsidRDefault="00147BF7">
            <w:pPr>
              <w:rPr>
                <w:szCs w:val="22"/>
                <w:lang w:val="en-GB"/>
              </w:rPr>
            </w:pPr>
            <w:r w:rsidRPr="00283F46">
              <w:rPr>
                <w:szCs w:val="22"/>
                <w:lang w:val="en-GB"/>
              </w:rPr>
              <w:t>Works Conference Room, Shaw Park, Tobago</w:t>
            </w:r>
          </w:p>
        </w:tc>
        <w:tc>
          <w:tcPr>
            <w:tcW w:w="1363" w:type="dxa"/>
            <w:tcBorders>
              <w:top w:val="single" w:sz="4" w:space="0" w:color="auto"/>
              <w:left w:val="single" w:sz="4" w:space="0" w:color="auto"/>
              <w:bottom w:val="single" w:sz="4" w:space="0" w:color="auto"/>
              <w:right w:val="single" w:sz="4" w:space="0" w:color="auto"/>
            </w:tcBorders>
            <w:hideMark/>
          </w:tcPr>
          <w:p w14:paraId="0C3D0B2C" w14:textId="77777777" w:rsidR="00147BF7" w:rsidRPr="00283F46" w:rsidRDefault="00147BF7">
            <w:pPr>
              <w:rPr>
                <w:szCs w:val="22"/>
                <w:lang w:val="en-GB"/>
              </w:rPr>
            </w:pPr>
            <w:r w:rsidRPr="00283F46">
              <w:rPr>
                <w:szCs w:val="22"/>
                <w:lang w:val="en-GB"/>
              </w:rPr>
              <w:t>TTEITI/ TTTI (funded by the EU)</w:t>
            </w:r>
          </w:p>
        </w:tc>
        <w:tc>
          <w:tcPr>
            <w:tcW w:w="1066" w:type="dxa"/>
            <w:tcBorders>
              <w:top w:val="single" w:sz="4" w:space="0" w:color="auto"/>
              <w:left w:val="single" w:sz="4" w:space="0" w:color="auto"/>
              <w:bottom w:val="single" w:sz="4" w:space="0" w:color="auto"/>
              <w:right w:val="single" w:sz="4" w:space="0" w:color="auto"/>
            </w:tcBorders>
            <w:hideMark/>
          </w:tcPr>
          <w:p w14:paraId="1CE246B7" w14:textId="77777777" w:rsidR="00147BF7" w:rsidRPr="00283F46" w:rsidRDefault="00147BF7">
            <w:pPr>
              <w:rPr>
                <w:szCs w:val="22"/>
                <w:lang w:val="en-GB"/>
              </w:rPr>
            </w:pPr>
            <w:r w:rsidRPr="00283F46">
              <w:rPr>
                <w:szCs w:val="22"/>
                <w:lang w:val="en-GB"/>
              </w:rPr>
              <w:t>Tobago House of Assembly</w:t>
            </w:r>
          </w:p>
          <w:p w14:paraId="2FBFA902" w14:textId="77777777" w:rsidR="00147BF7" w:rsidRPr="00283F46" w:rsidRDefault="00147BF7">
            <w:pPr>
              <w:rPr>
                <w:szCs w:val="22"/>
                <w:lang w:val="en-GB"/>
              </w:rPr>
            </w:pPr>
            <w:r w:rsidRPr="00283F46">
              <w:rPr>
                <w:szCs w:val="22"/>
                <w:lang w:val="en-GB"/>
              </w:rPr>
              <w:t>CSOs</w:t>
            </w:r>
          </w:p>
          <w:p w14:paraId="66C372FD" w14:textId="77777777" w:rsidR="00147BF7" w:rsidRPr="00283F46" w:rsidRDefault="00147BF7">
            <w:pPr>
              <w:rPr>
                <w:szCs w:val="22"/>
                <w:lang w:val="en-GB"/>
              </w:rPr>
            </w:pPr>
            <w:r w:rsidRPr="00283F46">
              <w:rPr>
                <w:szCs w:val="22"/>
                <w:lang w:val="en-GB"/>
              </w:rPr>
              <w:t>NGOs</w:t>
            </w:r>
          </w:p>
          <w:p w14:paraId="731F35C4" w14:textId="77777777" w:rsidR="00147BF7" w:rsidRPr="00283F46" w:rsidRDefault="00147BF7">
            <w:pPr>
              <w:rPr>
                <w:szCs w:val="22"/>
                <w:lang w:val="en-GB"/>
              </w:rPr>
            </w:pPr>
            <w:r w:rsidRPr="00283F46">
              <w:rPr>
                <w:szCs w:val="22"/>
                <w:lang w:val="en-GB"/>
              </w:rPr>
              <w:t xml:space="preserve">Media </w:t>
            </w:r>
          </w:p>
          <w:p w14:paraId="0F5E8296" w14:textId="77777777" w:rsidR="00147BF7" w:rsidRPr="00283F46" w:rsidRDefault="00147BF7">
            <w:pPr>
              <w:rPr>
                <w:szCs w:val="22"/>
                <w:lang w:val="en-GB"/>
              </w:rPr>
            </w:pPr>
            <w:r w:rsidRPr="00283F46">
              <w:rPr>
                <w:szCs w:val="22"/>
                <w:lang w:val="en-GB"/>
              </w:rPr>
              <w:t xml:space="preserve">Over 50, only 23 submitted </w:t>
            </w:r>
            <w:proofErr w:type="spellStart"/>
            <w:r w:rsidRPr="00283F46">
              <w:rPr>
                <w:szCs w:val="22"/>
                <w:lang w:val="en-GB"/>
              </w:rPr>
              <w:t>feeback</w:t>
            </w:r>
            <w:proofErr w:type="spellEnd"/>
            <w:r w:rsidRPr="00283F46">
              <w:rPr>
                <w:szCs w:val="22"/>
                <w:lang w:val="en-GB"/>
              </w:rPr>
              <w:t xml:space="preserve"> forms</w:t>
            </w:r>
          </w:p>
        </w:tc>
        <w:tc>
          <w:tcPr>
            <w:tcW w:w="1482" w:type="dxa"/>
            <w:tcBorders>
              <w:top w:val="single" w:sz="4" w:space="0" w:color="auto"/>
              <w:left w:val="single" w:sz="4" w:space="0" w:color="auto"/>
              <w:bottom w:val="single" w:sz="4" w:space="0" w:color="auto"/>
              <w:right w:val="nil"/>
            </w:tcBorders>
          </w:tcPr>
          <w:p w14:paraId="37C47B00" w14:textId="77777777" w:rsidR="00147BF7" w:rsidRPr="00283F46" w:rsidRDefault="00147BF7">
            <w:pPr>
              <w:rPr>
                <w:szCs w:val="22"/>
                <w:lang w:val="en-GB"/>
              </w:rPr>
            </w:pPr>
          </w:p>
        </w:tc>
      </w:tr>
      <w:tr w:rsidR="00147BF7" w:rsidRPr="007F430A" w14:paraId="4B0F34B9" w14:textId="77777777" w:rsidTr="00147BF7">
        <w:tc>
          <w:tcPr>
            <w:tcW w:w="1312" w:type="dxa"/>
            <w:tcBorders>
              <w:top w:val="single" w:sz="4" w:space="0" w:color="auto"/>
              <w:left w:val="nil"/>
              <w:bottom w:val="single" w:sz="4" w:space="0" w:color="auto"/>
              <w:right w:val="single" w:sz="4" w:space="0" w:color="auto"/>
            </w:tcBorders>
            <w:hideMark/>
          </w:tcPr>
          <w:p w14:paraId="73B156D1" w14:textId="77777777" w:rsidR="00147BF7" w:rsidRPr="00283F46" w:rsidRDefault="00147BF7">
            <w:pPr>
              <w:rPr>
                <w:szCs w:val="22"/>
                <w:lang w:val="en-GB"/>
              </w:rPr>
            </w:pPr>
            <w:r w:rsidRPr="00283F46">
              <w:rPr>
                <w:szCs w:val="22"/>
                <w:lang w:val="en-GB"/>
              </w:rPr>
              <w:t>TTEITI Report Launch &amp; MOU Signing Ceremony</w:t>
            </w:r>
          </w:p>
        </w:tc>
        <w:tc>
          <w:tcPr>
            <w:tcW w:w="1314" w:type="dxa"/>
            <w:tcBorders>
              <w:top w:val="single" w:sz="4" w:space="0" w:color="auto"/>
              <w:left w:val="single" w:sz="4" w:space="0" w:color="auto"/>
              <w:bottom w:val="single" w:sz="4" w:space="0" w:color="auto"/>
              <w:right w:val="single" w:sz="4" w:space="0" w:color="auto"/>
            </w:tcBorders>
            <w:hideMark/>
          </w:tcPr>
          <w:p w14:paraId="755C96F2" w14:textId="77777777" w:rsidR="00147BF7" w:rsidRPr="00283F46" w:rsidRDefault="00147BF7">
            <w:pPr>
              <w:rPr>
                <w:szCs w:val="22"/>
                <w:lang w:val="en-GB"/>
              </w:rPr>
            </w:pPr>
            <w:r w:rsidRPr="00283F46">
              <w:rPr>
                <w:szCs w:val="22"/>
                <w:lang w:val="en-GB"/>
              </w:rPr>
              <w:t xml:space="preserve">To highlight major findings of the TTEITI Report and allow companies to reconfirm their commitment to the </w:t>
            </w:r>
            <w:proofErr w:type="spellStart"/>
            <w:r w:rsidRPr="00283F46">
              <w:rPr>
                <w:szCs w:val="22"/>
                <w:lang w:val="en-GB"/>
              </w:rPr>
              <w:t>Initiatve</w:t>
            </w:r>
            <w:proofErr w:type="spellEnd"/>
          </w:p>
        </w:tc>
        <w:tc>
          <w:tcPr>
            <w:tcW w:w="1229" w:type="dxa"/>
            <w:tcBorders>
              <w:top w:val="single" w:sz="4" w:space="0" w:color="auto"/>
              <w:left w:val="single" w:sz="4" w:space="0" w:color="auto"/>
              <w:bottom w:val="single" w:sz="4" w:space="0" w:color="auto"/>
              <w:right w:val="single" w:sz="4" w:space="0" w:color="auto"/>
            </w:tcBorders>
            <w:hideMark/>
          </w:tcPr>
          <w:p w14:paraId="7C17A80A" w14:textId="77777777" w:rsidR="00147BF7" w:rsidRPr="007F430A" w:rsidRDefault="00147BF7">
            <w:pPr>
              <w:rPr>
                <w:szCs w:val="22"/>
                <w:lang w:val="nb-NO"/>
              </w:rPr>
            </w:pPr>
            <w:r w:rsidRPr="007F430A">
              <w:rPr>
                <w:szCs w:val="22"/>
                <w:lang w:val="nb-NO"/>
              </w:rPr>
              <w:t>Oct 24, 2019</w:t>
            </w:r>
          </w:p>
        </w:tc>
        <w:tc>
          <w:tcPr>
            <w:tcW w:w="1296" w:type="dxa"/>
            <w:tcBorders>
              <w:top w:val="single" w:sz="4" w:space="0" w:color="auto"/>
              <w:left w:val="single" w:sz="4" w:space="0" w:color="auto"/>
              <w:bottom w:val="single" w:sz="4" w:space="0" w:color="auto"/>
              <w:right w:val="single" w:sz="4" w:space="0" w:color="auto"/>
            </w:tcBorders>
            <w:hideMark/>
          </w:tcPr>
          <w:p w14:paraId="329677A7" w14:textId="77777777" w:rsidR="00147BF7" w:rsidRPr="007F430A" w:rsidRDefault="00147BF7">
            <w:pPr>
              <w:rPr>
                <w:szCs w:val="22"/>
                <w:lang w:val="nb-NO"/>
              </w:rPr>
            </w:pPr>
            <w:r w:rsidRPr="007F430A">
              <w:rPr>
                <w:szCs w:val="22"/>
                <w:lang w:val="nb-NO"/>
              </w:rPr>
              <w:t>Hyatt Regency Hotel</w:t>
            </w:r>
          </w:p>
        </w:tc>
        <w:tc>
          <w:tcPr>
            <w:tcW w:w="1363" w:type="dxa"/>
            <w:tcBorders>
              <w:top w:val="single" w:sz="4" w:space="0" w:color="auto"/>
              <w:left w:val="single" w:sz="4" w:space="0" w:color="auto"/>
              <w:bottom w:val="single" w:sz="4" w:space="0" w:color="auto"/>
              <w:right w:val="single" w:sz="4" w:space="0" w:color="auto"/>
            </w:tcBorders>
            <w:hideMark/>
          </w:tcPr>
          <w:p w14:paraId="51790A6C" w14:textId="77777777" w:rsidR="00147BF7" w:rsidRPr="007F430A" w:rsidRDefault="00147BF7">
            <w:pPr>
              <w:rPr>
                <w:szCs w:val="22"/>
                <w:lang w:val="nb-NO"/>
              </w:rPr>
            </w:pPr>
            <w:r w:rsidRPr="007F430A">
              <w:rPr>
                <w:szCs w:val="22"/>
                <w:lang w:val="nb-NO"/>
              </w:rPr>
              <w:t>AMCHAM/ TTEITI</w:t>
            </w:r>
          </w:p>
        </w:tc>
        <w:tc>
          <w:tcPr>
            <w:tcW w:w="1066" w:type="dxa"/>
            <w:tcBorders>
              <w:top w:val="single" w:sz="4" w:space="0" w:color="auto"/>
              <w:left w:val="single" w:sz="4" w:space="0" w:color="auto"/>
              <w:bottom w:val="single" w:sz="4" w:space="0" w:color="auto"/>
              <w:right w:val="single" w:sz="4" w:space="0" w:color="auto"/>
            </w:tcBorders>
            <w:hideMark/>
          </w:tcPr>
          <w:p w14:paraId="2B91B963" w14:textId="77777777" w:rsidR="00147BF7" w:rsidRPr="00283F46" w:rsidRDefault="00147BF7">
            <w:pPr>
              <w:rPr>
                <w:szCs w:val="22"/>
                <w:lang w:val="en-GB"/>
              </w:rPr>
            </w:pPr>
            <w:r w:rsidRPr="00283F46">
              <w:rPr>
                <w:szCs w:val="22"/>
                <w:lang w:val="en-GB"/>
              </w:rPr>
              <w:t>Oil, Gas and Mining Company Heads</w:t>
            </w:r>
          </w:p>
          <w:p w14:paraId="1081D0E0" w14:textId="77777777" w:rsidR="00147BF7" w:rsidRPr="007F430A" w:rsidRDefault="00147BF7">
            <w:pPr>
              <w:rPr>
                <w:szCs w:val="22"/>
                <w:lang w:val="nb-NO"/>
              </w:rPr>
            </w:pPr>
            <w:r w:rsidRPr="007F430A">
              <w:rPr>
                <w:szCs w:val="22"/>
                <w:lang w:val="nb-NO"/>
              </w:rPr>
              <w:t>CSOs</w:t>
            </w:r>
          </w:p>
          <w:p w14:paraId="5F36E6E8" w14:textId="77777777" w:rsidR="00147BF7" w:rsidRPr="007F430A" w:rsidRDefault="00147BF7">
            <w:pPr>
              <w:rPr>
                <w:szCs w:val="22"/>
                <w:lang w:val="nb-NO"/>
              </w:rPr>
            </w:pPr>
            <w:r w:rsidRPr="007F430A">
              <w:rPr>
                <w:szCs w:val="22"/>
                <w:lang w:val="nb-NO"/>
              </w:rPr>
              <w:t>Media</w:t>
            </w:r>
          </w:p>
          <w:p w14:paraId="584541B3" w14:textId="77777777" w:rsidR="00147BF7" w:rsidRPr="007F430A" w:rsidRDefault="00147BF7">
            <w:pPr>
              <w:rPr>
                <w:szCs w:val="22"/>
                <w:lang w:val="nb-NO"/>
              </w:rPr>
            </w:pPr>
            <w:r w:rsidRPr="007F430A">
              <w:rPr>
                <w:szCs w:val="22"/>
                <w:lang w:val="nb-NO"/>
              </w:rPr>
              <w:t>35</w:t>
            </w:r>
          </w:p>
        </w:tc>
        <w:tc>
          <w:tcPr>
            <w:tcW w:w="1482" w:type="dxa"/>
            <w:tcBorders>
              <w:top w:val="single" w:sz="4" w:space="0" w:color="auto"/>
              <w:left w:val="single" w:sz="4" w:space="0" w:color="auto"/>
              <w:bottom w:val="single" w:sz="4" w:space="0" w:color="auto"/>
              <w:right w:val="nil"/>
            </w:tcBorders>
          </w:tcPr>
          <w:p w14:paraId="73F64DAF" w14:textId="77777777" w:rsidR="00147BF7" w:rsidRPr="007F430A" w:rsidRDefault="00147BF7">
            <w:pPr>
              <w:rPr>
                <w:szCs w:val="22"/>
                <w:lang w:val="nb-NO"/>
              </w:rPr>
            </w:pPr>
          </w:p>
        </w:tc>
      </w:tr>
      <w:tr w:rsidR="00147BF7" w:rsidRPr="007F430A" w14:paraId="00C3567D" w14:textId="77777777" w:rsidTr="00147BF7">
        <w:tc>
          <w:tcPr>
            <w:tcW w:w="1312" w:type="dxa"/>
            <w:tcBorders>
              <w:top w:val="single" w:sz="4" w:space="0" w:color="auto"/>
              <w:left w:val="nil"/>
              <w:bottom w:val="nil"/>
              <w:right w:val="single" w:sz="4" w:space="0" w:color="auto"/>
            </w:tcBorders>
            <w:hideMark/>
          </w:tcPr>
          <w:p w14:paraId="21668AAE" w14:textId="77777777" w:rsidR="00147BF7" w:rsidRPr="0022643A" w:rsidRDefault="00147BF7">
            <w:pPr>
              <w:rPr>
                <w:i/>
                <w:iCs/>
                <w:szCs w:val="22"/>
                <w:lang w:val="nb-NO"/>
              </w:rPr>
            </w:pPr>
            <w:r w:rsidRPr="0022643A">
              <w:rPr>
                <w:i/>
                <w:iCs/>
                <w:szCs w:val="22"/>
                <w:lang w:val="nb-NO"/>
              </w:rPr>
              <w:t>[Add rows as necessary]</w:t>
            </w:r>
          </w:p>
        </w:tc>
        <w:tc>
          <w:tcPr>
            <w:tcW w:w="1314" w:type="dxa"/>
            <w:tcBorders>
              <w:top w:val="single" w:sz="4" w:space="0" w:color="auto"/>
              <w:left w:val="single" w:sz="4" w:space="0" w:color="auto"/>
              <w:bottom w:val="nil"/>
              <w:right w:val="single" w:sz="4" w:space="0" w:color="auto"/>
            </w:tcBorders>
          </w:tcPr>
          <w:p w14:paraId="75E2F725" w14:textId="77777777" w:rsidR="00147BF7" w:rsidRPr="007F430A" w:rsidRDefault="00147BF7">
            <w:pPr>
              <w:rPr>
                <w:szCs w:val="22"/>
                <w:lang w:val="nb-NO"/>
              </w:rPr>
            </w:pPr>
          </w:p>
        </w:tc>
        <w:tc>
          <w:tcPr>
            <w:tcW w:w="1229" w:type="dxa"/>
            <w:tcBorders>
              <w:top w:val="single" w:sz="4" w:space="0" w:color="auto"/>
              <w:left w:val="single" w:sz="4" w:space="0" w:color="auto"/>
              <w:bottom w:val="nil"/>
              <w:right w:val="single" w:sz="4" w:space="0" w:color="auto"/>
            </w:tcBorders>
          </w:tcPr>
          <w:p w14:paraId="1F3040A7" w14:textId="77777777" w:rsidR="00147BF7" w:rsidRPr="007F430A" w:rsidRDefault="00147BF7">
            <w:pPr>
              <w:rPr>
                <w:szCs w:val="22"/>
                <w:lang w:val="nb-NO"/>
              </w:rPr>
            </w:pPr>
          </w:p>
        </w:tc>
        <w:tc>
          <w:tcPr>
            <w:tcW w:w="1296" w:type="dxa"/>
            <w:tcBorders>
              <w:top w:val="single" w:sz="4" w:space="0" w:color="auto"/>
              <w:left w:val="single" w:sz="4" w:space="0" w:color="auto"/>
              <w:bottom w:val="nil"/>
              <w:right w:val="single" w:sz="4" w:space="0" w:color="auto"/>
            </w:tcBorders>
          </w:tcPr>
          <w:p w14:paraId="192D0409" w14:textId="77777777" w:rsidR="00147BF7" w:rsidRPr="007F430A" w:rsidRDefault="00147BF7">
            <w:pPr>
              <w:rPr>
                <w:szCs w:val="22"/>
                <w:lang w:val="nb-NO"/>
              </w:rPr>
            </w:pPr>
          </w:p>
        </w:tc>
        <w:tc>
          <w:tcPr>
            <w:tcW w:w="1363" w:type="dxa"/>
            <w:tcBorders>
              <w:top w:val="single" w:sz="4" w:space="0" w:color="auto"/>
              <w:left w:val="single" w:sz="4" w:space="0" w:color="auto"/>
              <w:bottom w:val="nil"/>
              <w:right w:val="single" w:sz="4" w:space="0" w:color="auto"/>
            </w:tcBorders>
          </w:tcPr>
          <w:p w14:paraId="6F009E0A" w14:textId="77777777" w:rsidR="00147BF7" w:rsidRPr="007F430A" w:rsidRDefault="00147BF7">
            <w:pPr>
              <w:rPr>
                <w:szCs w:val="22"/>
                <w:lang w:val="nb-NO"/>
              </w:rPr>
            </w:pPr>
          </w:p>
        </w:tc>
        <w:tc>
          <w:tcPr>
            <w:tcW w:w="1066" w:type="dxa"/>
            <w:tcBorders>
              <w:top w:val="single" w:sz="4" w:space="0" w:color="auto"/>
              <w:left w:val="single" w:sz="4" w:space="0" w:color="auto"/>
              <w:bottom w:val="nil"/>
              <w:right w:val="single" w:sz="4" w:space="0" w:color="auto"/>
            </w:tcBorders>
          </w:tcPr>
          <w:p w14:paraId="05BBDE7F" w14:textId="77777777" w:rsidR="00147BF7" w:rsidRPr="007F430A" w:rsidRDefault="00147BF7">
            <w:pPr>
              <w:rPr>
                <w:szCs w:val="22"/>
                <w:lang w:val="nb-NO"/>
              </w:rPr>
            </w:pPr>
          </w:p>
        </w:tc>
        <w:tc>
          <w:tcPr>
            <w:tcW w:w="1482" w:type="dxa"/>
            <w:tcBorders>
              <w:top w:val="single" w:sz="4" w:space="0" w:color="auto"/>
              <w:left w:val="single" w:sz="4" w:space="0" w:color="auto"/>
              <w:bottom w:val="nil"/>
              <w:right w:val="nil"/>
            </w:tcBorders>
          </w:tcPr>
          <w:p w14:paraId="1353612A" w14:textId="77777777" w:rsidR="00147BF7" w:rsidRPr="007F430A" w:rsidRDefault="00147BF7">
            <w:pPr>
              <w:rPr>
                <w:szCs w:val="22"/>
                <w:lang w:val="nb-NO"/>
              </w:rPr>
            </w:pPr>
          </w:p>
        </w:tc>
      </w:tr>
    </w:tbl>
    <w:p w14:paraId="60D99ECC" w14:textId="77777777" w:rsidR="00147BF7" w:rsidRPr="0022643A" w:rsidRDefault="00147BF7" w:rsidP="00147BF7">
      <w:pPr>
        <w:rPr>
          <w:szCs w:val="22"/>
        </w:rPr>
      </w:pPr>
    </w:p>
    <w:p w14:paraId="5EAFA3FF" w14:textId="77777777" w:rsidR="00C6608B" w:rsidRPr="007F430A" w:rsidRDefault="00C6608B" w:rsidP="00C6608B">
      <w:pPr>
        <w:rPr>
          <w:szCs w:val="22"/>
        </w:rPr>
      </w:pPr>
    </w:p>
    <w:p w14:paraId="13335929" w14:textId="77777777" w:rsidR="00C6608B" w:rsidRPr="007F430A" w:rsidRDefault="00C6608B" w:rsidP="00C6608B">
      <w:pPr>
        <w:rPr>
          <w:szCs w:val="22"/>
        </w:rPr>
      </w:pPr>
      <w:r w:rsidRPr="007F430A">
        <w:rPr>
          <w:b/>
          <w:bCs/>
          <w:szCs w:val="22"/>
        </w:rPr>
        <w:t>15. Describe the MSG efforts in the period under review to consider access challenges and information needs of data users, including different genders and subgroups of citizens</w:t>
      </w:r>
      <w:r w:rsidRPr="007F430A">
        <w:rPr>
          <w:szCs w:val="22"/>
        </w:rPr>
        <w:t xml:space="preserve">. </w:t>
      </w:r>
    </w:p>
    <w:tbl>
      <w:tblPr>
        <w:tblStyle w:val="TableGrid"/>
        <w:tblW w:w="0" w:type="auto"/>
        <w:tblLook w:val="04A0" w:firstRow="1" w:lastRow="0" w:firstColumn="1" w:lastColumn="0" w:noHBand="0" w:noVBand="1"/>
      </w:tblPr>
      <w:tblGrid>
        <w:gridCol w:w="9062"/>
      </w:tblGrid>
      <w:tr w:rsidR="00C6608B" w:rsidRPr="007F430A" w14:paraId="277A4A62" w14:textId="77777777" w:rsidTr="002644D9">
        <w:tc>
          <w:tcPr>
            <w:tcW w:w="9062" w:type="dxa"/>
          </w:tcPr>
          <w:p w14:paraId="7791E0AF" w14:textId="680F34D0" w:rsidR="00541603" w:rsidRPr="007F430A" w:rsidRDefault="000D4D5F" w:rsidP="002644D9">
            <w:pPr>
              <w:rPr>
                <w:szCs w:val="22"/>
              </w:rPr>
            </w:pPr>
            <w:r w:rsidRPr="007F430A">
              <w:rPr>
                <w:szCs w:val="22"/>
              </w:rPr>
              <w:lastRenderedPageBreak/>
              <w:t>Between March 2019 to the present</w:t>
            </w:r>
            <w:r w:rsidR="00895EC9" w:rsidRPr="007F430A">
              <w:rPr>
                <w:szCs w:val="22"/>
              </w:rPr>
              <w:t xml:space="preserve">, </w:t>
            </w:r>
            <w:r w:rsidR="00D6370C" w:rsidRPr="007F430A">
              <w:rPr>
                <w:szCs w:val="22"/>
              </w:rPr>
              <w:t xml:space="preserve">The TTEITI Steering Committee </w:t>
            </w:r>
            <w:r w:rsidR="00541603" w:rsidRPr="007F430A">
              <w:rPr>
                <w:szCs w:val="22"/>
              </w:rPr>
              <w:t xml:space="preserve">transitioned to digital </w:t>
            </w:r>
            <w:r w:rsidR="00895EC9" w:rsidRPr="007F430A">
              <w:rPr>
                <w:szCs w:val="22"/>
              </w:rPr>
              <w:t>storytelling and using social media to enable greater interaction with and shareability of data on key extractive sector issues</w:t>
            </w:r>
            <w:r w:rsidR="00E05644" w:rsidRPr="007F430A">
              <w:rPr>
                <w:szCs w:val="22"/>
              </w:rPr>
              <w:t xml:space="preserve"> among a wide cross section of society. </w:t>
            </w:r>
            <w:r w:rsidR="000D1D27" w:rsidRPr="007F430A">
              <w:rPr>
                <w:szCs w:val="22"/>
              </w:rPr>
              <w:t>Based on feedback from workshops and civil society surveys, t</w:t>
            </w:r>
            <w:r w:rsidR="00F80344" w:rsidRPr="007F430A">
              <w:rPr>
                <w:szCs w:val="22"/>
              </w:rPr>
              <w:t xml:space="preserve">he committee has also published several articles </w:t>
            </w:r>
            <w:r w:rsidR="00830272" w:rsidRPr="007F430A">
              <w:rPr>
                <w:szCs w:val="22"/>
              </w:rPr>
              <w:t xml:space="preserve">on issues </w:t>
            </w:r>
            <w:r w:rsidR="000D1D27" w:rsidRPr="007F430A">
              <w:rPr>
                <w:szCs w:val="22"/>
              </w:rPr>
              <w:t>of national importance such as the fuel subsidy, royalty payments and monitoring of SOEs etc.</w:t>
            </w:r>
            <w:r w:rsidR="00830272" w:rsidRPr="007F430A">
              <w:rPr>
                <w:szCs w:val="22"/>
              </w:rPr>
              <w:t xml:space="preserve"> </w:t>
            </w:r>
            <w:r w:rsidR="00895EC9" w:rsidRPr="007F430A">
              <w:rPr>
                <w:szCs w:val="22"/>
              </w:rPr>
              <w:t xml:space="preserve">  </w:t>
            </w:r>
          </w:p>
          <w:p w14:paraId="33F04679" w14:textId="40349FFD" w:rsidR="00C6608B" w:rsidRPr="007F430A" w:rsidRDefault="000D1D27" w:rsidP="002644D9">
            <w:pPr>
              <w:rPr>
                <w:szCs w:val="22"/>
              </w:rPr>
            </w:pPr>
            <w:r w:rsidRPr="007F430A">
              <w:rPr>
                <w:szCs w:val="22"/>
              </w:rPr>
              <w:t xml:space="preserve">The committee also started focusing on environmental reporting after consultations with its </w:t>
            </w:r>
            <w:r w:rsidR="009F07B7" w:rsidRPr="007F430A">
              <w:rPr>
                <w:szCs w:val="22"/>
              </w:rPr>
              <w:t>civil society constituents, including an NGO focused on gender parity. This led to the development of a reporting template, environmental scoping reports being drafted and an environmental reporting pilot for the 2019-2020 report.</w:t>
            </w:r>
          </w:p>
          <w:p w14:paraId="23CC5BDD" w14:textId="4347C8F5" w:rsidR="00C6608B" w:rsidRPr="007F430A" w:rsidRDefault="00C6608B" w:rsidP="002644D9">
            <w:pPr>
              <w:rPr>
                <w:szCs w:val="22"/>
              </w:rPr>
            </w:pPr>
          </w:p>
          <w:p w14:paraId="71ECE0D5" w14:textId="77777777" w:rsidR="00C6608B" w:rsidRPr="007F430A" w:rsidRDefault="00C6608B" w:rsidP="002644D9">
            <w:pPr>
              <w:rPr>
                <w:szCs w:val="22"/>
              </w:rPr>
            </w:pPr>
          </w:p>
        </w:tc>
      </w:tr>
    </w:tbl>
    <w:p w14:paraId="198466F3" w14:textId="77777777" w:rsidR="00C6608B" w:rsidRPr="007F430A" w:rsidRDefault="00C6608B" w:rsidP="00C6608B">
      <w:pPr>
        <w:rPr>
          <w:szCs w:val="22"/>
        </w:rPr>
      </w:pPr>
    </w:p>
    <w:p w14:paraId="076E277C" w14:textId="77777777" w:rsidR="00C6608B" w:rsidRPr="007F430A" w:rsidRDefault="00C6608B" w:rsidP="00C6608B">
      <w:pPr>
        <w:rPr>
          <w:szCs w:val="22"/>
        </w:rPr>
      </w:pPr>
      <w:r w:rsidRPr="007F430A">
        <w:rPr>
          <w:b/>
          <w:bCs/>
          <w:szCs w:val="22"/>
        </w:rPr>
        <w:t>16. Describe other efforts by the MSG in the period under review to ensure that information is widely accessible and distributed</w:t>
      </w:r>
      <w:r w:rsidRPr="007F430A">
        <w:rPr>
          <w:szCs w:val="22"/>
        </w:rPr>
        <w:t>.</w:t>
      </w:r>
    </w:p>
    <w:tbl>
      <w:tblPr>
        <w:tblStyle w:val="TableGrid"/>
        <w:tblW w:w="0" w:type="auto"/>
        <w:tblLook w:val="04A0" w:firstRow="1" w:lastRow="0" w:firstColumn="1" w:lastColumn="0" w:noHBand="0" w:noVBand="1"/>
      </w:tblPr>
      <w:tblGrid>
        <w:gridCol w:w="9062"/>
      </w:tblGrid>
      <w:tr w:rsidR="00C6608B" w:rsidRPr="007F430A" w14:paraId="650C8645" w14:textId="77777777" w:rsidTr="002644D9">
        <w:tc>
          <w:tcPr>
            <w:tcW w:w="9062" w:type="dxa"/>
          </w:tcPr>
          <w:p w14:paraId="27ED8429" w14:textId="77777777" w:rsidR="00C6608B" w:rsidRPr="007F430A" w:rsidRDefault="00C6608B" w:rsidP="002644D9">
            <w:pPr>
              <w:rPr>
                <w:i/>
                <w:iCs/>
                <w:szCs w:val="22"/>
              </w:rPr>
            </w:pPr>
            <w:r w:rsidRPr="007F430A">
              <w:rPr>
                <w:i/>
                <w:iCs/>
                <w:szCs w:val="22"/>
              </w:rPr>
              <w:t xml:space="preserve">[Document whether the MSG has </w:t>
            </w:r>
          </w:p>
          <w:p w14:paraId="5DF3D0A4" w14:textId="77777777" w:rsidR="00C6608B" w:rsidRPr="007F430A" w:rsidRDefault="00C6608B" w:rsidP="00C6608B">
            <w:pPr>
              <w:pStyle w:val="ListParagraph"/>
              <w:numPr>
                <w:ilvl w:val="0"/>
                <w:numId w:val="13"/>
              </w:numPr>
              <w:spacing w:before="0" w:after="0" w:line="276" w:lineRule="auto"/>
              <w:contextualSpacing/>
              <w:rPr>
                <w:i/>
                <w:iCs/>
                <w:szCs w:val="22"/>
              </w:rPr>
            </w:pPr>
            <w:r w:rsidRPr="007F430A">
              <w:rPr>
                <w:i/>
                <w:iCs/>
                <w:szCs w:val="22"/>
              </w:rPr>
              <w:t>produced summary reports, thematic reports or other analysis</w:t>
            </w:r>
            <w:r w:rsidRPr="007F430A">
              <w:rPr>
                <w:szCs w:val="22"/>
              </w:rPr>
              <w:t xml:space="preserve"> </w:t>
            </w:r>
            <w:r w:rsidRPr="007F430A">
              <w:rPr>
                <w:i/>
                <w:iCs/>
                <w:szCs w:val="22"/>
              </w:rPr>
              <w:t>that is accessible, concise and easily understood by target audiences;</w:t>
            </w:r>
          </w:p>
          <w:p w14:paraId="6D9802CF" w14:textId="77777777" w:rsidR="00C6608B" w:rsidRPr="007F430A" w:rsidRDefault="00C6608B" w:rsidP="00C6608B">
            <w:pPr>
              <w:pStyle w:val="ListParagraph"/>
              <w:numPr>
                <w:ilvl w:val="0"/>
                <w:numId w:val="13"/>
              </w:numPr>
              <w:spacing w:before="0" w:after="0" w:line="276" w:lineRule="auto"/>
              <w:contextualSpacing/>
              <w:rPr>
                <w:i/>
                <w:iCs/>
                <w:szCs w:val="22"/>
              </w:rPr>
            </w:pPr>
            <w:proofErr w:type="spellStart"/>
            <w:r w:rsidRPr="007F430A">
              <w:rPr>
                <w:i/>
                <w:iCs/>
                <w:szCs w:val="22"/>
              </w:rPr>
              <w:t>summarised</w:t>
            </w:r>
            <w:proofErr w:type="spellEnd"/>
            <w:r w:rsidRPr="007F430A">
              <w:rPr>
                <w:i/>
                <w:iCs/>
                <w:szCs w:val="22"/>
              </w:rPr>
              <w:t xml:space="preserve"> and compared the share of each revenue stream to the total amount of revenue that accrues to each respective level of government.</w:t>
            </w:r>
          </w:p>
          <w:p w14:paraId="7BB0BA3A" w14:textId="77777777" w:rsidR="00C6608B" w:rsidRPr="007F430A" w:rsidRDefault="00C6608B" w:rsidP="00C6608B">
            <w:pPr>
              <w:pStyle w:val="ListParagraph"/>
              <w:numPr>
                <w:ilvl w:val="0"/>
                <w:numId w:val="13"/>
              </w:numPr>
              <w:spacing w:before="0" w:after="0" w:line="276" w:lineRule="auto"/>
              <w:contextualSpacing/>
              <w:rPr>
                <w:i/>
                <w:iCs/>
                <w:szCs w:val="22"/>
              </w:rPr>
            </w:pPr>
            <w:r w:rsidRPr="007F430A">
              <w:rPr>
                <w:i/>
                <w:iCs/>
                <w:szCs w:val="22"/>
              </w:rPr>
              <w:t>undertake capacity-building efforts, especially with civil society and through civil society organisations, to improve understanding of the information and data from the reports and online disclosures and encourage use of the information by citizens, the media and others.</w:t>
            </w:r>
          </w:p>
          <w:p w14:paraId="45E54D2A" w14:textId="77777777" w:rsidR="00C6608B" w:rsidRPr="007F430A" w:rsidRDefault="00C6608B" w:rsidP="002644D9">
            <w:pPr>
              <w:rPr>
                <w:i/>
                <w:iCs/>
                <w:szCs w:val="22"/>
              </w:rPr>
            </w:pPr>
            <w:r w:rsidRPr="007F430A">
              <w:rPr>
                <w:i/>
                <w:iCs/>
                <w:szCs w:val="22"/>
              </w:rPr>
              <w:t>Provide links to supporting evidence.]</w:t>
            </w:r>
          </w:p>
          <w:p w14:paraId="4F858965" w14:textId="44612A03" w:rsidR="00F82344" w:rsidRPr="007F430A" w:rsidRDefault="009F07B7" w:rsidP="007F430A">
            <w:pPr>
              <w:rPr>
                <w:szCs w:val="22"/>
              </w:rPr>
            </w:pPr>
            <w:r w:rsidRPr="007F430A">
              <w:rPr>
                <w:szCs w:val="22"/>
              </w:rPr>
              <w:t>The TTEITI Steering Committee has taken several steps to ensure that EITI Data is widely accessible including</w:t>
            </w:r>
            <w:r w:rsidR="00100945" w:rsidRPr="007F430A">
              <w:rPr>
                <w:szCs w:val="22"/>
              </w:rPr>
              <w:t xml:space="preserve"> hosting forums with key stakeholders, undertaking social media campaigns, promoting </w:t>
            </w:r>
            <w:proofErr w:type="spellStart"/>
            <w:r w:rsidR="00100945" w:rsidRPr="007F430A">
              <w:rPr>
                <w:szCs w:val="22"/>
              </w:rPr>
              <w:t>Youtube</w:t>
            </w:r>
            <w:proofErr w:type="spellEnd"/>
            <w:r w:rsidR="00100945" w:rsidRPr="007F430A">
              <w:rPr>
                <w:szCs w:val="22"/>
              </w:rPr>
              <w:t xml:space="preserve"> videos and our data portal. </w:t>
            </w:r>
          </w:p>
          <w:p w14:paraId="08CE151C" w14:textId="5E282B8B" w:rsidR="00100945" w:rsidRPr="0022643A" w:rsidRDefault="00100945" w:rsidP="00100945">
            <w:pPr>
              <w:rPr>
                <w:szCs w:val="22"/>
              </w:rPr>
            </w:pPr>
            <w:r w:rsidRPr="007F430A">
              <w:rPr>
                <w:szCs w:val="22"/>
              </w:rPr>
              <w:t xml:space="preserve">See link to data portal -  </w:t>
            </w:r>
            <w:hyperlink r:id="rId35" w:history="1">
              <w:r w:rsidRPr="0022643A">
                <w:rPr>
                  <w:rStyle w:val="Hyperlink"/>
                  <w:szCs w:val="22"/>
                </w:rPr>
                <w:t>Energy Payments Dataset (</w:t>
              </w:r>
              <w:proofErr w:type="spellStart"/>
              <w:r w:rsidRPr="0022643A">
                <w:rPr>
                  <w:rStyle w:val="Hyperlink"/>
                  <w:szCs w:val="22"/>
                </w:rPr>
                <w:t>stacker.app</w:t>
              </w:r>
              <w:proofErr w:type="spellEnd"/>
              <w:r w:rsidRPr="0022643A">
                <w:rPr>
                  <w:rStyle w:val="Hyperlink"/>
                  <w:szCs w:val="22"/>
                </w:rPr>
                <w:t>)</w:t>
              </w:r>
            </w:hyperlink>
          </w:p>
        </w:tc>
      </w:tr>
    </w:tbl>
    <w:p w14:paraId="2C8800A0" w14:textId="77777777" w:rsidR="00C6608B" w:rsidRPr="007F430A" w:rsidRDefault="00C6608B" w:rsidP="00C6608B">
      <w:pPr>
        <w:rPr>
          <w:szCs w:val="22"/>
        </w:rPr>
      </w:pPr>
    </w:p>
    <w:p w14:paraId="788CC1C1" w14:textId="77777777" w:rsidR="00C6608B" w:rsidRPr="007F430A" w:rsidRDefault="00C6608B" w:rsidP="00C6608B">
      <w:pPr>
        <w:rPr>
          <w:b/>
          <w:szCs w:val="22"/>
        </w:rPr>
      </w:pPr>
      <w:r w:rsidRPr="007F430A">
        <w:rPr>
          <w:b/>
          <w:bCs/>
          <w:szCs w:val="22"/>
        </w:rPr>
        <w:t>17. How could the MSG improve the accessibility and distribution of information, considering the needs of different subgroups of citizens?</w:t>
      </w:r>
    </w:p>
    <w:tbl>
      <w:tblPr>
        <w:tblStyle w:val="TableGrid"/>
        <w:tblW w:w="0" w:type="auto"/>
        <w:tblLook w:val="04A0" w:firstRow="1" w:lastRow="0" w:firstColumn="1" w:lastColumn="0" w:noHBand="0" w:noVBand="1"/>
      </w:tblPr>
      <w:tblGrid>
        <w:gridCol w:w="9062"/>
      </w:tblGrid>
      <w:tr w:rsidR="00C6608B" w:rsidRPr="007F430A" w14:paraId="7A8FB792" w14:textId="77777777" w:rsidTr="002644D9">
        <w:tc>
          <w:tcPr>
            <w:tcW w:w="9062" w:type="dxa"/>
          </w:tcPr>
          <w:p w14:paraId="5DAE1605" w14:textId="2367A86B" w:rsidR="00C6608B" w:rsidRPr="007F430A" w:rsidRDefault="00CD0A35" w:rsidP="002644D9">
            <w:pPr>
              <w:rPr>
                <w:szCs w:val="22"/>
              </w:rPr>
            </w:pPr>
            <w:r w:rsidRPr="007F430A">
              <w:rPr>
                <w:szCs w:val="22"/>
              </w:rPr>
              <w:lastRenderedPageBreak/>
              <w:t xml:space="preserve">The MSG </w:t>
            </w:r>
            <w:r w:rsidR="00D25175" w:rsidRPr="007F430A">
              <w:rPr>
                <w:szCs w:val="22"/>
              </w:rPr>
              <w:t xml:space="preserve">can improve accessibility and distribution of information by </w:t>
            </w:r>
            <w:r w:rsidR="005D2FC1" w:rsidRPr="007F430A">
              <w:rPr>
                <w:szCs w:val="22"/>
              </w:rPr>
              <w:t xml:space="preserve">hosting more events targeted to </w:t>
            </w:r>
            <w:proofErr w:type="spellStart"/>
            <w:r w:rsidR="005D2FC1" w:rsidRPr="007F430A">
              <w:rPr>
                <w:szCs w:val="22"/>
              </w:rPr>
              <w:t>fenceline</w:t>
            </w:r>
            <w:proofErr w:type="spellEnd"/>
            <w:r w:rsidR="005D2FC1" w:rsidRPr="007F430A">
              <w:rPr>
                <w:szCs w:val="22"/>
              </w:rPr>
              <w:t xml:space="preserve"> communities</w:t>
            </w:r>
            <w:r w:rsidR="00D25175" w:rsidRPr="007F430A">
              <w:rPr>
                <w:szCs w:val="22"/>
              </w:rPr>
              <w:t xml:space="preserve"> and developing more targeted social media campaigns</w:t>
            </w:r>
            <w:r w:rsidR="00846879" w:rsidRPr="007F430A">
              <w:rPr>
                <w:szCs w:val="22"/>
              </w:rPr>
              <w:t xml:space="preserve"> to help demystify the energy sector to youth and other citizens. </w:t>
            </w:r>
            <w:r w:rsidR="005D2FC1" w:rsidRPr="007F430A">
              <w:rPr>
                <w:szCs w:val="22"/>
              </w:rPr>
              <w:t xml:space="preserve"> </w:t>
            </w:r>
          </w:p>
        </w:tc>
      </w:tr>
    </w:tbl>
    <w:p w14:paraId="7682629B" w14:textId="77777777" w:rsidR="00C6608B" w:rsidRPr="007F430A" w:rsidRDefault="00C6608B" w:rsidP="00C6608B">
      <w:pPr>
        <w:rPr>
          <w:szCs w:val="22"/>
        </w:rPr>
      </w:pPr>
    </w:p>
    <w:p w14:paraId="030DDD35" w14:textId="77777777" w:rsidR="00C6608B" w:rsidRPr="007F430A" w:rsidRDefault="00C6608B" w:rsidP="00C6608B">
      <w:pPr>
        <w:pStyle w:val="Heading1"/>
        <w:rPr>
          <w:rFonts w:ascii="Franklin Gothic Book" w:hAnsi="Franklin Gothic Book"/>
          <w:sz w:val="22"/>
          <w:szCs w:val="22"/>
        </w:rPr>
      </w:pPr>
      <w:bookmarkStart w:id="10" w:name="_Toc57973532"/>
      <w:r w:rsidRPr="007F430A">
        <w:rPr>
          <w:rFonts w:ascii="Franklin Gothic Book" w:hAnsi="Franklin Gothic Book"/>
          <w:sz w:val="22"/>
          <w:szCs w:val="22"/>
        </w:rPr>
        <w:t>Part III: Sustainability and effectiveness</w:t>
      </w:r>
      <w:bookmarkEnd w:id="10"/>
    </w:p>
    <w:p w14:paraId="45EBE856" w14:textId="77777777" w:rsidR="00C6608B" w:rsidRPr="007F430A" w:rsidRDefault="00C6608B" w:rsidP="00C6608B">
      <w:pPr>
        <w:rPr>
          <w:szCs w:val="22"/>
        </w:rPr>
      </w:pPr>
      <w:r w:rsidRPr="0022643A">
        <w:rPr>
          <w:b/>
          <w:bCs/>
          <w:szCs w:val="22"/>
        </w:rPr>
        <w:t>18</w:t>
      </w:r>
      <w:r w:rsidRPr="007F430A">
        <w:rPr>
          <w:b/>
          <w:bCs/>
          <w:szCs w:val="22"/>
        </w:rPr>
        <w:t>. The MSG is requested to present any additional information and evidence related to the indicators for assessing the sustainability and effectiveness of EITI implementation</w:t>
      </w:r>
      <w:r w:rsidRPr="007F430A">
        <w:rPr>
          <w:szCs w:val="22"/>
        </w:rPr>
        <w:t xml:space="preserve">. </w:t>
      </w:r>
    </w:p>
    <w:p w14:paraId="063CF9EC" w14:textId="05AF7F68" w:rsidR="00C6608B" w:rsidRPr="007F430A" w:rsidRDefault="00C6608B" w:rsidP="00C6608B">
      <w:pPr>
        <w:rPr>
          <w:szCs w:val="22"/>
        </w:rPr>
      </w:pPr>
      <w:r w:rsidRPr="007F430A">
        <w:rPr>
          <w:szCs w:val="22"/>
        </w:rPr>
        <w:t>Each indicator will be assigned 0, 0.5 or 1 points by the EITI Board. The points will be added to the</w:t>
      </w:r>
      <w:r w:rsidR="00BD4A8C" w:rsidRPr="007F430A">
        <w:rPr>
          <w:szCs w:val="22"/>
        </w:rPr>
        <w:t xml:space="preserve"> Outcomes and impact</w:t>
      </w:r>
      <w:r w:rsidRPr="007F430A">
        <w:rPr>
          <w:szCs w:val="22"/>
        </w:rPr>
        <w:t xml:space="preserve"> </w:t>
      </w:r>
      <w:r w:rsidR="00BD4A8C" w:rsidRPr="007F430A">
        <w:rPr>
          <w:szCs w:val="22"/>
        </w:rPr>
        <w:t>component</w:t>
      </w:r>
      <w:r w:rsidRPr="007F430A">
        <w:rPr>
          <w:szCs w:val="22"/>
        </w:rPr>
        <w:t xml:space="preserve"> score. The assessment of performance on the indicators will draw on information provided by the MSG, publicly available sources, stakeholder consultations and disclosures by the implementing country and companies. Please see the EITI Validation Guide for further information about how performance on these indicators will be assessed.</w:t>
      </w:r>
    </w:p>
    <w:p w14:paraId="6C4C9292" w14:textId="77777777" w:rsidR="00C6608B" w:rsidRPr="007F430A" w:rsidRDefault="00C6608B" w:rsidP="00C6608B">
      <w:pPr>
        <w:pStyle w:val="ListParagraph"/>
        <w:numPr>
          <w:ilvl w:val="0"/>
          <w:numId w:val="14"/>
        </w:numPr>
        <w:spacing w:before="0" w:after="120"/>
        <w:contextualSpacing/>
        <w:rPr>
          <w:szCs w:val="22"/>
        </w:rPr>
      </w:pPr>
      <w:r w:rsidRPr="007F430A">
        <w:rPr>
          <w:iCs/>
          <w:szCs w:val="22"/>
        </w:rPr>
        <w:t>EITI implementation addresses nationally relevant extractive sector governance challenges.</w:t>
      </w:r>
      <w:r w:rsidRPr="007F430A">
        <w:rPr>
          <w:szCs w:val="22"/>
        </w:rPr>
        <w:t xml:space="preserve"> This indicator also recognises efforts beyond the EITI Standard.</w:t>
      </w:r>
    </w:p>
    <w:p w14:paraId="509FE1F3" w14:textId="77777777" w:rsidR="00C6608B" w:rsidRPr="007F430A" w:rsidRDefault="00C6608B" w:rsidP="00C6608B">
      <w:pPr>
        <w:pStyle w:val="ListParagraph"/>
        <w:spacing w:after="120"/>
        <w:rPr>
          <w:i/>
          <w:iCs/>
          <w:szCs w:val="22"/>
        </w:rPr>
      </w:pPr>
    </w:p>
    <w:tbl>
      <w:tblPr>
        <w:tblStyle w:val="TableGrid"/>
        <w:tblW w:w="0" w:type="auto"/>
        <w:tblInd w:w="720" w:type="dxa"/>
        <w:tblLook w:val="04A0" w:firstRow="1" w:lastRow="0" w:firstColumn="1" w:lastColumn="0" w:noHBand="0" w:noVBand="1"/>
      </w:tblPr>
      <w:tblGrid>
        <w:gridCol w:w="8342"/>
      </w:tblGrid>
      <w:tr w:rsidR="00C6608B" w:rsidRPr="007F430A" w14:paraId="7A7ED48E" w14:textId="77777777" w:rsidTr="002644D9">
        <w:tc>
          <w:tcPr>
            <w:tcW w:w="9062" w:type="dxa"/>
          </w:tcPr>
          <w:p w14:paraId="20AC0B4F" w14:textId="7746DFBE" w:rsidR="00C6608B" w:rsidRPr="007F430A" w:rsidRDefault="00C6608B" w:rsidP="002644D9">
            <w:pPr>
              <w:pStyle w:val="ListParagraph"/>
              <w:spacing w:after="120"/>
              <w:ind w:left="0"/>
              <w:rPr>
                <w:i/>
                <w:iCs/>
                <w:szCs w:val="22"/>
              </w:rPr>
            </w:pPr>
            <w:r w:rsidRPr="007F430A">
              <w:rPr>
                <w:i/>
                <w:iCs/>
                <w:szCs w:val="22"/>
              </w:rPr>
              <w:t>[Add MSG response and additional information/evidence.]</w:t>
            </w:r>
          </w:p>
          <w:p w14:paraId="351C8B7D" w14:textId="3D418C84" w:rsidR="00873C3A" w:rsidRPr="007F430A" w:rsidRDefault="00846879" w:rsidP="002644D9">
            <w:pPr>
              <w:pStyle w:val="ListParagraph"/>
              <w:spacing w:after="120"/>
              <w:ind w:left="0"/>
              <w:rPr>
                <w:i/>
                <w:iCs/>
                <w:szCs w:val="22"/>
              </w:rPr>
            </w:pPr>
            <w:r w:rsidRPr="007F430A">
              <w:rPr>
                <w:i/>
                <w:iCs/>
                <w:szCs w:val="22"/>
              </w:rPr>
              <w:t xml:space="preserve">Environmental </w:t>
            </w:r>
            <w:r w:rsidR="00003D18" w:rsidRPr="007F430A">
              <w:rPr>
                <w:i/>
                <w:iCs/>
                <w:szCs w:val="22"/>
              </w:rPr>
              <w:t>Disclosure</w:t>
            </w:r>
          </w:p>
          <w:p w14:paraId="3E122E2E" w14:textId="2C88FFA9" w:rsidR="00C6608B" w:rsidRPr="007F430A" w:rsidRDefault="00B0604E" w:rsidP="002644D9">
            <w:pPr>
              <w:pStyle w:val="ListParagraph"/>
              <w:spacing w:after="120"/>
              <w:ind w:left="0"/>
              <w:rPr>
                <w:i/>
                <w:iCs/>
                <w:szCs w:val="22"/>
              </w:rPr>
            </w:pPr>
            <w:r w:rsidRPr="007F430A">
              <w:rPr>
                <w:i/>
                <w:iCs/>
                <w:szCs w:val="22"/>
              </w:rPr>
              <w:t>As a small island</w:t>
            </w:r>
            <w:r w:rsidR="005B2BF3" w:rsidRPr="007F430A">
              <w:rPr>
                <w:i/>
                <w:iCs/>
                <w:szCs w:val="22"/>
              </w:rPr>
              <w:t xml:space="preserve"> developing state with a global energy sector footprint, issues related to climate change and environmental governance are of paramount importance.</w:t>
            </w:r>
            <w:r w:rsidR="00A85830" w:rsidRPr="007F430A">
              <w:rPr>
                <w:i/>
                <w:iCs/>
                <w:szCs w:val="22"/>
              </w:rPr>
              <w:t xml:space="preserve"> The country has ratified the Paris Climate Change accord and committed to generating </w:t>
            </w:r>
            <w:r w:rsidR="00650EBC">
              <w:rPr>
                <w:i/>
                <w:iCs/>
                <w:szCs w:val="22"/>
              </w:rPr>
              <w:t>3</w:t>
            </w:r>
            <w:r w:rsidR="00A85830" w:rsidRPr="007F430A">
              <w:rPr>
                <w:i/>
                <w:iCs/>
                <w:szCs w:val="22"/>
              </w:rPr>
              <w:t>0% of its power from renewable sources</w:t>
            </w:r>
            <w:r w:rsidR="00650EBC">
              <w:rPr>
                <w:i/>
                <w:iCs/>
                <w:szCs w:val="22"/>
              </w:rPr>
              <w:t xml:space="preserve"> by 2030</w:t>
            </w:r>
            <w:r w:rsidR="00A85830" w:rsidRPr="007F430A">
              <w:rPr>
                <w:i/>
                <w:iCs/>
                <w:szCs w:val="22"/>
              </w:rPr>
              <w:t xml:space="preserve">. The TTEITI Steering Committee saw a need for raising awareness on environmental indicators </w:t>
            </w:r>
            <w:r w:rsidR="00E90621" w:rsidRPr="007F430A">
              <w:rPr>
                <w:i/>
                <w:iCs/>
                <w:szCs w:val="22"/>
              </w:rPr>
              <w:t>linked to extractive sector developments. In our reports we highlighted Government’s targets as well as gaps in environmental laws, regulations and rules. The committee also</w:t>
            </w:r>
            <w:r w:rsidR="00B53313" w:rsidRPr="007F430A">
              <w:rPr>
                <w:i/>
                <w:iCs/>
                <w:szCs w:val="22"/>
              </w:rPr>
              <w:t xml:space="preserve"> developed an environmental reporting template for companies to disclose granular information on emissions, environmental incidents and other indicators. The National Gas Company of </w:t>
            </w:r>
            <w:r w:rsidR="006E79B9" w:rsidRPr="007F430A">
              <w:rPr>
                <w:i/>
                <w:iCs/>
                <w:szCs w:val="22"/>
              </w:rPr>
              <w:t xml:space="preserve">Trinidad and Tobago will be the first company to participate in the environmental reporting pilot. </w:t>
            </w:r>
            <w:proofErr w:type="gramStart"/>
            <w:r w:rsidR="006E79B9" w:rsidRPr="007F430A">
              <w:rPr>
                <w:i/>
                <w:iCs/>
                <w:szCs w:val="22"/>
              </w:rPr>
              <w:t>Taking into account</w:t>
            </w:r>
            <w:proofErr w:type="gramEnd"/>
            <w:r w:rsidR="006E79B9" w:rsidRPr="007F430A">
              <w:rPr>
                <w:i/>
                <w:iCs/>
                <w:szCs w:val="22"/>
              </w:rPr>
              <w:t xml:space="preserve"> its work on promoting environmental disclosures, the TTEITI was selected to serve on the National Sustainable Development Council. </w:t>
            </w:r>
          </w:p>
          <w:p w14:paraId="57A0B417" w14:textId="725A3800" w:rsidR="00003D18" w:rsidRPr="007F430A" w:rsidRDefault="00003D18" w:rsidP="002644D9">
            <w:pPr>
              <w:pStyle w:val="ListParagraph"/>
              <w:spacing w:after="120"/>
              <w:ind w:left="0"/>
              <w:rPr>
                <w:i/>
                <w:iCs/>
                <w:szCs w:val="22"/>
              </w:rPr>
            </w:pPr>
            <w:r w:rsidRPr="007F430A">
              <w:rPr>
                <w:i/>
                <w:iCs/>
                <w:szCs w:val="22"/>
              </w:rPr>
              <w:t>Beneficial Ownership</w:t>
            </w:r>
          </w:p>
          <w:p w14:paraId="0A2357AE" w14:textId="4D839E88" w:rsidR="00FA7848" w:rsidRPr="007F430A" w:rsidRDefault="00FA7848" w:rsidP="002644D9">
            <w:pPr>
              <w:pStyle w:val="ListParagraph"/>
              <w:spacing w:after="120"/>
              <w:ind w:left="0"/>
              <w:rPr>
                <w:i/>
                <w:iCs/>
                <w:szCs w:val="22"/>
              </w:rPr>
            </w:pPr>
            <w:r w:rsidRPr="007F430A">
              <w:rPr>
                <w:i/>
                <w:iCs/>
                <w:szCs w:val="22"/>
              </w:rPr>
              <w:t>The TTEITI Steering Committee has served as beneficial ownership disclosure leaders in the country, creating the country’s first freely accessible BO register</w:t>
            </w:r>
            <w:r w:rsidR="001B6A73" w:rsidRPr="007F430A">
              <w:rPr>
                <w:i/>
                <w:iCs/>
                <w:szCs w:val="22"/>
              </w:rPr>
              <w:t xml:space="preserve"> and running a national BO public sensitization campaign. In 2022, the committee continued its efforts to promote BOD. The committee commissioned a gap analysis on the national BO legislation, providing recommendations to Government on best practices and also hosting workshops for law enforcement agencies, the Attorney General’s Office and the business community on BOD. </w:t>
            </w:r>
          </w:p>
          <w:p w14:paraId="32924C78" w14:textId="318C6333" w:rsidR="00FA7848" w:rsidRPr="007F430A" w:rsidRDefault="00FA7848" w:rsidP="002644D9">
            <w:pPr>
              <w:pStyle w:val="ListParagraph"/>
              <w:spacing w:after="120"/>
              <w:ind w:left="0"/>
              <w:rPr>
                <w:i/>
                <w:iCs/>
                <w:szCs w:val="22"/>
              </w:rPr>
            </w:pPr>
          </w:p>
          <w:p w14:paraId="71C65991" w14:textId="6166F8CC" w:rsidR="00FA7848" w:rsidRPr="007F430A" w:rsidRDefault="00FA7848" w:rsidP="002644D9">
            <w:pPr>
              <w:pStyle w:val="ListParagraph"/>
              <w:spacing w:after="120"/>
              <w:ind w:left="0"/>
              <w:rPr>
                <w:i/>
                <w:iCs/>
                <w:szCs w:val="22"/>
              </w:rPr>
            </w:pPr>
          </w:p>
          <w:p w14:paraId="4663A451" w14:textId="77777777" w:rsidR="00FA7848" w:rsidRPr="007F430A" w:rsidRDefault="00FA7848" w:rsidP="002644D9">
            <w:pPr>
              <w:pStyle w:val="ListParagraph"/>
              <w:spacing w:after="120"/>
              <w:ind w:left="0"/>
              <w:rPr>
                <w:i/>
                <w:iCs/>
                <w:szCs w:val="22"/>
              </w:rPr>
            </w:pPr>
          </w:p>
          <w:p w14:paraId="033A9BFC" w14:textId="34951DB0" w:rsidR="00FA7848" w:rsidRPr="007F430A" w:rsidRDefault="00FA7848" w:rsidP="002644D9">
            <w:pPr>
              <w:pStyle w:val="ListParagraph"/>
              <w:spacing w:after="120"/>
              <w:ind w:left="0"/>
              <w:rPr>
                <w:i/>
                <w:iCs/>
                <w:szCs w:val="22"/>
              </w:rPr>
            </w:pPr>
          </w:p>
        </w:tc>
      </w:tr>
    </w:tbl>
    <w:p w14:paraId="0966CB74" w14:textId="77777777" w:rsidR="00C6608B" w:rsidRPr="007F430A" w:rsidRDefault="00C6608B" w:rsidP="00C6608B">
      <w:pPr>
        <w:spacing w:after="120"/>
        <w:rPr>
          <w:szCs w:val="22"/>
        </w:rPr>
      </w:pPr>
    </w:p>
    <w:p w14:paraId="4797E94C" w14:textId="77777777" w:rsidR="00C6608B" w:rsidRPr="007F430A" w:rsidRDefault="00C6608B" w:rsidP="00C6608B">
      <w:pPr>
        <w:pStyle w:val="ListParagraph"/>
        <w:numPr>
          <w:ilvl w:val="0"/>
          <w:numId w:val="14"/>
        </w:numPr>
        <w:spacing w:before="0" w:after="120"/>
        <w:contextualSpacing/>
        <w:rPr>
          <w:szCs w:val="22"/>
        </w:rPr>
      </w:pPr>
      <w:r w:rsidRPr="007F430A">
        <w:rPr>
          <w:iCs/>
          <w:szCs w:val="22"/>
        </w:rPr>
        <w:t>Extractive sector data is disclosed systematically through routine government and corporate reporting.</w:t>
      </w:r>
      <w:r w:rsidRPr="007F430A">
        <w:rPr>
          <w:szCs w:val="22"/>
        </w:rPr>
        <w:t xml:space="preserve"> </w:t>
      </w:r>
    </w:p>
    <w:p w14:paraId="29DDDF61" w14:textId="77777777" w:rsidR="00C6608B" w:rsidRPr="007F430A" w:rsidRDefault="00C6608B" w:rsidP="00C6608B">
      <w:pPr>
        <w:pStyle w:val="ListParagraph"/>
        <w:spacing w:after="120"/>
        <w:rPr>
          <w:szCs w:val="22"/>
        </w:rPr>
      </w:pPr>
    </w:p>
    <w:tbl>
      <w:tblPr>
        <w:tblStyle w:val="TableGrid"/>
        <w:tblW w:w="0" w:type="auto"/>
        <w:tblInd w:w="720" w:type="dxa"/>
        <w:tblLook w:val="04A0" w:firstRow="1" w:lastRow="0" w:firstColumn="1" w:lastColumn="0" w:noHBand="0" w:noVBand="1"/>
      </w:tblPr>
      <w:tblGrid>
        <w:gridCol w:w="8342"/>
      </w:tblGrid>
      <w:tr w:rsidR="00C6608B" w:rsidRPr="007F430A" w14:paraId="01FCA789" w14:textId="77777777" w:rsidTr="002644D9">
        <w:tc>
          <w:tcPr>
            <w:tcW w:w="9062" w:type="dxa"/>
          </w:tcPr>
          <w:p w14:paraId="3FCF4CC0" w14:textId="77777777" w:rsidR="00C6608B" w:rsidRPr="007F430A" w:rsidRDefault="00C6608B" w:rsidP="002644D9">
            <w:pPr>
              <w:pStyle w:val="ListParagraph"/>
              <w:spacing w:after="120"/>
              <w:ind w:left="0"/>
              <w:rPr>
                <w:i/>
                <w:iCs/>
                <w:szCs w:val="22"/>
              </w:rPr>
            </w:pPr>
            <w:r w:rsidRPr="007F430A">
              <w:rPr>
                <w:i/>
                <w:iCs/>
                <w:szCs w:val="22"/>
              </w:rPr>
              <w:t>[Add MSG response and additional information/evidence]</w:t>
            </w:r>
          </w:p>
          <w:p w14:paraId="6DD08619" w14:textId="1D84E4BF" w:rsidR="00C6608B" w:rsidRPr="007F430A" w:rsidRDefault="001B6A73" w:rsidP="002644D9">
            <w:pPr>
              <w:pStyle w:val="ListParagraph"/>
              <w:spacing w:after="120"/>
              <w:ind w:left="0"/>
              <w:rPr>
                <w:szCs w:val="22"/>
              </w:rPr>
            </w:pPr>
            <w:r w:rsidRPr="007F430A">
              <w:rPr>
                <w:szCs w:val="22"/>
              </w:rPr>
              <w:t xml:space="preserve">There are several areas where systematically disclosed data is available in machine readable format including: contract and license allocations, Oil, gas and mining license registers, beneficial ownership, production and economic contribution. </w:t>
            </w:r>
            <w:r w:rsidR="00B32A04" w:rsidRPr="007F430A">
              <w:rPr>
                <w:szCs w:val="22"/>
              </w:rPr>
              <w:t>See summary data template for confirmation.</w:t>
            </w:r>
          </w:p>
          <w:p w14:paraId="0EC04AA7" w14:textId="2DDC5E64" w:rsidR="00F82344" w:rsidRPr="007F430A" w:rsidRDefault="00B32A04" w:rsidP="002644D9">
            <w:pPr>
              <w:pStyle w:val="ListParagraph"/>
              <w:spacing w:after="120"/>
              <w:ind w:left="0"/>
              <w:rPr>
                <w:szCs w:val="22"/>
              </w:rPr>
            </w:pPr>
            <w:r w:rsidRPr="007F430A">
              <w:rPr>
                <w:szCs w:val="22"/>
              </w:rPr>
              <w:t xml:space="preserve">Several </w:t>
            </w:r>
            <w:r w:rsidR="00477F2E" w:rsidRPr="007F430A">
              <w:rPr>
                <w:szCs w:val="22"/>
              </w:rPr>
              <w:t xml:space="preserve">reporting </w:t>
            </w:r>
            <w:r w:rsidRPr="007F430A">
              <w:rPr>
                <w:szCs w:val="22"/>
              </w:rPr>
              <w:t>companies</w:t>
            </w:r>
            <w:r w:rsidR="00477F2E" w:rsidRPr="007F430A">
              <w:rPr>
                <w:szCs w:val="22"/>
              </w:rPr>
              <w:t xml:space="preserve"> routinely disclose their revenue payments to Government via their sustainability reports. These companies include BP, BHP, Shell and EOG. The National Gas Company of Trinidad and Tobago also discloses key environmental indicators in its annual</w:t>
            </w:r>
            <w:r w:rsidRPr="007F430A">
              <w:rPr>
                <w:szCs w:val="22"/>
              </w:rPr>
              <w:t xml:space="preserve"> </w:t>
            </w:r>
            <w:r w:rsidR="00477F2E" w:rsidRPr="007F430A">
              <w:rPr>
                <w:szCs w:val="22"/>
              </w:rPr>
              <w:t>s</w:t>
            </w:r>
            <w:r w:rsidR="00F82344" w:rsidRPr="007F430A">
              <w:rPr>
                <w:szCs w:val="22"/>
              </w:rPr>
              <w:t xml:space="preserve">ustainability </w:t>
            </w:r>
            <w:r w:rsidR="00477F2E" w:rsidRPr="007F430A">
              <w:rPr>
                <w:szCs w:val="22"/>
              </w:rPr>
              <w:t>r</w:t>
            </w:r>
            <w:r w:rsidR="00F82344" w:rsidRPr="007F430A">
              <w:rPr>
                <w:szCs w:val="22"/>
              </w:rPr>
              <w:t>eport</w:t>
            </w:r>
            <w:r w:rsidR="00477F2E" w:rsidRPr="007F430A">
              <w:rPr>
                <w:szCs w:val="22"/>
              </w:rPr>
              <w:t>.</w:t>
            </w:r>
          </w:p>
        </w:tc>
      </w:tr>
    </w:tbl>
    <w:p w14:paraId="16DC5650" w14:textId="77777777" w:rsidR="00C6608B" w:rsidRPr="007F430A" w:rsidRDefault="00C6608B" w:rsidP="00C6608B">
      <w:pPr>
        <w:spacing w:after="120"/>
        <w:rPr>
          <w:szCs w:val="22"/>
        </w:rPr>
      </w:pPr>
    </w:p>
    <w:p w14:paraId="1DE7E626" w14:textId="77777777" w:rsidR="00C6608B" w:rsidRPr="007F430A" w:rsidRDefault="00C6608B" w:rsidP="00C6608B">
      <w:pPr>
        <w:pStyle w:val="ListParagraph"/>
        <w:numPr>
          <w:ilvl w:val="0"/>
          <w:numId w:val="14"/>
        </w:numPr>
        <w:spacing w:before="0" w:after="120"/>
        <w:contextualSpacing/>
        <w:rPr>
          <w:szCs w:val="22"/>
        </w:rPr>
      </w:pPr>
      <w:r w:rsidRPr="007F430A">
        <w:rPr>
          <w:iCs/>
          <w:szCs w:val="22"/>
        </w:rPr>
        <w:t>There is an enabling environment for citizen participation in extractive sector governance, including</w:t>
      </w:r>
      <w:r w:rsidRPr="007F430A">
        <w:rPr>
          <w:szCs w:val="22"/>
        </w:rPr>
        <w:t xml:space="preserve"> participation by affected communities.</w:t>
      </w:r>
      <w:r w:rsidRPr="007F430A">
        <w:rPr>
          <w:szCs w:val="22"/>
        </w:rPr>
        <w:br/>
      </w:r>
    </w:p>
    <w:tbl>
      <w:tblPr>
        <w:tblStyle w:val="TableGrid"/>
        <w:tblW w:w="0" w:type="auto"/>
        <w:tblInd w:w="720" w:type="dxa"/>
        <w:tblLook w:val="04A0" w:firstRow="1" w:lastRow="0" w:firstColumn="1" w:lastColumn="0" w:noHBand="0" w:noVBand="1"/>
      </w:tblPr>
      <w:tblGrid>
        <w:gridCol w:w="8342"/>
      </w:tblGrid>
      <w:tr w:rsidR="00C6608B" w:rsidRPr="007F430A" w14:paraId="406B9D96" w14:textId="77777777" w:rsidTr="002644D9">
        <w:tc>
          <w:tcPr>
            <w:tcW w:w="9062" w:type="dxa"/>
          </w:tcPr>
          <w:p w14:paraId="6475044A" w14:textId="77777777" w:rsidR="00C6608B" w:rsidRPr="007F430A" w:rsidRDefault="00C6608B" w:rsidP="002644D9">
            <w:pPr>
              <w:pStyle w:val="ListParagraph"/>
              <w:spacing w:after="120"/>
              <w:ind w:left="0"/>
              <w:rPr>
                <w:i/>
                <w:iCs/>
                <w:szCs w:val="22"/>
              </w:rPr>
            </w:pPr>
            <w:r w:rsidRPr="007F430A">
              <w:rPr>
                <w:i/>
                <w:iCs/>
                <w:szCs w:val="22"/>
              </w:rPr>
              <w:t>[Add MSG response and additional information/evidence.]</w:t>
            </w:r>
          </w:p>
          <w:p w14:paraId="36733105" w14:textId="77777777" w:rsidR="00C6608B" w:rsidRPr="007F430A" w:rsidRDefault="00477F2E" w:rsidP="002644D9">
            <w:pPr>
              <w:pStyle w:val="ListParagraph"/>
              <w:spacing w:after="120"/>
              <w:ind w:left="0"/>
              <w:rPr>
                <w:i/>
                <w:iCs/>
                <w:szCs w:val="22"/>
              </w:rPr>
            </w:pPr>
            <w:r w:rsidRPr="007F430A">
              <w:rPr>
                <w:szCs w:val="22"/>
              </w:rPr>
              <w:t xml:space="preserve">Between March 2019 to the present, The TTEITI Steering Committee transitioned to digital storytelling and using social media to enable greater interaction with and shareability of data on key extractive sector issues among a wide cross section of society. </w:t>
            </w:r>
            <w:r w:rsidR="00A629EB" w:rsidRPr="007F430A">
              <w:rPr>
                <w:szCs w:val="22"/>
              </w:rPr>
              <w:t xml:space="preserve">The committee responds to several queries from its social media pages. </w:t>
            </w:r>
            <w:r w:rsidR="00B402EB" w:rsidRPr="007F430A">
              <w:rPr>
                <w:szCs w:val="22"/>
              </w:rPr>
              <w:t xml:space="preserve">The committee has also hosted events in </w:t>
            </w:r>
            <w:proofErr w:type="spellStart"/>
            <w:r w:rsidR="00B402EB" w:rsidRPr="007F430A">
              <w:rPr>
                <w:szCs w:val="22"/>
              </w:rPr>
              <w:t>fenceline</w:t>
            </w:r>
            <w:proofErr w:type="spellEnd"/>
            <w:r w:rsidR="00B402EB" w:rsidRPr="007F430A">
              <w:rPr>
                <w:szCs w:val="22"/>
              </w:rPr>
              <w:t xml:space="preserve"> communities to gain perspectives from residents.</w:t>
            </w:r>
            <w:r w:rsidRPr="007F430A">
              <w:rPr>
                <w:i/>
                <w:iCs/>
                <w:szCs w:val="22"/>
              </w:rPr>
              <w:t xml:space="preserve"> </w:t>
            </w:r>
          </w:p>
          <w:p w14:paraId="7C2C6EBF" w14:textId="77777777" w:rsidR="00D20E38" w:rsidRPr="007F430A" w:rsidRDefault="00D20E38" w:rsidP="00D20E38">
            <w:pPr>
              <w:pStyle w:val="ListParagraph"/>
              <w:spacing w:after="120"/>
              <w:ind w:left="0"/>
              <w:rPr>
                <w:iCs/>
                <w:szCs w:val="22"/>
                <w:u w:val="single"/>
              </w:rPr>
            </w:pPr>
            <w:r w:rsidRPr="007F430A">
              <w:rPr>
                <w:iCs/>
                <w:szCs w:val="22"/>
                <w:u w:val="single"/>
              </w:rPr>
              <w:t>2022</w:t>
            </w:r>
          </w:p>
          <w:p w14:paraId="4FA17EBC" w14:textId="77777777" w:rsidR="00D20E38" w:rsidRPr="007F430A" w:rsidRDefault="00D20E38" w:rsidP="00D20E38">
            <w:pPr>
              <w:pStyle w:val="ListParagraph"/>
              <w:spacing w:after="120"/>
              <w:ind w:left="0"/>
              <w:rPr>
                <w:iCs/>
                <w:szCs w:val="22"/>
              </w:rPr>
            </w:pPr>
            <w:r w:rsidRPr="007F430A">
              <w:rPr>
                <w:iCs/>
                <w:szCs w:val="22"/>
              </w:rPr>
              <w:t xml:space="preserve">March 23- Digging Deeper: </w:t>
            </w:r>
            <w:proofErr w:type="spellStart"/>
            <w:r w:rsidRPr="007F430A">
              <w:rPr>
                <w:iCs/>
                <w:szCs w:val="22"/>
              </w:rPr>
              <w:t>Addresing</w:t>
            </w:r>
            <w:proofErr w:type="spellEnd"/>
            <w:r w:rsidRPr="007F430A">
              <w:rPr>
                <w:iCs/>
                <w:szCs w:val="22"/>
              </w:rPr>
              <w:t xml:space="preserve"> Mining Sector Issues In T&amp;T</w:t>
            </w:r>
          </w:p>
          <w:p w14:paraId="0187DB20" w14:textId="77777777" w:rsidR="00D20E38" w:rsidRPr="007F430A" w:rsidRDefault="00D20E38" w:rsidP="00D20E38">
            <w:pPr>
              <w:pStyle w:val="ListParagraph"/>
              <w:spacing w:after="120"/>
              <w:ind w:left="0"/>
              <w:rPr>
                <w:iCs/>
                <w:szCs w:val="22"/>
              </w:rPr>
            </w:pPr>
          </w:p>
          <w:p w14:paraId="53EE1285" w14:textId="77777777" w:rsidR="00D20E38" w:rsidRPr="007F430A" w:rsidRDefault="00D20E38" w:rsidP="00D20E38">
            <w:pPr>
              <w:pStyle w:val="ListParagraph"/>
              <w:spacing w:after="120"/>
              <w:ind w:left="0"/>
              <w:rPr>
                <w:iCs/>
                <w:szCs w:val="22"/>
                <w:u w:val="single"/>
              </w:rPr>
            </w:pPr>
            <w:r w:rsidRPr="007F430A">
              <w:rPr>
                <w:iCs/>
                <w:szCs w:val="22"/>
                <w:u w:val="single"/>
              </w:rPr>
              <w:t>2021</w:t>
            </w:r>
          </w:p>
          <w:p w14:paraId="6F49657C" w14:textId="77777777" w:rsidR="00D20E38" w:rsidRPr="007F430A" w:rsidRDefault="00D20E38" w:rsidP="00D20E38">
            <w:pPr>
              <w:pStyle w:val="ListParagraph"/>
              <w:spacing w:after="120"/>
              <w:ind w:left="0"/>
              <w:rPr>
                <w:iCs/>
                <w:szCs w:val="22"/>
                <w:u w:val="single"/>
              </w:rPr>
            </w:pPr>
            <w:r w:rsidRPr="007F430A">
              <w:rPr>
                <w:iCs/>
                <w:szCs w:val="22"/>
                <w:u w:val="single"/>
              </w:rPr>
              <w:lastRenderedPageBreak/>
              <w:t xml:space="preserve">November 9- Discussion on </w:t>
            </w:r>
            <w:proofErr w:type="spellStart"/>
            <w:r w:rsidRPr="007F430A">
              <w:rPr>
                <w:iCs/>
                <w:szCs w:val="22"/>
                <w:u w:val="single"/>
              </w:rPr>
              <w:t>STte</w:t>
            </w:r>
            <w:proofErr w:type="spellEnd"/>
            <w:r w:rsidRPr="007F430A">
              <w:rPr>
                <w:iCs/>
                <w:szCs w:val="22"/>
                <w:u w:val="single"/>
              </w:rPr>
              <w:t xml:space="preserve"> of the Extractive Sector Report: Social Dialogue &amp; Democracy</w:t>
            </w:r>
          </w:p>
          <w:p w14:paraId="6DC7444C" w14:textId="77777777" w:rsidR="00D20E38" w:rsidRPr="007F430A" w:rsidRDefault="00D20E38" w:rsidP="00D20E38">
            <w:pPr>
              <w:pStyle w:val="ListParagraph"/>
              <w:spacing w:after="120"/>
              <w:ind w:left="0"/>
              <w:rPr>
                <w:iCs/>
                <w:szCs w:val="22"/>
                <w:u w:val="single"/>
              </w:rPr>
            </w:pPr>
            <w:r w:rsidRPr="007F430A">
              <w:rPr>
                <w:iCs/>
                <w:szCs w:val="22"/>
                <w:u w:val="single"/>
              </w:rPr>
              <w:t>April 28- Participatory Budgeting as a tool for CSOs &amp; Policymakers</w:t>
            </w:r>
          </w:p>
          <w:p w14:paraId="10941A5D" w14:textId="77777777" w:rsidR="00D20E38" w:rsidRPr="007F430A" w:rsidRDefault="00D20E38" w:rsidP="00D20E38">
            <w:pPr>
              <w:pStyle w:val="ListParagraph"/>
              <w:spacing w:after="120"/>
              <w:ind w:left="0"/>
              <w:rPr>
                <w:iCs/>
                <w:szCs w:val="22"/>
                <w:u w:val="single"/>
              </w:rPr>
            </w:pPr>
          </w:p>
          <w:p w14:paraId="1CC413EA" w14:textId="77777777" w:rsidR="00D20E38" w:rsidRPr="007F430A" w:rsidRDefault="00D20E38" w:rsidP="00D20E38">
            <w:pPr>
              <w:pStyle w:val="ListParagraph"/>
              <w:spacing w:after="120"/>
              <w:ind w:left="0"/>
              <w:rPr>
                <w:iCs/>
                <w:szCs w:val="22"/>
              </w:rPr>
            </w:pPr>
            <w:r w:rsidRPr="007F430A">
              <w:rPr>
                <w:iCs/>
                <w:szCs w:val="22"/>
              </w:rPr>
              <w:t>2020</w:t>
            </w:r>
          </w:p>
          <w:p w14:paraId="293CBF57" w14:textId="77777777" w:rsidR="00D20E38" w:rsidRPr="007F430A" w:rsidRDefault="00D20E38" w:rsidP="00D20E38">
            <w:pPr>
              <w:pStyle w:val="ListParagraph"/>
              <w:spacing w:after="120"/>
              <w:ind w:left="0"/>
              <w:rPr>
                <w:iCs/>
                <w:szCs w:val="22"/>
                <w:u w:val="single"/>
              </w:rPr>
            </w:pPr>
            <w:r w:rsidRPr="007F430A">
              <w:rPr>
                <w:iCs/>
                <w:szCs w:val="22"/>
              </w:rPr>
              <w:t>August 13- Digging Deeper</w:t>
            </w:r>
            <w:r w:rsidRPr="007F430A">
              <w:rPr>
                <w:iCs/>
                <w:szCs w:val="22"/>
                <w:u w:val="single"/>
              </w:rPr>
              <w:t>- Seeking Solutions for Mining Sector Challenges</w:t>
            </w:r>
          </w:p>
          <w:p w14:paraId="1A854373" w14:textId="77777777" w:rsidR="00D20E38" w:rsidRPr="007F430A" w:rsidRDefault="00D20E38" w:rsidP="00D20E38">
            <w:pPr>
              <w:pStyle w:val="ListParagraph"/>
              <w:spacing w:after="120"/>
              <w:ind w:left="0"/>
              <w:rPr>
                <w:iCs/>
                <w:szCs w:val="22"/>
                <w:u w:val="single"/>
              </w:rPr>
            </w:pPr>
            <w:r w:rsidRPr="007F430A">
              <w:rPr>
                <w:iCs/>
                <w:szCs w:val="22"/>
                <w:u w:val="single"/>
              </w:rPr>
              <w:t>May 7- Transparency in Covid Times</w:t>
            </w:r>
          </w:p>
          <w:p w14:paraId="05795A43" w14:textId="77777777" w:rsidR="00D20E38" w:rsidRPr="007F430A" w:rsidRDefault="00D20E38" w:rsidP="00D20E38">
            <w:pPr>
              <w:pStyle w:val="ListParagraph"/>
              <w:spacing w:after="120"/>
              <w:ind w:left="0"/>
              <w:rPr>
                <w:iCs/>
                <w:szCs w:val="22"/>
                <w:u w:val="single"/>
              </w:rPr>
            </w:pPr>
            <w:r w:rsidRPr="007F430A">
              <w:rPr>
                <w:iCs/>
                <w:szCs w:val="22"/>
                <w:u w:val="single"/>
              </w:rPr>
              <w:t>February 6- A conversation on BO Disclosure in Tobago: Lifting the Veil on Secret Company Ownership</w:t>
            </w:r>
          </w:p>
          <w:p w14:paraId="1B887AC2" w14:textId="77777777" w:rsidR="00D20E38" w:rsidRPr="007F430A" w:rsidRDefault="00D20E38" w:rsidP="00D20E38">
            <w:pPr>
              <w:pStyle w:val="ListParagraph"/>
              <w:spacing w:after="120"/>
              <w:ind w:left="0"/>
              <w:rPr>
                <w:iCs/>
                <w:szCs w:val="22"/>
                <w:u w:val="single"/>
              </w:rPr>
            </w:pPr>
          </w:p>
          <w:p w14:paraId="5DDA23B7" w14:textId="77777777" w:rsidR="00D20E38" w:rsidRPr="007F430A" w:rsidRDefault="00D20E38" w:rsidP="00D20E38">
            <w:pPr>
              <w:pStyle w:val="ListParagraph"/>
              <w:spacing w:after="120"/>
              <w:ind w:left="0"/>
              <w:rPr>
                <w:iCs/>
                <w:szCs w:val="22"/>
                <w:u w:val="single"/>
              </w:rPr>
            </w:pPr>
            <w:r w:rsidRPr="007F430A">
              <w:rPr>
                <w:iCs/>
                <w:szCs w:val="22"/>
                <w:u w:val="single"/>
              </w:rPr>
              <w:t>2019</w:t>
            </w:r>
          </w:p>
          <w:p w14:paraId="78326578" w14:textId="14990903" w:rsidR="00D20E38" w:rsidRPr="007F430A" w:rsidRDefault="00D20E38" w:rsidP="00D20E38">
            <w:pPr>
              <w:pStyle w:val="ListParagraph"/>
              <w:spacing w:after="120"/>
              <w:ind w:left="0"/>
              <w:rPr>
                <w:i/>
                <w:iCs/>
                <w:szCs w:val="22"/>
              </w:rPr>
            </w:pPr>
            <w:r w:rsidRPr="007F430A">
              <w:rPr>
                <w:iCs/>
                <w:szCs w:val="22"/>
              </w:rPr>
              <w:t>May 21- Lifting the Veil on Secret Company Ownership: Exposing Corruption to Protect What is Ours</w:t>
            </w:r>
          </w:p>
        </w:tc>
      </w:tr>
    </w:tbl>
    <w:p w14:paraId="7B895A08" w14:textId="77777777" w:rsidR="00C6608B" w:rsidRPr="007F430A" w:rsidRDefault="00C6608B" w:rsidP="00C6608B">
      <w:pPr>
        <w:pStyle w:val="ListParagraph"/>
        <w:spacing w:after="120"/>
        <w:rPr>
          <w:szCs w:val="22"/>
        </w:rPr>
      </w:pPr>
    </w:p>
    <w:p w14:paraId="5F4FDD3D" w14:textId="77777777" w:rsidR="00C6608B" w:rsidRPr="007F430A" w:rsidRDefault="00C6608B" w:rsidP="00C6608B">
      <w:pPr>
        <w:pStyle w:val="ListParagraph"/>
        <w:numPr>
          <w:ilvl w:val="0"/>
          <w:numId w:val="14"/>
        </w:numPr>
        <w:spacing w:before="0" w:after="120"/>
        <w:contextualSpacing/>
        <w:rPr>
          <w:szCs w:val="22"/>
        </w:rPr>
      </w:pPr>
      <w:r w:rsidRPr="007F430A">
        <w:rPr>
          <w:iCs/>
          <w:szCs w:val="22"/>
        </w:rPr>
        <w:t>Extractive sector data is accessible and used for analysis, research and advocacy.</w:t>
      </w:r>
      <w:r w:rsidRPr="007F430A">
        <w:rPr>
          <w:iCs/>
          <w:szCs w:val="22"/>
        </w:rPr>
        <w:br/>
      </w:r>
    </w:p>
    <w:tbl>
      <w:tblPr>
        <w:tblStyle w:val="TableGrid"/>
        <w:tblW w:w="0" w:type="auto"/>
        <w:tblInd w:w="720" w:type="dxa"/>
        <w:tblLook w:val="04A0" w:firstRow="1" w:lastRow="0" w:firstColumn="1" w:lastColumn="0" w:noHBand="0" w:noVBand="1"/>
      </w:tblPr>
      <w:tblGrid>
        <w:gridCol w:w="8342"/>
      </w:tblGrid>
      <w:tr w:rsidR="00C6608B" w:rsidRPr="007F430A" w14:paraId="460E83A3" w14:textId="77777777" w:rsidTr="002644D9">
        <w:tc>
          <w:tcPr>
            <w:tcW w:w="9062" w:type="dxa"/>
          </w:tcPr>
          <w:p w14:paraId="15E76293" w14:textId="77777777" w:rsidR="00C6608B" w:rsidRPr="007F430A" w:rsidRDefault="00C6608B" w:rsidP="002644D9">
            <w:pPr>
              <w:pStyle w:val="ListParagraph"/>
              <w:spacing w:after="120"/>
              <w:ind w:left="0"/>
              <w:rPr>
                <w:i/>
                <w:iCs/>
                <w:szCs w:val="22"/>
              </w:rPr>
            </w:pPr>
            <w:r w:rsidRPr="007F430A">
              <w:rPr>
                <w:i/>
                <w:iCs/>
                <w:szCs w:val="22"/>
              </w:rPr>
              <w:t>[Add MSG response and additional information/evidence]</w:t>
            </w:r>
          </w:p>
          <w:p w14:paraId="0AEF345D" w14:textId="302D4CB7" w:rsidR="00A629EB" w:rsidRPr="007F430A" w:rsidRDefault="00A629EB" w:rsidP="002644D9">
            <w:pPr>
              <w:pStyle w:val="ListParagraph"/>
              <w:spacing w:after="120"/>
              <w:ind w:left="0"/>
              <w:rPr>
                <w:szCs w:val="22"/>
              </w:rPr>
            </w:pPr>
            <w:r w:rsidRPr="007F430A">
              <w:rPr>
                <w:szCs w:val="22"/>
              </w:rPr>
              <w:t>TTEITI Data is accessible via its online data portal and used for analysis, research and advocacy by different stakeholders including business associations, civil society groups, the media and academia.</w:t>
            </w:r>
          </w:p>
          <w:p w14:paraId="387EE9D4" w14:textId="77777777" w:rsidR="00FA6C6A" w:rsidRPr="007F430A" w:rsidRDefault="00FA6C6A" w:rsidP="00FA6C6A">
            <w:pPr>
              <w:rPr>
                <w:szCs w:val="22"/>
              </w:rPr>
            </w:pPr>
            <w:r w:rsidRPr="007F430A">
              <w:rPr>
                <w:szCs w:val="22"/>
              </w:rPr>
              <w:t xml:space="preserve">The Energy Chamber has used EITI data on supplemental petroleum taxes and petroleum profit taxes to inform its </w:t>
            </w:r>
            <w:proofErr w:type="spellStart"/>
            <w:r w:rsidRPr="007F430A">
              <w:rPr>
                <w:szCs w:val="22"/>
              </w:rPr>
              <w:t>advovacy</w:t>
            </w:r>
            <w:proofErr w:type="spellEnd"/>
            <w:r w:rsidRPr="007F430A">
              <w:rPr>
                <w:szCs w:val="22"/>
              </w:rPr>
              <w:t xml:space="preserve"> to Government on fiscal regime reform. </w:t>
            </w:r>
          </w:p>
          <w:p w14:paraId="68BD6D14" w14:textId="0246DF02" w:rsidR="0005353E" w:rsidRPr="007F430A" w:rsidRDefault="00FA6C6A" w:rsidP="002644D9">
            <w:pPr>
              <w:pStyle w:val="ListParagraph"/>
              <w:spacing w:after="120"/>
              <w:ind w:left="0"/>
              <w:rPr>
                <w:szCs w:val="22"/>
              </w:rPr>
            </w:pPr>
            <w:r w:rsidRPr="007F430A">
              <w:rPr>
                <w:szCs w:val="22"/>
              </w:rPr>
              <w:t xml:space="preserve">Fishermen and Friends of the Sea has used EITI data on oil spills in their advocacy to Government on environmental impact of industrial activity.  </w:t>
            </w:r>
          </w:p>
        </w:tc>
      </w:tr>
    </w:tbl>
    <w:p w14:paraId="76EBDD7C" w14:textId="77777777" w:rsidR="00C6608B" w:rsidRPr="007F430A" w:rsidRDefault="00C6608B" w:rsidP="00C6608B">
      <w:pPr>
        <w:spacing w:after="120"/>
        <w:rPr>
          <w:szCs w:val="22"/>
        </w:rPr>
      </w:pPr>
    </w:p>
    <w:p w14:paraId="519CDD93" w14:textId="77777777" w:rsidR="00C6608B" w:rsidRPr="007F430A" w:rsidRDefault="00C6608B" w:rsidP="00C6608B">
      <w:pPr>
        <w:pStyle w:val="ListParagraph"/>
        <w:numPr>
          <w:ilvl w:val="0"/>
          <w:numId w:val="14"/>
        </w:numPr>
        <w:spacing w:before="0" w:after="120"/>
        <w:contextualSpacing/>
        <w:rPr>
          <w:szCs w:val="22"/>
        </w:rPr>
      </w:pPr>
      <w:r w:rsidRPr="007F430A">
        <w:rPr>
          <w:iCs/>
          <w:szCs w:val="22"/>
        </w:rPr>
        <w:t>EITI has informed changes in extractive sector policies or practices.</w:t>
      </w:r>
      <w:r w:rsidRPr="007F430A">
        <w:rPr>
          <w:szCs w:val="22"/>
        </w:rPr>
        <w:t xml:space="preserve"> s</w:t>
      </w:r>
    </w:p>
    <w:p w14:paraId="09ED303D" w14:textId="77777777" w:rsidR="00C6608B" w:rsidRPr="007F430A" w:rsidRDefault="00C6608B" w:rsidP="00C6608B">
      <w:pPr>
        <w:pStyle w:val="ListParagraph"/>
        <w:spacing w:after="120"/>
        <w:rPr>
          <w:szCs w:val="22"/>
        </w:rPr>
      </w:pPr>
    </w:p>
    <w:tbl>
      <w:tblPr>
        <w:tblStyle w:val="TableGrid"/>
        <w:tblW w:w="0" w:type="auto"/>
        <w:tblInd w:w="720" w:type="dxa"/>
        <w:tblLook w:val="04A0" w:firstRow="1" w:lastRow="0" w:firstColumn="1" w:lastColumn="0" w:noHBand="0" w:noVBand="1"/>
      </w:tblPr>
      <w:tblGrid>
        <w:gridCol w:w="8342"/>
      </w:tblGrid>
      <w:tr w:rsidR="00C6608B" w:rsidRPr="007F430A" w14:paraId="11C28F1C" w14:textId="77777777" w:rsidTr="002644D9">
        <w:tc>
          <w:tcPr>
            <w:tcW w:w="9062" w:type="dxa"/>
          </w:tcPr>
          <w:p w14:paraId="69F4DC98" w14:textId="77777777" w:rsidR="00FA6C6A" w:rsidRPr="007F430A" w:rsidRDefault="00C6608B" w:rsidP="002644D9">
            <w:pPr>
              <w:pStyle w:val="ListParagraph"/>
              <w:spacing w:after="120"/>
              <w:ind w:left="0"/>
              <w:rPr>
                <w:i/>
                <w:iCs/>
                <w:szCs w:val="22"/>
              </w:rPr>
            </w:pPr>
            <w:r w:rsidRPr="007F430A">
              <w:rPr>
                <w:i/>
                <w:iCs/>
                <w:szCs w:val="22"/>
              </w:rPr>
              <w:t>[Add MSG response and additional information/evidence]</w:t>
            </w:r>
            <w:r w:rsidR="00FA6C6A" w:rsidRPr="007F430A">
              <w:rPr>
                <w:i/>
                <w:iCs/>
                <w:szCs w:val="22"/>
              </w:rPr>
              <w:t xml:space="preserve"> </w:t>
            </w:r>
          </w:p>
          <w:p w14:paraId="4BA89223" w14:textId="77777777" w:rsidR="00CF7FB7" w:rsidRPr="0022643A" w:rsidRDefault="00FA6C6A" w:rsidP="00CF7FB7">
            <w:pPr>
              <w:pStyle w:val="ListParagraph"/>
              <w:spacing w:after="120"/>
              <w:ind w:left="0"/>
              <w:rPr>
                <w:i/>
                <w:iCs/>
                <w:szCs w:val="22"/>
              </w:rPr>
            </w:pPr>
            <w:r w:rsidRPr="007F430A">
              <w:rPr>
                <w:i/>
                <w:iCs/>
                <w:szCs w:val="22"/>
              </w:rPr>
              <w:t>EITI implementation has informed several changes in extractive sector policies or practice</w:t>
            </w:r>
            <w:r w:rsidR="00CF7FB7" w:rsidRPr="007F430A">
              <w:rPr>
                <w:i/>
                <w:iCs/>
                <w:szCs w:val="22"/>
              </w:rPr>
              <w:t xml:space="preserve">s. </w:t>
            </w:r>
            <w:r w:rsidR="00CF7FB7" w:rsidRPr="007F430A">
              <w:rPr>
                <w:rFonts w:cs="Times New Roman"/>
                <w:szCs w:val="22"/>
              </w:rPr>
              <w:t xml:space="preserve">Data published in the reports have informed the findings of the Gas Master Plan and assisted T&amp;T in meeting its obligations to the Open Government Partnership. Recently, analytics from the TTEITI’s public sensitization campaign on </w:t>
            </w:r>
            <w:r w:rsidR="00CF7FB7" w:rsidRPr="007F430A">
              <w:rPr>
                <w:rFonts w:cs="Times New Roman"/>
                <w:szCs w:val="22"/>
              </w:rPr>
              <w:lastRenderedPageBreak/>
              <w:t>beneficial ownership were used for the country’s successful Financial Action Task Force (FATF) assessment.</w:t>
            </w:r>
          </w:p>
          <w:p w14:paraId="697D94CE" w14:textId="141A8790" w:rsidR="0005353E" w:rsidRPr="007F430A" w:rsidRDefault="00B10E80" w:rsidP="002644D9">
            <w:pPr>
              <w:pStyle w:val="ListParagraph"/>
              <w:spacing w:after="120"/>
              <w:ind w:left="0"/>
              <w:rPr>
                <w:szCs w:val="22"/>
              </w:rPr>
            </w:pPr>
            <w:r w:rsidRPr="007F430A">
              <w:rPr>
                <w:rFonts w:cs="Times New Roman"/>
                <w:szCs w:val="22"/>
              </w:rPr>
              <w:t>After recommendations from the TTEITI Steering Committee, t</w:t>
            </w:r>
            <w:r w:rsidR="00CF7FB7" w:rsidRPr="007F430A">
              <w:rPr>
                <w:rFonts w:cs="Times New Roman"/>
                <w:szCs w:val="22"/>
              </w:rPr>
              <w:t xml:space="preserve">he Ministry of Energy’s competitive bidding order </w:t>
            </w:r>
            <w:r w:rsidRPr="007F430A">
              <w:rPr>
                <w:rFonts w:cs="Times New Roman"/>
                <w:szCs w:val="22"/>
              </w:rPr>
              <w:t xml:space="preserve">included a requirement for all companies bidding for oil and gas blocks to disclose their beneficial </w:t>
            </w:r>
            <w:proofErr w:type="spellStart"/>
            <w:proofErr w:type="gramStart"/>
            <w:r w:rsidRPr="007F430A">
              <w:rPr>
                <w:rFonts w:cs="Times New Roman"/>
                <w:szCs w:val="22"/>
              </w:rPr>
              <w:t>owners.</w:t>
            </w:r>
            <w:r w:rsidR="00CF7FB7" w:rsidRPr="0022643A">
              <w:rPr>
                <w:szCs w:val="22"/>
              </w:rPr>
              <w:t>Heritage</w:t>
            </w:r>
            <w:proofErr w:type="spellEnd"/>
            <w:proofErr w:type="gramEnd"/>
            <w:r w:rsidR="00CF7FB7" w:rsidRPr="0022643A">
              <w:rPr>
                <w:szCs w:val="22"/>
              </w:rPr>
              <w:t xml:space="preserve"> Petroleum</w:t>
            </w:r>
            <w:r w:rsidRPr="007F430A">
              <w:rPr>
                <w:szCs w:val="22"/>
              </w:rPr>
              <w:t xml:space="preserve"> Company Limited</w:t>
            </w:r>
            <w:r w:rsidR="00CF7FB7" w:rsidRPr="007F430A">
              <w:rPr>
                <w:szCs w:val="22"/>
              </w:rPr>
              <w:t xml:space="preserve"> also inserted</w:t>
            </w:r>
            <w:r w:rsidRPr="007F430A">
              <w:rPr>
                <w:szCs w:val="22"/>
              </w:rPr>
              <w:t xml:space="preserve"> a clause into its contracts with its lease and farm out operators</w:t>
            </w:r>
            <w:r w:rsidR="00B8017D" w:rsidRPr="007F430A">
              <w:rPr>
                <w:szCs w:val="22"/>
              </w:rPr>
              <w:t xml:space="preserve"> requiring its partners to implement the EITI.</w:t>
            </w:r>
            <w:r w:rsidRPr="007F430A">
              <w:rPr>
                <w:szCs w:val="22"/>
              </w:rPr>
              <w:t xml:space="preserve"> </w:t>
            </w:r>
            <w:r w:rsidR="00CF7FB7" w:rsidRPr="007F430A">
              <w:rPr>
                <w:szCs w:val="22"/>
              </w:rPr>
              <w:t xml:space="preserve"> </w:t>
            </w:r>
          </w:p>
        </w:tc>
      </w:tr>
    </w:tbl>
    <w:p w14:paraId="6FF8EAB4" w14:textId="77777777" w:rsidR="00C6608B" w:rsidRPr="007F430A" w:rsidRDefault="00C6608B" w:rsidP="00C6608B">
      <w:pPr>
        <w:pStyle w:val="ListParagraph"/>
        <w:spacing w:after="120"/>
        <w:rPr>
          <w:szCs w:val="22"/>
        </w:rPr>
      </w:pPr>
    </w:p>
    <w:p w14:paraId="3B50EACF" w14:textId="77777777" w:rsidR="00C6608B" w:rsidRPr="007F430A" w:rsidRDefault="00C6608B" w:rsidP="00C6608B">
      <w:pPr>
        <w:pStyle w:val="Heading1"/>
        <w:rPr>
          <w:rFonts w:ascii="Franklin Gothic Book" w:hAnsi="Franklin Gothic Book"/>
          <w:sz w:val="22"/>
          <w:szCs w:val="22"/>
        </w:rPr>
      </w:pPr>
      <w:bookmarkStart w:id="11" w:name="_Toc57973533"/>
      <w:r w:rsidRPr="007F430A">
        <w:rPr>
          <w:rFonts w:ascii="Franklin Gothic Book" w:hAnsi="Franklin Gothic Book"/>
          <w:sz w:val="22"/>
          <w:szCs w:val="22"/>
        </w:rPr>
        <w:t>Part IV: Stakeholder feedback and MSG approval</w:t>
      </w:r>
      <w:bookmarkEnd w:id="11"/>
    </w:p>
    <w:p w14:paraId="2A4CE4F0" w14:textId="77777777" w:rsidR="00C6608B" w:rsidRPr="0022643A" w:rsidRDefault="00C6608B" w:rsidP="00C6608B">
      <w:pPr>
        <w:rPr>
          <w:szCs w:val="22"/>
        </w:rPr>
      </w:pPr>
    </w:p>
    <w:p w14:paraId="62F78794" w14:textId="77777777" w:rsidR="00C6608B" w:rsidRPr="007F430A" w:rsidRDefault="00C6608B" w:rsidP="00C6608B">
      <w:pPr>
        <w:rPr>
          <w:b/>
          <w:bCs/>
          <w:szCs w:val="22"/>
        </w:rPr>
      </w:pPr>
      <w:r w:rsidRPr="007F430A">
        <w:rPr>
          <w:b/>
          <w:bCs/>
          <w:szCs w:val="22"/>
        </w:rPr>
        <w:t>19. Describe opportunities provided to stakeholders beyond MSG members to give feedback on the EITI process, including the EITI work plan.</w:t>
      </w:r>
    </w:p>
    <w:tbl>
      <w:tblPr>
        <w:tblStyle w:val="TableGrid"/>
        <w:tblW w:w="0" w:type="auto"/>
        <w:tblLook w:val="04A0" w:firstRow="1" w:lastRow="0" w:firstColumn="1" w:lastColumn="0" w:noHBand="0" w:noVBand="1"/>
      </w:tblPr>
      <w:tblGrid>
        <w:gridCol w:w="9062"/>
      </w:tblGrid>
      <w:tr w:rsidR="00C6608B" w:rsidRPr="007F430A" w14:paraId="2F5D3A66" w14:textId="77777777" w:rsidTr="002644D9">
        <w:tc>
          <w:tcPr>
            <w:tcW w:w="9062" w:type="dxa"/>
          </w:tcPr>
          <w:p w14:paraId="7F131B6C" w14:textId="4BC6AD13" w:rsidR="00CD0A35" w:rsidRPr="00283F46" w:rsidRDefault="00CD0A35" w:rsidP="002644D9">
            <w:pPr>
              <w:rPr>
                <w:bCs/>
                <w:szCs w:val="22"/>
              </w:rPr>
            </w:pPr>
            <w:r w:rsidRPr="00283F46">
              <w:rPr>
                <w:bCs/>
                <w:szCs w:val="22"/>
              </w:rPr>
              <w:t>In developing its work plan, the TTEITI</w:t>
            </w:r>
            <w:r w:rsidR="00B8017D" w:rsidRPr="00283F46">
              <w:rPr>
                <w:bCs/>
                <w:szCs w:val="22"/>
              </w:rPr>
              <w:t xml:space="preserve"> surveyed civil society groups </w:t>
            </w:r>
            <w:r w:rsidR="002F414E" w:rsidRPr="00283F46">
              <w:rPr>
                <w:bCs/>
                <w:szCs w:val="22"/>
              </w:rPr>
              <w:t xml:space="preserve">beyond the MSG (see results of workplan survey). </w:t>
            </w:r>
            <w:r w:rsidRPr="00283F46">
              <w:rPr>
                <w:bCs/>
                <w:szCs w:val="22"/>
              </w:rPr>
              <w:t>In all of its public outreach</w:t>
            </w:r>
            <w:r w:rsidR="00B8017D" w:rsidRPr="00283F46">
              <w:rPr>
                <w:bCs/>
                <w:szCs w:val="22"/>
              </w:rPr>
              <w:t xml:space="preserve"> engagements</w:t>
            </w:r>
            <w:r w:rsidR="00CF7FB7" w:rsidRPr="00283F46">
              <w:rPr>
                <w:bCs/>
                <w:szCs w:val="22"/>
              </w:rPr>
              <w:t>, the</w:t>
            </w:r>
            <w:r w:rsidR="002F414E" w:rsidRPr="00283F46">
              <w:rPr>
                <w:bCs/>
                <w:szCs w:val="22"/>
              </w:rPr>
              <w:t xml:space="preserve"> </w:t>
            </w:r>
            <w:r w:rsidR="00CF7FB7" w:rsidRPr="00283F46">
              <w:rPr>
                <w:bCs/>
                <w:szCs w:val="22"/>
              </w:rPr>
              <w:t>committee</w:t>
            </w:r>
            <w:r w:rsidR="002F414E" w:rsidRPr="00283F46">
              <w:rPr>
                <w:bCs/>
                <w:szCs w:val="22"/>
              </w:rPr>
              <w:t xml:space="preserve"> also</w:t>
            </w:r>
            <w:r w:rsidR="00CF7FB7" w:rsidRPr="00283F46">
              <w:rPr>
                <w:bCs/>
                <w:szCs w:val="22"/>
              </w:rPr>
              <w:t xml:space="preserve"> provides evaluation forms to get </w:t>
            </w:r>
            <w:r w:rsidR="00B10E80" w:rsidRPr="00283F46">
              <w:rPr>
                <w:bCs/>
                <w:szCs w:val="22"/>
              </w:rPr>
              <w:t>feedback from participants.</w:t>
            </w:r>
            <w:r w:rsidRPr="00283F46">
              <w:rPr>
                <w:bCs/>
                <w:szCs w:val="22"/>
              </w:rPr>
              <w:t xml:space="preserve"> </w:t>
            </w:r>
          </w:p>
          <w:p w14:paraId="397176B8" w14:textId="77777777" w:rsidR="0022643A" w:rsidRPr="00283F46" w:rsidRDefault="0022643A" w:rsidP="0022643A">
            <w:pPr>
              <w:rPr>
                <w:szCs w:val="22"/>
              </w:rPr>
            </w:pPr>
            <w:r w:rsidRPr="00283F46">
              <w:rPr>
                <w:szCs w:val="22"/>
              </w:rPr>
              <w:t xml:space="preserve">During the period under review, opportunities were provided for participants to provide feedback on the MSG’s Beneficial Ownership Disclosure sensitization workshops. The participants’ feedback </w:t>
            </w:r>
            <w:proofErr w:type="gramStart"/>
            <w:r w:rsidRPr="00283F46">
              <w:rPr>
                <w:szCs w:val="22"/>
              </w:rPr>
              <w:t>were</w:t>
            </w:r>
            <w:proofErr w:type="gramEnd"/>
            <w:r w:rsidRPr="00283F46">
              <w:rPr>
                <w:szCs w:val="22"/>
              </w:rPr>
              <w:t xml:space="preserve"> then compiled into an Evaluation Report after each event and can be viewed via the following links: </w:t>
            </w:r>
          </w:p>
          <w:p w14:paraId="50E44CC8" w14:textId="77777777" w:rsidR="0022643A" w:rsidRPr="007F430A" w:rsidRDefault="0022643A" w:rsidP="0022643A">
            <w:pPr>
              <w:numPr>
                <w:ilvl w:val="0"/>
                <w:numId w:val="18"/>
              </w:numPr>
              <w:spacing w:after="0"/>
              <w:rPr>
                <w:b/>
                <w:szCs w:val="22"/>
              </w:rPr>
            </w:pPr>
            <w:r w:rsidRPr="007F430A">
              <w:rPr>
                <w:b/>
                <w:szCs w:val="22"/>
              </w:rPr>
              <w:t xml:space="preserve"> </w:t>
            </w:r>
            <w:hyperlink r:id="rId36" w:history="1">
              <w:r w:rsidRPr="007F430A">
                <w:rPr>
                  <w:rStyle w:val="Hyperlink"/>
                  <w:b/>
                  <w:color w:val="1155CC"/>
                  <w:szCs w:val="22"/>
                </w:rPr>
                <w:t xml:space="preserve">Lifting the Veil on Secret Company Ownership CSO/BA Workshop 2019 </w:t>
              </w:r>
            </w:hyperlink>
            <w:r w:rsidRPr="0022643A">
              <w:rPr>
                <w:b/>
                <w:szCs w:val="22"/>
              </w:rPr>
              <w:t xml:space="preserve"> </w:t>
            </w:r>
          </w:p>
          <w:p w14:paraId="616269A0" w14:textId="77777777" w:rsidR="0022643A" w:rsidRPr="007F430A" w:rsidRDefault="002F5457" w:rsidP="0022643A">
            <w:pPr>
              <w:numPr>
                <w:ilvl w:val="0"/>
                <w:numId w:val="18"/>
              </w:numPr>
              <w:spacing w:before="0"/>
              <w:rPr>
                <w:b/>
                <w:szCs w:val="22"/>
              </w:rPr>
            </w:pPr>
            <w:hyperlink r:id="rId37" w:history="1">
              <w:r w:rsidR="0022643A" w:rsidRPr="007F430A">
                <w:rPr>
                  <w:rStyle w:val="Hyperlink"/>
                  <w:b/>
                  <w:color w:val="1155CC"/>
                  <w:szCs w:val="22"/>
                </w:rPr>
                <w:t>Lifting the Veil on Secret Company Ownership Tobago Workshop 2020</w:t>
              </w:r>
            </w:hyperlink>
            <w:r w:rsidR="0022643A" w:rsidRPr="0022643A">
              <w:rPr>
                <w:b/>
                <w:szCs w:val="22"/>
              </w:rPr>
              <w:t xml:space="preserve">  </w:t>
            </w:r>
          </w:p>
          <w:p w14:paraId="583BBB57" w14:textId="77777777" w:rsidR="00C6608B" w:rsidRPr="007F430A" w:rsidRDefault="00C6608B" w:rsidP="002644D9">
            <w:pPr>
              <w:rPr>
                <w:b/>
                <w:bCs/>
                <w:szCs w:val="22"/>
              </w:rPr>
            </w:pPr>
          </w:p>
          <w:p w14:paraId="068ECD0E" w14:textId="77777777" w:rsidR="00C6608B" w:rsidRPr="007F430A" w:rsidRDefault="00C6608B" w:rsidP="002644D9">
            <w:pPr>
              <w:rPr>
                <w:b/>
                <w:bCs/>
                <w:szCs w:val="22"/>
              </w:rPr>
            </w:pPr>
          </w:p>
        </w:tc>
      </w:tr>
    </w:tbl>
    <w:p w14:paraId="26962A41" w14:textId="77777777" w:rsidR="00C6608B" w:rsidRPr="007F430A" w:rsidRDefault="00C6608B" w:rsidP="00C6608B">
      <w:pPr>
        <w:rPr>
          <w:b/>
          <w:bCs/>
          <w:szCs w:val="22"/>
        </w:rPr>
      </w:pPr>
    </w:p>
    <w:p w14:paraId="69DFD93A" w14:textId="77777777" w:rsidR="00C6608B" w:rsidRPr="007F430A" w:rsidRDefault="00C6608B" w:rsidP="00C6608B">
      <w:pPr>
        <w:rPr>
          <w:b/>
          <w:bCs/>
          <w:szCs w:val="22"/>
        </w:rPr>
      </w:pPr>
      <w:r w:rsidRPr="007F430A">
        <w:rPr>
          <w:b/>
          <w:bCs/>
          <w:szCs w:val="22"/>
        </w:rPr>
        <w:t>20. Describe how any feedback from stakeholders beyond MSG members have been considered in the review of the outcomes and impact of EITI implementation.</w:t>
      </w:r>
    </w:p>
    <w:tbl>
      <w:tblPr>
        <w:tblStyle w:val="TableGrid"/>
        <w:tblW w:w="0" w:type="auto"/>
        <w:tblLook w:val="04A0" w:firstRow="1" w:lastRow="0" w:firstColumn="1" w:lastColumn="0" w:noHBand="0" w:noVBand="1"/>
      </w:tblPr>
      <w:tblGrid>
        <w:gridCol w:w="9062"/>
      </w:tblGrid>
      <w:tr w:rsidR="00C6608B" w:rsidRPr="007F430A" w14:paraId="552FFC5E" w14:textId="77777777" w:rsidTr="002644D9">
        <w:tc>
          <w:tcPr>
            <w:tcW w:w="9062" w:type="dxa"/>
          </w:tcPr>
          <w:p w14:paraId="622B8398" w14:textId="45FA155C" w:rsidR="005D4B99" w:rsidRPr="007F430A" w:rsidRDefault="005D4B99" w:rsidP="005D4B99">
            <w:pPr>
              <w:rPr>
                <w:szCs w:val="22"/>
              </w:rPr>
            </w:pPr>
            <w:r w:rsidRPr="007F430A">
              <w:rPr>
                <w:szCs w:val="22"/>
              </w:rPr>
              <w:t>The TTEITI Steering Committee used information from the s</w:t>
            </w:r>
            <w:r w:rsidR="00D25175" w:rsidRPr="007F430A">
              <w:rPr>
                <w:szCs w:val="22"/>
              </w:rPr>
              <w:t>urvey of civil society groups</w:t>
            </w:r>
            <w:r w:rsidRPr="007F430A">
              <w:rPr>
                <w:szCs w:val="22"/>
              </w:rPr>
              <w:t xml:space="preserve">, beyond the MSG, to inform strategic </w:t>
            </w:r>
            <w:proofErr w:type="spellStart"/>
            <w:r w:rsidRPr="007F430A">
              <w:rPr>
                <w:szCs w:val="22"/>
              </w:rPr>
              <w:t>priorritie</w:t>
            </w:r>
            <w:proofErr w:type="spellEnd"/>
            <w:r w:rsidRPr="007F430A">
              <w:rPr>
                <w:szCs w:val="22"/>
              </w:rPr>
              <w:t xml:space="preserve"> </w:t>
            </w:r>
            <w:r w:rsidR="00D25175" w:rsidRPr="007F430A">
              <w:rPr>
                <w:szCs w:val="22"/>
              </w:rPr>
              <w:t xml:space="preserve">for </w:t>
            </w:r>
            <w:r w:rsidRPr="007F430A">
              <w:rPr>
                <w:szCs w:val="22"/>
              </w:rPr>
              <w:t xml:space="preserve">the 2021-2023 </w:t>
            </w:r>
            <w:r w:rsidR="00D25175" w:rsidRPr="007F430A">
              <w:rPr>
                <w:szCs w:val="22"/>
              </w:rPr>
              <w:t>workplan</w:t>
            </w:r>
            <w:r w:rsidRPr="007F430A">
              <w:rPr>
                <w:szCs w:val="22"/>
              </w:rPr>
              <w:t xml:space="preserve">. The TTEITI Steering Committee engages in reflective practice after its outreach events where feedback is </w:t>
            </w:r>
            <w:proofErr w:type="spellStart"/>
            <w:r w:rsidRPr="007F430A">
              <w:rPr>
                <w:szCs w:val="22"/>
              </w:rPr>
              <w:t>analysed</w:t>
            </w:r>
            <w:proofErr w:type="spellEnd"/>
            <w:r w:rsidRPr="007F430A">
              <w:rPr>
                <w:szCs w:val="22"/>
              </w:rPr>
              <w:t>, assessed and incorporated into planning for future outreach and communication plans.</w:t>
            </w:r>
          </w:p>
          <w:p w14:paraId="261246A0" w14:textId="370BACC6" w:rsidR="006800FD" w:rsidRPr="007F430A" w:rsidRDefault="006800FD" w:rsidP="005D4B99">
            <w:pPr>
              <w:rPr>
                <w:szCs w:val="22"/>
              </w:rPr>
            </w:pPr>
            <w:r w:rsidRPr="007F430A">
              <w:rPr>
                <w:szCs w:val="22"/>
              </w:rPr>
              <w:t xml:space="preserve">Examples of the abovementioned can be viewed on page 8 and page 9 respectively of the following Evaluation Reports: </w:t>
            </w:r>
          </w:p>
          <w:p w14:paraId="205E8809" w14:textId="77777777" w:rsidR="006800FD" w:rsidRPr="007F430A" w:rsidRDefault="002F5457" w:rsidP="006800FD">
            <w:pPr>
              <w:numPr>
                <w:ilvl w:val="0"/>
                <w:numId w:val="18"/>
              </w:numPr>
              <w:spacing w:after="0"/>
              <w:rPr>
                <w:b/>
                <w:szCs w:val="22"/>
              </w:rPr>
            </w:pPr>
            <w:hyperlink r:id="rId38" w:history="1">
              <w:r w:rsidR="006800FD" w:rsidRPr="007F430A">
                <w:rPr>
                  <w:rStyle w:val="Hyperlink"/>
                  <w:b/>
                  <w:color w:val="1155CC"/>
                  <w:szCs w:val="22"/>
                </w:rPr>
                <w:t xml:space="preserve">Lifting the Veil on Secret Company Ownership CSO/BA Workshop 2019 </w:t>
              </w:r>
            </w:hyperlink>
            <w:r w:rsidR="006800FD" w:rsidRPr="0022643A">
              <w:rPr>
                <w:b/>
                <w:szCs w:val="22"/>
              </w:rPr>
              <w:t xml:space="preserve"> </w:t>
            </w:r>
          </w:p>
          <w:sdt>
            <w:sdtPr>
              <w:rPr>
                <w:szCs w:val="22"/>
              </w:rPr>
              <w:tag w:val="goog_rdk_702"/>
              <w:id w:val="2079314814"/>
            </w:sdtPr>
            <w:sdtContent>
              <w:p w14:paraId="053A13F9" w14:textId="62D0686E" w:rsidR="006800FD" w:rsidRPr="007F430A" w:rsidRDefault="002F5457" w:rsidP="005D4B99">
                <w:pPr>
                  <w:rPr>
                    <w:szCs w:val="22"/>
                  </w:rPr>
                </w:pPr>
                <w:hyperlink r:id="rId39" w:history="1">
                  <w:r w:rsidR="006800FD" w:rsidRPr="007F430A">
                    <w:rPr>
                      <w:rStyle w:val="Hyperlink"/>
                      <w:b/>
                      <w:color w:val="1155CC"/>
                      <w:szCs w:val="22"/>
                    </w:rPr>
                    <w:t>Lifting the Veil on Secret Company Ownership Tobago Workshop 2020</w:t>
                  </w:r>
                </w:hyperlink>
                <w:r w:rsidR="006800FD" w:rsidRPr="0022643A">
                  <w:rPr>
                    <w:b/>
                    <w:szCs w:val="22"/>
                  </w:rPr>
                  <w:t xml:space="preserve">  </w:t>
                </w:r>
                <w:sdt>
                  <w:sdtPr>
                    <w:rPr>
                      <w:szCs w:val="22"/>
                    </w:rPr>
                    <w:tag w:val="goog_rdk_701"/>
                    <w:id w:val="-853348299"/>
                  </w:sdtPr>
                  <w:sdtContent/>
                </w:sdt>
              </w:p>
            </w:sdtContent>
          </w:sdt>
          <w:p w14:paraId="6A262A41" w14:textId="77777777" w:rsidR="00C6608B" w:rsidRPr="007F430A" w:rsidRDefault="00C6608B" w:rsidP="00BE6E02">
            <w:pPr>
              <w:rPr>
                <w:szCs w:val="22"/>
              </w:rPr>
            </w:pPr>
          </w:p>
        </w:tc>
      </w:tr>
    </w:tbl>
    <w:p w14:paraId="2CF18C8C" w14:textId="77777777" w:rsidR="00C6608B" w:rsidRPr="007F430A" w:rsidRDefault="00C6608B" w:rsidP="00C6608B">
      <w:pPr>
        <w:rPr>
          <w:szCs w:val="22"/>
        </w:rPr>
      </w:pPr>
    </w:p>
    <w:p w14:paraId="49A9AE00" w14:textId="77777777" w:rsidR="00C6608B" w:rsidRPr="007F430A" w:rsidRDefault="00C6608B" w:rsidP="00C6608B">
      <w:pPr>
        <w:rPr>
          <w:szCs w:val="22"/>
        </w:rPr>
      </w:pPr>
      <w:r w:rsidRPr="007F430A">
        <w:rPr>
          <w:b/>
          <w:bCs/>
          <w:szCs w:val="22"/>
        </w:rPr>
        <w:t>21. Date of MSG approval of this submission and information on how the public can access it, e.g. link to national EITI website</w:t>
      </w:r>
      <w:r w:rsidRPr="007F430A">
        <w:rPr>
          <w:szCs w:val="22"/>
        </w:rPr>
        <w:t>.</w:t>
      </w:r>
    </w:p>
    <w:tbl>
      <w:tblPr>
        <w:tblStyle w:val="TableGrid"/>
        <w:tblW w:w="0" w:type="auto"/>
        <w:tblLook w:val="04A0" w:firstRow="1" w:lastRow="0" w:firstColumn="1" w:lastColumn="0" w:noHBand="0" w:noVBand="1"/>
      </w:tblPr>
      <w:tblGrid>
        <w:gridCol w:w="9062"/>
      </w:tblGrid>
      <w:tr w:rsidR="00C6608B" w:rsidRPr="007F430A" w14:paraId="53374C8D" w14:textId="77777777" w:rsidTr="002644D9">
        <w:tc>
          <w:tcPr>
            <w:tcW w:w="9062" w:type="dxa"/>
          </w:tcPr>
          <w:p w14:paraId="0D85195C" w14:textId="5298F863" w:rsidR="00C6608B" w:rsidRPr="007F430A" w:rsidRDefault="00931450" w:rsidP="002644D9">
            <w:pPr>
              <w:rPr>
                <w:szCs w:val="22"/>
              </w:rPr>
            </w:pPr>
            <w:r w:rsidRPr="007F430A">
              <w:rPr>
                <w:szCs w:val="22"/>
              </w:rPr>
              <w:t xml:space="preserve">This </w:t>
            </w:r>
            <w:r w:rsidR="00D6501A" w:rsidRPr="007F430A">
              <w:rPr>
                <w:szCs w:val="22"/>
              </w:rPr>
              <w:t xml:space="preserve">submission </w:t>
            </w:r>
            <w:r w:rsidR="00256D09" w:rsidRPr="007F430A">
              <w:rPr>
                <w:szCs w:val="22"/>
              </w:rPr>
              <w:t>was approved</w:t>
            </w:r>
            <w:r w:rsidR="00D6501A" w:rsidRPr="007F430A">
              <w:rPr>
                <w:szCs w:val="22"/>
              </w:rPr>
              <w:t xml:space="preserve"> by the TTEITI Steering Committee at its 139</w:t>
            </w:r>
            <w:r w:rsidR="00D6501A" w:rsidRPr="007F430A">
              <w:rPr>
                <w:szCs w:val="22"/>
                <w:vertAlign w:val="superscript"/>
              </w:rPr>
              <w:t>th</w:t>
            </w:r>
            <w:r w:rsidR="00D6501A" w:rsidRPr="0022643A">
              <w:rPr>
                <w:szCs w:val="22"/>
              </w:rPr>
              <w:t xml:space="preserve"> meeting</w:t>
            </w:r>
            <w:r w:rsidR="00D6501A" w:rsidRPr="007F430A">
              <w:rPr>
                <w:szCs w:val="22"/>
              </w:rPr>
              <w:t xml:space="preserve"> </w:t>
            </w:r>
            <w:r w:rsidR="00256D09" w:rsidRPr="007F430A">
              <w:rPr>
                <w:szCs w:val="22"/>
              </w:rPr>
              <w:t>on</w:t>
            </w:r>
            <w:r w:rsidR="00D6501A" w:rsidRPr="007F430A">
              <w:rPr>
                <w:szCs w:val="22"/>
              </w:rPr>
              <w:t xml:space="preserve"> May 19, 2022 </w:t>
            </w:r>
            <w:r w:rsidR="00256D09" w:rsidRPr="007F430A">
              <w:rPr>
                <w:szCs w:val="22"/>
              </w:rPr>
              <w:t xml:space="preserve">and the public </w:t>
            </w:r>
            <w:r w:rsidR="00D6501A" w:rsidRPr="007F430A">
              <w:rPr>
                <w:szCs w:val="22"/>
              </w:rPr>
              <w:t xml:space="preserve">could access it at  </w:t>
            </w:r>
            <w:hyperlink r:id="rId40" w:history="1">
              <w:r w:rsidR="00D6501A" w:rsidRPr="007F430A">
                <w:rPr>
                  <w:rStyle w:val="Hyperlink"/>
                  <w:szCs w:val="22"/>
                </w:rPr>
                <w:t>About — TTEITI</w:t>
              </w:r>
            </w:hyperlink>
            <w:r w:rsidR="00D6501A" w:rsidRPr="0022643A">
              <w:rPr>
                <w:szCs w:val="22"/>
              </w:rPr>
              <w:t xml:space="preserve"> </w:t>
            </w:r>
          </w:p>
          <w:p w14:paraId="462A8C5A" w14:textId="77777777" w:rsidR="00C6608B" w:rsidRPr="007F430A" w:rsidRDefault="00C6608B" w:rsidP="002644D9">
            <w:pPr>
              <w:rPr>
                <w:szCs w:val="22"/>
              </w:rPr>
            </w:pPr>
          </w:p>
          <w:p w14:paraId="69573FCB" w14:textId="77777777" w:rsidR="00C6608B" w:rsidRPr="007F430A" w:rsidRDefault="00C6608B" w:rsidP="002644D9">
            <w:pPr>
              <w:rPr>
                <w:szCs w:val="22"/>
              </w:rPr>
            </w:pPr>
          </w:p>
        </w:tc>
      </w:tr>
    </w:tbl>
    <w:p w14:paraId="0B809617" w14:textId="77777777" w:rsidR="00C6608B" w:rsidRPr="007F430A" w:rsidRDefault="00C6608B" w:rsidP="00C6608B">
      <w:pPr>
        <w:rPr>
          <w:szCs w:val="22"/>
        </w:rPr>
      </w:pPr>
    </w:p>
    <w:p w14:paraId="5F0AB42A" w14:textId="77777777" w:rsidR="00C6608B" w:rsidRPr="007F430A" w:rsidRDefault="00C6608B" w:rsidP="00C6608B">
      <w:pPr>
        <w:rPr>
          <w:rFonts w:cstheme="minorHAnsi"/>
          <w:szCs w:val="22"/>
          <w:lang w:eastAsia="en-GB"/>
        </w:rPr>
      </w:pPr>
    </w:p>
    <w:p w14:paraId="58C1FF78" w14:textId="77777777" w:rsidR="00C6608B" w:rsidRPr="007F430A" w:rsidRDefault="00C6608B" w:rsidP="00C6608B">
      <w:pPr>
        <w:rPr>
          <w:szCs w:val="22"/>
        </w:rPr>
      </w:pPr>
      <w:bookmarkStart w:id="12" w:name="_GoBack"/>
      <w:bookmarkEnd w:id="12"/>
    </w:p>
    <w:p w14:paraId="5C969542" w14:textId="3BDC6ABA" w:rsidR="00C6608B" w:rsidRPr="007F430A" w:rsidRDefault="00C6608B" w:rsidP="00C6608B">
      <w:pPr>
        <w:pStyle w:val="Heading1"/>
        <w:rPr>
          <w:rFonts w:ascii="Franklin Gothic Book" w:hAnsi="Franklin Gothic Book"/>
          <w:color w:val="595959"/>
          <w:sz w:val="22"/>
          <w:szCs w:val="22"/>
        </w:rPr>
      </w:pPr>
    </w:p>
    <w:p w14:paraId="22204185" w14:textId="3FDB70A4" w:rsidR="000A7397" w:rsidRPr="0022643A" w:rsidRDefault="000A7397" w:rsidP="0089747F">
      <w:pPr>
        <w:spacing w:after="120" w:line="276" w:lineRule="auto"/>
        <w:rPr>
          <w:color w:val="595959"/>
          <w:szCs w:val="22"/>
        </w:rPr>
      </w:pPr>
    </w:p>
    <w:sectPr w:rsidR="000A7397" w:rsidRPr="0022643A" w:rsidSect="00382E14">
      <w:headerReference w:type="default" r:id="rId41"/>
      <w:footerReference w:type="default" r:id="rId42"/>
      <w:headerReference w:type="first" r:id="rId43"/>
      <w:footerReference w:type="first" r:id="rId44"/>
      <w:pgSz w:w="11901" w:h="16840"/>
      <w:pgMar w:top="1418" w:right="1411" w:bottom="1418" w:left="1418" w:header="851" w:footer="113" w:gutter="0"/>
      <w:pgNumType w:start="1"/>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B7B6" w16cex:dateUtc="2022-04-21T09:00:00Z"/>
  <w16cex:commentExtensible w16cex:durableId="260C3A61" w16cex:dateUtc="2022-04-21T18:17:00Z"/>
  <w16cex:commentExtensible w16cex:durableId="260C3A9B" w16cex:dateUtc="2022-04-21T18:18:00Z"/>
  <w16cex:commentExtensible w16cex:durableId="260C3AFD" w16cex:dateUtc="2022-04-21T18:20:00Z"/>
  <w16cex:commentExtensible w16cex:durableId="260C3B48" w16cex:dateUtc="2022-04-21T18:21:00Z"/>
  <w16cex:commentExtensible w16cex:durableId="260C3B8E" w16cex:dateUtc="2022-04-21T18:22:00Z"/>
  <w16cex:commentExtensible w16cex:durableId="260C3BB4" w16cex:dateUtc="2022-04-21T18:23:00Z"/>
  <w16cex:commentExtensible w16cex:durableId="260C3C17" w16cex:dateUtc="2022-04-21T18:24:00Z"/>
  <w16cex:commentExtensible w16cex:durableId="260C3C73" w16cex:dateUtc="2022-04-21T18:26:00Z"/>
  <w16cex:commentExtensible w16cex:durableId="260C3CDA" w16cex:dateUtc="2022-04-21T18: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AD75B" w14:textId="77777777" w:rsidR="00A06749" w:rsidRDefault="00A06749" w:rsidP="00347D13">
      <w:r>
        <w:separator/>
      </w:r>
    </w:p>
  </w:endnote>
  <w:endnote w:type="continuationSeparator" w:id="0">
    <w:p w14:paraId="3CE4CC1E" w14:textId="77777777" w:rsidR="00A06749" w:rsidRDefault="00A06749"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SemiCond">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Libre Franklin">
    <w:altName w:val="Calibri"/>
    <w:charset w:val="00"/>
    <w:family w:val="auto"/>
    <w:pitch w:val="variable"/>
    <w:sig w:usb0="A00000FF" w:usb1="4000205B" w:usb2="00000000" w:usb3="00000000" w:csb0="00000193" w:csb1="00000000"/>
  </w:font>
  <w:font w:name="Myriad Pro">
    <w:altName w:val="Segoe UI"/>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ED45" w14:textId="77777777" w:rsidR="002F5457" w:rsidRPr="00673135" w:rsidRDefault="002F5457" w:rsidP="00673135">
    <w:pPr>
      <w:pStyle w:val="Footer"/>
    </w:pPr>
    <w:r w:rsidRPr="00382E14">
      <w:rPr>
        <w:noProof/>
        <w:sz w:val="16"/>
        <w:szCs w:val="16"/>
      </w:rPr>
      <mc:AlternateContent>
        <mc:Choice Requires="wps">
          <w:drawing>
            <wp:anchor distT="0" distB="0" distL="114300" distR="114300" simplePos="0" relativeHeight="251755008" behindDoc="0" locked="0" layoutInCell="1" allowOverlap="1" wp14:anchorId="1869A01E" wp14:editId="273064F5">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D09FD53" w14:textId="77777777" w:rsidR="002F5457" w:rsidRPr="00544AAC" w:rsidRDefault="002F5457"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3481B04" w14:textId="77777777" w:rsidR="002F5457" w:rsidRDefault="002F5457" w:rsidP="00382E14"/>
                        <w:p w14:paraId="40413554" w14:textId="77777777" w:rsidR="002F5457" w:rsidRDefault="002F5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869A01E" id="_x0000_t202" coordsize="21600,21600" o:spt="202" path="m,l,21600r21600,l21600,xe">
              <v:stroke joinstyle="miter"/>
              <v:path gradientshapeok="t" o:connecttype="rect"/>
            </v:shapetype>
            <v:shape id="Text Box 3" o:spid="_x0000_s1026"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rgZgIAALoEAAAOAAAAZHJzL2Uyb0RvYy54bWysVE1v2zAMvQ/YfxB0T22nTpsYcQo3RYYB&#10;QVugHXpWZLkxZkuapNTuhv33PclJk3U7DbvIFPnEj0fS86u+bciLMLZWMqfJWUyJkFyVtXzO6ZfH&#10;1WhKiXVMlqxRUuT0VVh6tfj4Yd7pTIzVVjWlMAROpM06ndOtczqLIsu3omX2TGkhYayUaZnD1TxH&#10;pWEdvLdNNI7ji6hTptRGcWEttDeDkS6C/6oS3N1VlRWONDlFbi6cJpwbf0aLOcueDdPbmu/TYP+Q&#10;RctqiaBvrm6YY2Rn6j9ctTU3yqrKnXHVRqqqai5CDagmid9V87BlWoRaQI7VbzTZ/+eW377cG1KX&#10;6B06JVmLHj2K3pFr1ZNzT0+nbQbUgwbO9VADGkq1eq34VwtIdIIZHligPR19ZVr/RaEED9GB1zfW&#10;fRQO5WQ2mU5TmDhs6XmSXEx83Oj4WhvrPgnVEi/k1KCrIQP2srZugB4gPphUq7ppoGdZI39TwOeg&#10;EWE0htcsQyYQPdLnFNr2Yzm5HBeXk9noopgkozSJp6OiiMejm1URF3G6Ws7S65/7PA/vAw9D6Z4R&#10;1296ZOHFjSpfwZ9RwwBazVc1alkz6+6ZwcShfGyRu8NRNarLqdpLlGyV+f43vcdjEGClpMME59R+&#10;2zEjKGk+S4zILEk9qy5cUpSDizm1bE4tctcuFZYkwb5qHkSPd81BrIxqn7BshY8KE5McsXPqDuLS&#10;DXuFZeWiKAIIQ66ZW8sHzQ9j4zv12D8xo/ftdKDvVh1mnWXvujpghzYWO6eqOrT8yOp+/rAgYWj2&#10;y+w38PQeUMdfzuIXAAAA//8DAFBLAwQUAAYACAAAACEAxHjUwd4AAAAJAQAADwAAAGRycy9kb3du&#10;cmV2LnhtbEyPzU7DMBCE70h9B2srcWvtVLQkIU5VFXEFUX4kbm68TSLidRS7TXh7lhO9zWpGM98W&#10;28l14oJDaD1pSJYKBFLlbUu1hve3p0UKIkRD1nSeUMMPBtiWs5vC5NaP9IqXQ6wFl1DIjYYmxj6X&#10;MlQNOhOWvkdi7+QHZyKfQy3tYEYud51cKbWRzrTEC43pcd9g9X04Ow0fz6evzzv1Uj+6dT/6SUly&#10;mdT6dj7tHkBEnOJ/GP7wGR1KZjr6M9kgOg2LJGX0yGKdrkBwIkuyDYgji3uQZSGvPyh/AQAA//8D&#10;AFBLAQItABQABgAIAAAAIQC2gziS/gAAAOEBAAATAAAAAAAAAAAAAAAAAAAAAABbQ29udGVudF9U&#10;eXBlc10ueG1sUEsBAi0AFAAGAAgAAAAhADj9If/WAAAAlAEAAAsAAAAAAAAAAAAAAAAALwEAAF9y&#10;ZWxzLy5yZWxzUEsBAi0AFAAGAAgAAAAhAOX0CuBmAgAAugQAAA4AAAAAAAAAAAAAAAAALgIAAGRy&#10;cy9lMm9Eb2MueG1sUEsBAi0AFAAGAAgAAAAhAMR41MHeAAAACQEAAA8AAAAAAAAAAAAAAAAAwAQA&#10;AGRycy9kb3ducmV2LnhtbFBLBQYAAAAABAAEAPMAAADLBQAAAAA=&#10;" filled="f" stroked="f">
              <v:textbox>
                <w:txbxContent>
                  <w:p w14:paraId="3D09FD53" w14:textId="77777777" w:rsidR="00147BF7" w:rsidRPr="00544AAC" w:rsidRDefault="00147BF7"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3481B04" w14:textId="77777777" w:rsidR="00147BF7" w:rsidRDefault="00147BF7" w:rsidP="00382E14"/>
                  <w:p w14:paraId="40413554" w14:textId="77777777" w:rsidR="00147BF7" w:rsidRDefault="00147BF7"/>
                </w:txbxContent>
              </v:textbox>
            </v:shape>
          </w:pict>
        </mc:Fallback>
      </mc:AlternateContent>
    </w:r>
    <w:r w:rsidRPr="00382E14">
      <w:rPr>
        <w:noProof/>
        <w:sz w:val="16"/>
        <w:szCs w:val="16"/>
      </w:rPr>
      <mc:AlternateContent>
        <mc:Choice Requires="wps">
          <w:drawing>
            <wp:anchor distT="0" distB="0" distL="114300" distR="114300" simplePos="0" relativeHeight="251715072" behindDoc="0" locked="0" layoutInCell="1" allowOverlap="1" wp14:anchorId="069DDE7A" wp14:editId="716CAF21">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E6269AD" w14:textId="77777777" w:rsidR="002F5457" w:rsidRPr="00382E14" w:rsidRDefault="002F545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007CEBFE" w14:textId="77777777" w:rsidR="002F5457" w:rsidRPr="00382E14" w:rsidRDefault="002F5457" w:rsidP="00756FF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53761017" w14:textId="77777777" w:rsidR="002F5457" w:rsidRPr="00382E14" w:rsidRDefault="002F5457" w:rsidP="00756FF7">
                          <w:pPr>
                            <w:rPr>
                              <w:sz w:val="16"/>
                              <w:szCs w:val="16"/>
                            </w:rPr>
                          </w:pPr>
                        </w:p>
                        <w:p w14:paraId="7354319F" w14:textId="77777777" w:rsidR="002F5457" w:rsidRPr="00382E14" w:rsidRDefault="002F5457"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69DDE7A" id="Text Box 2" o:spid="_x0000_s1027"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kUaQIAAMEEAAAOAAAAZHJzL2Uyb0RvYy54bWysVE2P2jAQvVfqf7B8hyQsnxFhlQVRVUK7&#10;K0G1Z+M4EDXxuLYhoVX/e8cO2aXbnqpeHNvzPB/vzWR+31QlOQttCpAJjfohJUJyyAp5SOiX3bo3&#10;pcRYJjNWghQJvQhD7xcfP8xrFYsBHKHMhCboRJq4Vgk9WqviIDD8KCpm+qCERGMOumIWj/oQZJrV&#10;6L0qg0EYjoMadKY0cGEM3q5aI114/3kuuH3KcyMsKROKuVm/ar/u3Ros5iw+aKaOBb+mwf4hi4oV&#10;EoO+uloxy8hJF3+4qgquwUBu+xyqAPK84MLXgNVE4btqtkemhK8FyTHqlSbz/9zyx/OzJkWG2k0o&#10;kaxCjXaiseQBGjJw9NTKxIjaKsTZBq8R6ks1agP8q0FIcINpHxhEOzqaXFfui4USfIgKXF5Zd1E4&#10;Xo7Dwd04QhNH2zSKRndeluDttdLGfhJQEbdJqEZVfQbsvDHWxWdxB3HBJKyLsvTKlvK3CwS2N8K3&#10;RvuaxZgJbh3S5eRl+7EcTQbpZDTrjdNR1BtG4bSXpuGgt1qnYRoO18vZ8OGn4wd9du89D23pjhHb&#10;7JuW2o7HPWQXpFFD24dG8XWBJW2Ysc9MY+MhCzhM9gmXvIQ6oXDdUXIE/f1v9w6P/YBWSmps5ISa&#10;byemBSXlZ4mdMouGQ9f5/jDEqvCgby37W4s8VUvAWYlwbBX3W4e3ZbfNNVQvOHOpi4omJjnGTqjt&#10;tkvbjhfOLBdp6kHY64rZjdwq3nWPE2zXvDCtrqpaZPERupZn8TtxW2yrZnqykBdeecdzy+q1DXFO&#10;vCbXmXaDeHv2qLc/z+IXAAAA//8DAFBLAwQUAAYACAAAACEAr8SlNd8AAAAKAQAADwAAAGRycy9k&#10;b3ducmV2LnhtbEyPTU/DMAyG70j8h8hI3LakUwdLaTohEFcQ40PiljVeW9E4VZOt5d9jTuxmy49e&#10;P2+5nX0vTjjGLpCBbKlAINXBddQYeH97WmxAxGTJ2T4QGvjBCNvq8qK0hQsTveJplxrBIRQLa6BN&#10;aSikjHWL3sZlGJD4dgijt4nXsZFutBOH+16ulLqR3nbEH1o74EOL9ffu6A18PB++PnP10jz69TCF&#10;WUnyWhpzfTXf34FIOKd/GP70WR0qdtqHI7koegOLTGeM8pBvchBM6JVeg9gbuNU5yKqU5xWqXwAA&#10;AP//AwBQSwECLQAUAAYACAAAACEAtoM4kv4AAADhAQAAEwAAAAAAAAAAAAAAAAAAAAAAW0NvbnRl&#10;bnRfVHlwZXNdLnhtbFBLAQItABQABgAIAAAAIQA4/SH/1gAAAJQBAAALAAAAAAAAAAAAAAAAAC8B&#10;AABfcmVscy8ucmVsc1BLAQItABQABgAIAAAAIQCNELkUaQIAAMEEAAAOAAAAAAAAAAAAAAAAAC4C&#10;AABkcnMvZTJvRG9jLnhtbFBLAQItABQABgAIAAAAIQCvxKU13wAAAAoBAAAPAAAAAAAAAAAAAAAA&#10;AMMEAABkcnMvZG93bnJldi54bWxQSwUGAAAAAAQABADzAAAAzwUAAAAA&#10;" filled="f" stroked="f">
              <v:textbox>
                <w:txbxContent>
                  <w:p w14:paraId="5E6269AD" w14:textId="77777777" w:rsidR="00147BF7" w:rsidRPr="00382E14" w:rsidRDefault="00147BF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007CEBFE" w14:textId="77777777" w:rsidR="00147BF7" w:rsidRPr="00382E14" w:rsidRDefault="00147BF7" w:rsidP="00756FF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53761017" w14:textId="77777777" w:rsidR="00147BF7" w:rsidRPr="00382E14" w:rsidRDefault="00147BF7" w:rsidP="00756FF7">
                    <w:pPr>
                      <w:rPr>
                        <w:sz w:val="16"/>
                        <w:szCs w:val="16"/>
                      </w:rPr>
                    </w:pPr>
                  </w:p>
                  <w:p w14:paraId="7354319F" w14:textId="77777777" w:rsidR="00147BF7" w:rsidRPr="00382E14" w:rsidRDefault="00147BF7"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42C71" w14:textId="77777777" w:rsidR="002F5457" w:rsidRPr="00004E42" w:rsidRDefault="002F5457" w:rsidP="00382E14">
    <w:pPr>
      <w:spacing w:line="276" w:lineRule="auto"/>
      <w:rPr>
        <w:sz w:val="16"/>
        <w:szCs w:val="16"/>
      </w:rPr>
    </w:pPr>
    <w:r w:rsidRPr="00382E14">
      <w:rPr>
        <w:noProof/>
        <w:sz w:val="16"/>
        <w:szCs w:val="16"/>
      </w:rPr>
      <mc:AlternateContent>
        <mc:Choice Requires="wps">
          <w:drawing>
            <wp:anchor distT="0" distB="0" distL="114300" distR="114300" simplePos="0" relativeHeight="251669504" behindDoc="0" locked="0" layoutInCell="1" allowOverlap="1" wp14:anchorId="7A9ACB05" wp14:editId="1F6B8803">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35FB327" w14:textId="77777777" w:rsidR="002F5457" w:rsidRPr="00544AAC" w:rsidRDefault="002F5457"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9689BB5" w14:textId="77777777" w:rsidR="002F5457" w:rsidRDefault="002F5457" w:rsidP="00382E14"/>
                        <w:p w14:paraId="3D2A73C1" w14:textId="77777777" w:rsidR="002F5457" w:rsidRDefault="002F5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A9ACB05" id="_x0000_t202" coordsize="21600,21600" o:spt="202" path="m,l,21600r21600,l21600,xe">
              <v:stroke joinstyle="miter"/>
              <v:path gradientshapeok="t" o:connecttype="rect"/>
            </v:shapetype>
            <v:shape id="_x0000_s1028"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AaAIAAMEEAAAOAAAAZHJzL2Uyb0RvYy54bWysVNuO2jAQfa/Uf7D8Dgks14iwyoKoKqHd&#10;laDaZ+M4EDXxuLYhoVX/vWMn2aXbPlWVkBnPHM/lzEwW93VZkIvQJgcZ00E/pERIDmkujzH9st/0&#10;ZpQYy2TKCpAipldh6P3y44dFpSIxhBMUqdAEnUgTVSqmJ2tVFASGn0TJTB+UkGjMQJfM4lUfg1Sz&#10;Cr2XRTAMw0lQgU6VBi6MQe26MdKl959lgtunLDPCkiKmmJv1p/bnwZ3BcsGio2bqlPM2DfYPWZQs&#10;lxj01dWaWUbOOv/DVZlzDQYy2+dQBpBlORe+BqxmEL6rZndiSvhakByjXmky/88tf7w8a5Kn2LsJ&#10;JZKV2KO9qC15gJrcOXoqZSJE7RTibI1qhPpSjdoC/2oQEtxgmgcG0Y6OOtOl+8dCCT7EDlxfWXdR&#10;OCrH8/FsNkITR9v0bo4/Fzd4e620sZ8ElMQJMdXYVZ8Bu2yNbaAdxAWTsMmLAvUsKuRvCvTZaIQf&#10;jeY1izATFB3S5eTb9mM1ng6T6XjemyTjQW80CGe9JAmHvfUmCZNwtFnNRw8/2zy7956HpnTHiK0P&#10;tad22PF4gPSKNGpo5tAovsmxpC0z9plpHDxkAZfJPuGRFVDFFFqJkhPo73/TOzzOA1opqXCQY2q+&#10;nZkWlBSfJU7KfDBy5Fp/GWFVeNG3lsOtRZ7LFeCuDHBtFfeiw9uiEzMN5QvuXOKioolJjrFjajtx&#10;ZZv1wp3lIkk8CGddMbuVO8W76XEN29cvTKu2qxZZfIRu5Fn0rrkNtulmcraQ5b7zjueG1XYMcU/8&#10;7LQ77Rbx9u5Rb1+e5S8AAAD//wMAUEsDBBQABgAIAAAAIQB1xh1B3QAAAAoBAAAPAAAAZHJzL2Rv&#10;d25yZXYueG1sTI/BTsMwDIbvSLxDZCRuW9LCCitNJwTiOrQNkLhljddWNE7VZGt5e7wTu32Wf/3+&#10;XKwm14kTDqH1pCGZKxBIlbct1Ro+dm+zRxAhGrKm84QafjHAqry+Kkxu/UgbPG1jLbiEQm40NDH2&#10;uZShatCZMPc9Eu8OfnAm8jjU0g5m5HLXyVSpTDrTEl9oTI8vDVY/26PT8Lk+fH/dq/f61S360U9K&#10;kltKrW9vpucnEBGn+B+Gsz6rQ8lOe38kG0SnYZY8pBxlyBQDJ5ZpwrDXsMjuQJaFvHyh/AMAAP//&#10;AwBQSwECLQAUAAYACAAAACEAtoM4kv4AAADhAQAAEwAAAAAAAAAAAAAAAAAAAAAAW0NvbnRlbnRf&#10;VHlwZXNdLnhtbFBLAQItABQABgAIAAAAIQA4/SH/1gAAAJQBAAALAAAAAAAAAAAAAAAAAC8BAABf&#10;cmVscy8ucmVsc1BLAQItABQABgAIAAAAIQB+DtTAaAIAAMEEAAAOAAAAAAAAAAAAAAAAAC4CAABk&#10;cnMvZTJvRG9jLnhtbFBLAQItABQABgAIAAAAIQB1xh1B3QAAAAoBAAAPAAAAAAAAAAAAAAAAAMIE&#10;AABkcnMvZG93bnJldi54bWxQSwUGAAAAAAQABADzAAAAzAUAAAAA&#10;" filled="f" stroked="f">
              <v:textbox>
                <w:txbxContent>
                  <w:p w14:paraId="335FB327" w14:textId="77777777" w:rsidR="00147BF7" w:rsidRPr="00544AAC" w:rsidRDefault="00147BF7"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9689BB5" w14:textId="77777777" w:rsidR="00147BF7" w:rsidRDefault="00147BF7" w:rsidP="00382E14"/>
                  <w:p w14:paraId="3D2A73C1" w14:textId="77777777" w:rsidR="00147BF7" w:rsidRDefault="00147BF7"/>
                </w:txbxContent>
              </v:textbox>
            </v:shape>
          </w:pict>
        </mc:Fallback>
      </mc:AlternateContent>
    </w:r>
    <w:r w:rsidRPr="00382E14">
      <w:rPr>
        <w:noProof/>
        <w:sz w:val="16"/>
        <w:szCs w:val="16"/>
      </w:rPr>
      <mc:AlternateContent>
        <mc:Choice Requires="wps">
          <w:drawing>
            <wp:anchor distT="0" distB="0" distL="114300" distR="114300" simplePos="0" relativeHeight="251660288" behindDoc="0" locked="0" layoutInCell="1" allowOverlap="1" wp14:anchorId="7B4DA50A" wp14:editId="6CC17B8C">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378E51C" w14:textId="77777777" w:rsidR="002F5457" w:rsidRPr="00382E14" w:rsidRDefault="002F5457"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5FFA4540" w14:textId="77777777" w:rsidR="002F5457" w:rsidRPr="00382E14" w:rsidRDefault="002F5457"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1F3F9F8A" w14:textId="77777777" w:rsidR="002F5457" w:rsidRPr="00382E14" w:rsidRDefault="002F5457"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B4DA50A" id="_x0000_s1029"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UagIAAMEEAAAOAAAAZHJzL2Uyb0RvYy54bWysVE2P2jAQvVfqf7B8hyR8LUSEVRZEVQnt&#10;rgTVno3jQNTE49qGZFv1v3fsEJZue6p6cWzP83y8N5P5fVOV5Cy0KUAmNOqHlAjJISvkIaFfduve&#10;lBJjmcxYCVIk9FUYer/4+GFeq1gM4AhlJjRBJ9LEtUro0VoVB4HhR1Ex0wclJBpz0BWzeNSHINOs&#10;Ru9VGQzCcBLUoDOlgQtj8HbVGunC+89zwe1TnhthSZlQzM36Vft179ZgMWfxQTN1LPglDfYPWVSs&#10;kBj06mrFLCMnXfzhqiq4BgO57XOoAsjzggtfA1YThe+q2R6ZEr4WJMeoK03m/7nlj+dnTYoMtRtT&#10;IlmFGu1EY8kDNGTg6KmViRG1VYizDV4j1Jdq1Ab4V4OQ4AbTPjCIdnQ0ua7cFwsl+BAVeL2y7qJw&#10;vJyEg+EkQhNH2zSKxkMvS/D2WmljPwmoiNskVKOqPgN23hjr4rO4g7hgEtZFWXplS/nbBQLbG+Fb&#10;o33NYswEtw7pcvKy/ViO7wbp3XjWm6TjqDeKwmkvTcNBb7VOwzQcrZez0cNPxw/67N57HtrSHSO2&#10;2Tee2mHH4x6yV6RRQ9uHRvF1gSVtmLHPTGPjIQs4TPYJl7yEOqFw2VFyBP39b/cOj/2AVkpqbOSE&#10;mm8npgUl5WeJnTKLRiPX+f4wwqrwoG8t+1uLPFVLwFmJcGwV91uHt2W3zTVULzhzqYuKJiY5xk6o&#10;7bZL244XziwXaepB2OuK2Y3cKt51jxNs17wwrS6qWmTxEbqWZ/E7cVtsq2Z6spAXXnnHc8vqpQ1x&#10;Trwml5l2g3h79qi3P8/iFwAAAP//AwBQSwMEFAAGAAgAAAAhAO3ug+rfAAAACgEAAA8AAABkcnMv&#10;ZG93bnJldi54bWxMj8FOwzAMhu9IvENkJG5b0lEoKU0nBOIK2mCTuGWt11Y0TtVka3l7zAlutvzp&#10;9/cX69n14oxj6DwZSJYKBFLl644aAx/vL4t7ECFaqm3vCQ18Y4B1eXlR2Lz2E23wvI2N4BAKuTXQ&#10;xjjkUoaqRWfD0g9IfDv60dnI69jIerQTh7terpS6k852xB9aO+BTi9XX9uQM7F6Pn/tUvTXP7naY&#10;/KwkOS2Nub6aHx9ARJzjHwy/+qwOJTsd/InqIHoDiyRbMcpDqjUIJvRNkoI4GMgyDbIs5P8K5Q8A&#10;AAD//wMAUEsBAi0AFAAGAAgAAAAhALaDOJL+AAAA4QEAABMAAAAAAAAAAAAAAAAAAAAAAFtDb250&#10;ZW50X1R5cGVzXS54bWxQSwECLQAUAAYACAAAACEAOP0h/9YAAACUAQAACwAAAAAAAAAAAAAAAAAv&#10;AQAAX3JlbHMvLnJlbHNQSwECLQAUAAYACAAAACEA4/p6FGoCAADBBAAADgAAAAAAAAAAAAAAAAAu&#10;AgAAZHJzL2Uyb0RvYy54bWxQSwECLQAUAAYACAAAACEA7e6D6t8AAAAKAQAADwAAAAAAAAAAAAAA&#10;AADEBAAAZHJzL2Rvd25yZXYueG1sUEsFBgAAAAAEAAQA8wAAANAFAAAAAA==&#10;" filled="f" stroked="f">
              <v:textbox>
                <w:txbxContent>
                  <w:p w14:paraId="5378E51C" w14:textId="77777777" w:rsidR="00147BF7" w:rsidRPr="00382E14" w:rsidRDefault="00147BF7"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5FFA4540" w14:textId="77777777" w:rsidR="00147BF7" w:rsidRPr="00382E14" w:rsidRDefault="00147BF7"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1F3F9F8A" w14:textId="77777777" w:rsidR="00147BF7" w:rsidRPr="00382E14" w:rsidRDefault="00147BF7"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41DD2" w14:textId="77777777" w:rsidR="00A06749" w:rsidRDefault="00A06749" w:rsidP="00347D13">
      <w:r>
        <w:separator/>
      </w:r>
    </w:p>
  </w:footnote>
  <w:footnote w:type="continuationSeparator" w:id="0">
    <w:p w14:paraId="617E898D" w14:textId="77777777" w:rsidR="00A06749" w:rsidRDefault="00A06749" w:rsidP="0034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CB221" w14:textId="01713B4E" w:rsidR="002F5457" w:rsidRPr="00C6608B" w:rsidRDefault="002F5457" w:rsidP="00C6608B">
    <w:pPr>
      <w:pStyle w:val="HeaderDate"/>
    </w:pPr>
    <w:r w:rsidRPr="00F271DC">
      <mc:AlternateContent>
        <mc:Choice Requires="wps">
          <w:drawing>
            <wp:anchor distT="0" distB="0" distL="114300" distR="114300" simplePos="0" relativeHeight="251757056" behindDoc="0" locked="0" layoutInCell="1" allowOverlap="1" wp14:anchorId="5F69870E" wp14:editId="6E6F0438">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D412C70"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mc:AlternateContent>
        <mc:Choice Requires="wps">
          <w:drawing>
            <wp:anchor distT="0" distB="0" distL="114300" distR="114300" simplePos="0" relativeHeight="251659264" behindDoc="0" locked="0" layoutInCell="1" allowOverlap="1" wp14:anchorId="3401CAE9" wp14:editId="43D21C25">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FF3E73C"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mc:AlternateContent>
        <mc:Choice Requires="wpg">
          <w:drawing>
            <wp:anchor distT="0" distB="0" distL="114300" distR="114300" simplePos="0" relativeHeight="251668480" behindDoc="0" locked="0" layoutInCell="1" allowOverlap="1" wp14:anchorId="6E8E8690" wp14:editId="6CCD3B52">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F89FFA4"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sidRPr="00602C7E">
      <w:rPr>
        <w:rFonts w:ascii="Myriad Pro" w:hAnsi="Myriad Pro"/>
        <w:lang w:eastAsia="ja-JP"/>
      </w:rPr>
      <w:tab/>
    </w:r>
    <w:r>
      <w:rPr>
        <w:rFonts w:ascii="Myriad Pro" w:hAnsi="Myriad Pro"/>
        <w:lang w:eastAsia="ja-JP"/>
      </w:rPr>
      <w:br/>
    </w:r>
    <w:r>
      <w:t>Template</w:t>
    </w:r>
    <w:r>
      <w:br/>
    </w:r>
    <w:r w:rsidRPr="00C6608B">
      <w:t>MSG review of the outcomes and impact of EITI</w:t>
    </w:r>
    <w:r>
      <w:br/>
    </w:r>
    <w:r w:rsidRPr="00F271DC">
      <mc:AlternateContent>
        <mc:Choice Requires="wps">
          <w:drawing>
            <wp:anchor distT="0" distB="0" distL="114300" distR="114300" simplePos="0" relativeHeight="251759104" behindDoc="0" locked="0" layoutInCell="1" allowOverlap="1" wp14:anchorId="20335D5D" wp14:editId="6D917CE4">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49A9B5A8" id="Rectangle 5" o:spid="_x0000_s1026"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fillcolor="white [3212]" stroked="f" strokeweight="1pt"/>
          </w:pict>
        </mc:Fallback>
      </mc:AlternateContent>
    </w:r>
    <w:r w:rsidRPr="00F271DC">
      <w:tab/>
    </w:r>
    <w:r w:rsidRPr="00F271DC">
      <w:tab/>
    </w:r>
    <w:r>
      <w:t>December 2020</w:t>
    </w:r>
    <w:r>
      <w:rPr>
        <w:lang w:eastAsia="ja-JP"/>
      </w:rPr>
      <w:br/>
    </w:r>
    <w:r>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B40" w14:textId="77777777" w:rsidR="002F5457" w:rsidRPr="006867A1" w:rsidRDefault="002F5457" w:rsidP="006867A1">
    <w:pPr>
      <w:pStyle w:val="Style1"/>
    </w:pPr>
    <w:r>
      <w:drawing>
        <wp:anchor distT="0" distB="0" distL="114300" distR="114300" simplePos="0" relativeHeight="251664384" behindDoc="0" locked="0" layoutInCell="1" allowOverlap="1" wp14:anchorId="718789C2" wp14:editId="77BCD295">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07395" w14:textId="39D92D1D" w:rsidR="002F5457" w:rsidRPr="006867A1" w:rsidRDefault="002F5457" w:rsidP="006867A1">
    <w:pPr>
      <w:pStyle w:val="HeaderDate"/>
    </w:pPr>
    <w:r>
      <w:t>Template</w:t>
    </w:r>
    <w:r>
      <w:br/>
    </w:r>
    <w:r w:rsidRPr="00C6608B">
      <w:t>MSG review of the outcomes and impact of EITI</w:t>
    </w:r>
    <w:r>
      <w:br/>
    </w:r>
    <w:r w:rsidRPr="00F271DC">
      <mc:AlternateContent>
        <mc:Choice Requires="wps">
          <w:drawing>
            <wp:anchor distT="0" distB="0" distL="114300" distR="114300" simplePos="0" relativeHeight="251658240" behindDoc="0" locked="0" layoutInCell="1" allowOverlap="1" wp14:anchorId="21E788C1" wp14:editId="4A7619DF">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0EE8EA4C"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rsidRPr="00F271DC">
      <w:tab/>
    </w:r>
    <w:r w:rsidRPr="00F271DC">
      <w:tab/>
    </w:r>
    <w:r>
      <w:t>December 2020</w:t>
    </w:r>
  </w:p>
  <w:p w14:paraId="630EFC9C" w14:textId="77777777" w:rsidR="002F5457" w:rsidRPr="00664C86" w:rsidRDefault="002F5457" w:rsidP="006867A1">
    <w:pPr>
      <w:tabs>
        <w:tab w:val="right" w:pos="9498"/>
      </w:tabs>
      <w:rPr>
        <w:rFonts w:ascii="Franklin Gothic Medium" w:hAnsi="Franklin Gothic Medium"/>
      </w:rPr>
    </w:pPr>
    <w:r>
      <w:rPr>
        <w:noProof/>
      </w:rPr>
      <mc:AlternateContent>
        <mc:Choice Requires="wpg">
          <w:drawing>
            <wp:anchor distT="0" distB="0" distL="114300" distR="114300" simplePos="0" relativeHeight="251652096" behindDoc="0" locked="0" layoutInCell="1" allowOverlap="1" wp14:anchorId="2FCB5DF9" wp14:editId="27E0EAC2">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7B3AE3F9"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3DA64C5"/>
    <w:multiLevelType w:val="hybridMultilevel"/>
    <w:tmpl w:val="66461FFC"/>
    <w:lvl w:ilvl="0" w:tplc="60FE7E64">
      <w:start w:val="5"/>
      <w:numFmt w:val="bullet"/>
      <w:lvlText w:val="-"/>
      <w:lvlJc w:val="left"/>
      <w:pPr>
        <w:ind w:left="760" w:hanging="360"/>
      </w:pPr>
      <w:rPr>
        <w:rFonts w:ascii="Myriad Pro SemiCond" w:eastAsia="Times New Roman" w:hAnsi="Myriad Pro SemiCond" w:cs="Calibr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5F191EA3"/>
    <w:multiLevelType w:val="hybridMultilevel"/>
    <w:tmpl w:val="2416B5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F05720"/>
    <w:multiLevelType w:val="multilevel"/>
    <w:tmpl w:val="6D96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3B6DEA"/>
    <w:multiLevelType w:val="multilevel"/>
    <w:tmpl w:val="00308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6BA7E41"/>
    <w:multiLevelType w:val="multilevel"/>
    <w:tmpl w:val="CC6A83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A86592"/>
    <w:multiLevelType w:val="hybridMultilevel"/>
    <w:tmpl w:val="BA70FA30"/>
    <w:lvl w:ilvl="0" w:tplc="0414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2"/>
  </w:num>
  <w:num w:numId="5">
    <w:abstractNumId w:val="16"/>
  </w:num>
  <w:num w:numId="6">
    <w:abstractNumId w:val="6"/>
  </w:num>
  <w:num w:numId="7">
    <w:abstractNumId w:val="1"/>
  </w:num>
  <w:num w:numId="8">
    <w:abstractNumId w:val="0"/>
  </w:num>
  <w:num w:numId="9">
    <w:abstractNumId w:val="8"/>
  </w:num>
  <w:num w:numId="10">
    <w:abstractNumId w:val="14"/>
  </w:num>
  <w:num w:numId="11">
    <w:abstractNumId w:val="9"/>
  </w:num>
  <w:num w:numId="12">
    <w:abstractNumId w:val="5"/>
  </w:num>
  <w:num w:numId="13">
    <w:abstractNumId w:val="4"/>
  </w:num>
  <w:num w:numId="14">
    <w:abstractNumId w:val="17"/>
  </w:num>
  <w:num w:numId="15">
    <w:abstractNumId w:val="12"/>
  </w:num>
  <w:num w:numId="16">
    <w:abstractNumId w:val="11"/>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wMDU0MzQ3MTE2MTZS0lEKTi0uzszPAykwrAUAhSXMPSwAAAA="/>
  </w:docVars>
  <w:rsids>
    <w:rsidRoot w:val="00C6608B"/>
    <w:rsid w:val="00003D18"/>
    <w:rsid w:val="00004E42"/>
    <w:rsid w:val="00021163"/>
    <w:rsid w:val="00023469"/>
    <w:rsid w:val="00034195"/>
    <w:rsid w:val="00036065"/>
    <w:rsid w:val="000407C9"/>
    <w:rsid w:val="00042E3B"/>
    <w:rsid w:val="00043A4E"/>
    <w:rsid w:val="0005238C"/>
    <w:rsid w:val="0005353E"/>
    <w:rsid w:val="00061764"/>
    <w:rsid w:val="00066F89"/>
    <w:rsid w:val="00080956"/>
    <w:rsid w:val="00082E9C"/>
    <w:rsid w:val="0008407F"/>
    <w:rsid w:val="000943BF"/>
    <w:rsid w:val="000A7397"/>
    <w:rsid w:val="000B1ED6"/>
    <w:rsid w:val="000C1743"/>
    <w:rsid w:val="000C29AF"/>
    <w:rsid w:val="000C46B4"/>
    <w:rsid w:val="000C515B"/>
    <w:rsid w:val="000D034C"/>
    <w:rsid w:val="000D1D27"/>
    <w:rsid w:val="000D4ACE"/>
    <w:rsid w:val="000D4D5F"/>
    <w:rsid w:val="000E1823"/>
    <w:rsid w:val="000E283F"/>
    <w:rsid w:val="000E3492"/>
    <w:rsid w:val="000F22A9"/>
    <w:rsid w:val="000F2D79"/>
    <w:rsid w:val="000F3B49"/>
    <w:rsid w:val="000F548A"/>
    <w:rsid w:val="000F6578"/>
    <w:rsid w:val="00100945"/>
    <w:rsid w:val="00101C02"/>
    <w:rsid w:val="00105263"/>
    <w:rsid w:val="00107137"/>
    <w:rsid w:val="001106E1"/>
    <w:rsid w:val="001118A5"/>
    <w:rsid w:val="00116695"/>
    <w:rsid w:val="00132D0F"/>
    <w:rsid w:val="0013728E"/>
    <w:rsid w:val="00140927"/>
    <w:rsid w:val="00144F78"/>
    <w:rsid w:val="00147BF7"/>
    <w:rsid w:val="001532DA"/>
    <w:rsid w:val="0016038F"/>
    <w:rsid w:val="0016736F"/>
    <w:rsid w:val="00170452"/>
    <w:rsid w:val="001B125E"/>
    <w:rsid w:val="001B2F20"/>
    <w:rsid w:val="001B6A73"/>
    <w:rsid w:val="001C031B"/>
    <w:rsid w:val="001C61FF"/>
    <w:rsid w:val="001D3F75"/>
    <w:rsid w:val="001D605F"/>
    <w:rsid w:val="001E29A8"/>
    <w:rsid w:val="001E58AF"/>
    <w:rsid w:val="001E6900"/>
    <w:rsid w:val="001F0C21"/>
    <w:rsid w:val="001F6FBD"/>
    <w:rsid w:val="00202866"/>
    <w:rsid w:val="0020556F"/>
    <w:rsid w:val="002072AF"/>
    <w:rsid w:val="0020746F"/>
    <w:rsid w:val="002135BC"/>
    <w:rsid w:val="00215533"/>
    <w:rsid w:val="00222E83"/>
    <w:rsid w:val="00225645"/>
    <w:rsid w:val="0022643A"/>
    <w:rsid w:val="0022732E"/>
    <w:rsid w:val="002400B2"/>
    <w:rsid w:val="00244E71"/>
    <w:rsid w:val="00245F7A"/>
    <w:rsid w:val="00246008"/>
    <w:rsid w:val="0024656C"/>
    <w:rsid w:val="00256D09"/>
    <w:rsid w:val="00260157"/>
    <w:rsid w:val="002644D9"/>
    <w:rsid w:val="00264DE7"/>
    <w:rsid w:val="002750C9"/>
    <w:rsid w:val="002823F7"/>
    <w:rsid w:val="0028325F"/>
    <w:rsid w:val="00283F46"/>
    <w:rsid w:val="00287264"/>
    <w:rsid w:val="0029553D"/>
    <w:rsid w:val="002A0ED1"/>
    <w:rsid w:val="002B36FB"/>
    <w:rsid w:val="002C05EE"/>
    <w:rsid w:val="002E4413"/>
    <w:rsid w:val="002E7107"/>
    <w:rsid w:val="002F414E"/>
    <w:rsid w:val="002F5457"/>
    <w:rsid w:val="003025A9"/>
    <w:rsid w:val="00312F53"/>
    <w:rsid w:val="0031515E"/>
    <w:rsid w:val="00315525"/>
    <w:rsid w:val="00321569"/>
    <w:rsid w:val="00325690"/>
    <w:rsid w:val="00325B6B"/>
    <w:rsid w:val="003336BC"/>
    <w:rsid w:val="00333F2F"/>
    <w:rsid w:val="00335622"/>
    <w:rsid w:val="00340B29"/>
    <w:rsid w:val="00345D77"/>
    <w:rsid w:val="00346D11"/>
    <w:rsid w:val="00347D13"/>
    <w:rsid w:val="0035143F"/>
    <w:rsid w:val="0035382C"/>
    <w:rsid w:val="00360A53"/>
    <w:rsid w:val="003637D2"/>
    <w:rsid w:val="003703D8"/>
    <w:rsid w:val="003809C3"/>
    <w:rsid w:val="00382E14"/>
    <w:rsid w:val="00395705"/>
    <w:rsid w:val="003A35BB"/>
    <w:rsid w:val="003A674A"/>
    <w:rsid w:val="003C37CC"/>
    <w:rsid w:val="003C44A1"/>
    <w:rsid w:val="003C6A43"/>
    <w:rsid w:val="003D569F"/>
    <w:rsid w:val="003E35D0"/>
    <w:rsid w:val="003F26A5"/>
    <w:rsid w:val="00400BF3"/>
    <w:rsid w:val="00401F3A"/>
    <w:rsid w:val="00402046"/>
    <w:rsid w:val="00414702"/>
    <w:rsid w:val="00427288"/>
    <w:rsid w:val="004278A2"/>
    <w:rsid w:val="0043145C"/>
    <w:rsid w:val="004358B1"/>
    <w:rsid w:val="00456C9F"/>
    <w:rsid w:val="004613F1"/>
    <w:rsid w:val="0047086D"/>
    <w:rsid w:val="00477F2E"/>
    <w:rsid w:val="00494E22"/>
    <w:rsid w:val="00496DD4"/>
    <w:rsid w:val="004C30D1"/>
    <w:rsid w:val="004C71E4"/>
    <w:rsid w:val="004C7EB5"/>
    <w:rsid w:val="004D61BA"/>
    <w:rsid w:val="004D77E8"/>
    <w:rsid w:val="004E13EE"/>
    <w:rsid w:val="004E1B7D"/>
    <w:rsid w:val="004E6433"/>
    <w:rsid w:val="004E784F"/>
    <w:rsid w:val="00507A0E"/>
    <w:rsid w:val="00512FA4"/>
    <w:rsid w:val="00513E29"/>
    <w:rsid w:val="00536AAD"/>
    <w:rsid w:val="00540AC1"/>
    <w:rsid w:val="00541603"/>
    <w:rsid w:val="00544D5C"/>
    <w:rsid w:val="00562807"/>
    <w:rsid w:val="00567CE8"/>
    <w:rsid w:val="0057072D"/>
    <w:rsid w:val="00577DF5"/>
    <w:rsid w:val="005860F9"/>
    <w:rsid w:val="00592ACB"/>
    <w:rsid w:val="005A246B"/>
    <w:rsid w:val="005A7FF1"/>
    <w:rsid w:val="005B1677"/>
    <w:rsid w:val="005B2BF3"/>
    <w:rsid w:val="005D032A"/>
    <w:rsid w:val="005D1C01"/>
    <w:rsid w:val="005D2FC1"/>
    <w:rsid w:val="005D3C74"/>
    <w:rsid w:val="005D4B99"/>
    <w:rsid w:val="005D5F3C"/>
    <w:rsid w:val="005E0CDB"/>
    <w:rsid w:val="005E131E"/>
    <w:rsid w:val="005E6219"/>
    <w:rsid w:val="005E7AA9"/>
    <w:rsid w:val="005F247D"/>
    <w:rsid w:val="005F33C9"/>
    <w:rsid w:val="005F768E"/>
    <w:rsid w:val="00627E14"/>
    <w:rsid w:val="006418CB"/>
    <w:rsid w:val="00650EBC"/>
    <w:rsid w:val="0066060B"/>
    <w:rsid w:val="00664C86"/>
    <w:rsid w:val="00673135"/>
    <w:rsid w:val="006759B6"/>
    <w:rsid w:val="006767FD"/>
    <w:rsid w:val="006800FD"/>
    <w:rsid w:val="00681372"/>
    <w:rsid w:val="00681DB4"/>
    <w:rsid w:val="00684332"/>
    <w:rsid w:val="006867A1"/>
    <w:rsid w:val="0069742B"/>
    <w:rsid w:val="006A358E"/>
    <w:rsid w:val="006A5448"/>
    <w:rsid w:val="006C05F9"/>
    <w:rsid w:val="006C2653"/>
    <w:rsid w:val="006C2C3F"/>
    <w:rsid w:val="006C453B"/>
    <w:rsid w:val="006D0C9A"/>
    <w:rsid w:val="006D5FD7"/>
    <w:rsid w:val="006E05DF"/>
    <w:rsid w:val="006E79B9"/>
    <w:rsid w:val="00715D42"/>
    <w:rsid w:val="00721C74"/>
    <w:rsid w:val="0072667C"/>
    <w:rsid w:val="00732315"/>
    <w:rsid w:val="007358D9"/>
    <w:rsid w:val="007375BE"/>
    <w:rsid w:val="007426B3"/>
    <w:rsid w:val="00742B7F"/>
    <w:rsid w:val="00747AB8"/>
    <w:rsid w:val="00752028"/>
    <w:rsid w:val="00756FF7"/>
    <w:rsid w:val="00762D06"/>
    <w:rsid w:val="00766738"/>
    <w:rsid w:val="00777D3A"/>
    <w:rsid w:val="007912D2"/>
    <w:rsid w:val="0079697A"/>
    <w:rsid w:val="007A0816"/>
    <w:rsid w:val="007A3CEC"/>
    <w:rsid w:val="007A7150"/>
    <w:rsid w:val="007C45B6"/>
    <w:rsid w:val="007D3F99"/>
    <w:rsid w:val="007E6FC6"/>
    <w:rsid w:val="007F02A0"/>
    <w:rsid w:val="007F430A"/>
    <w:rsid w:val="007F5296"/>
    <w:rsid w:val="0082295D"/>
    <w:rsid w:val="00822DEE"/>
    <w:rsid w:val="00826581"/>
    <w:rsid w:val="00830272"/>
    <w:rsid w:val="00834D89"/>
    <w:rsid w:val="008371D1"/>
    <w:rsid w:val="0084431C"/>
    <w:rsid w:val="00846879"/>
    <w:rsid w:val="00851C27"/>
    <w:rsid w:val="0086133C"/>
    <w:rsid w:val="00861F31"/>
    <w:rsid w:val="00873C3A"/>
    <w:rsid w:val="00877BA9"/>
    <w:rsid w:val="00880ACF"/>
    <w:rsid w:val="008820B8"/>
    <w:rsid w:val="00883581"/>
    <w:rsid w:val="00895EC9"/>
    <w:rsid w:val="0089747F"/>
    <w:rsid w:val="008A6674"/>
    <w:rsid w:val="008C121B"/>
    <w:rsid w:val="008C2A18"/>
    <w:rsid w:val="008C32AA"/>
    <w:rsid w:val="008C50E8"/>
    <w:rsid w:val="008D094B"/>
    <w:rsid w:val="008D1767"/>
    <w:rsid w:val="008D62EF"/>
    <w:rsid w:val="008D7153"/>
    <w:rsid w:val="008F0F01"/>
    <w:rsid w:val="008F3257"/>
    <w:rsid w:val="008F4EC4"/>
    <w:rsid w:val="008F6621"/>
    <w:rsid w:val="00900CB8"/>
    <w:rsid w:val="00900D4F"/>
    <w:rsid w:val="009069FE"/>
    <w:rsid w:val="00915086"/>
    <w:rsid w:val="0091509E"/>
    <w:rsid w:val="00921341"/>
    <w:rsid w:val="00921734"/>
    <w:rsid w:val="009248CB"/>
    <w:rsid w:val="0092711C"/>
    <w:rsid w:val="00931450"/>
    <w:rsid w:val="009563CD"/>
    <w:rsid w:val="009603AB"/>
    <w:rsid w:val="00961106"/>
    <w:rsid w:val="00961F89"/>
    <w:rsid w:val="00962BD5"/>
    <w:rsid w:val="00971124"/>
    <w:rsid w:val="00982141"/>
    <w:rsid w:val="009842D9"/>
    <w:rsid w:val="00995906"/>
    <w:rsid w:val="009A14D0"/>
    <w:rsid w:val="009B4280"/>
    <w:rsid w:val="009B582E"/>
    <w:rsid w:val="009C0A13"/>
    <w:rsid w:val="009C0A5D"/>
    <w:rsid w:val="009D011E"/>
    <w:rsid w:val="009D3BE8"/>
    <w:rsid w:val="009F07B7"/>
    <w:rsid w:val="009F64B7"/>
    <w:rsid w:val="00A01F18"/>
    <w:rsid w:val="00A0365E"/>
    <w:rsid w:val="00A06749"/>
    <w:rsid w:val="00A12F28"/>
    <w:rsid w:val="00A31604"/>
    <w:rsid w:val="00A45C85"/>
    <w:rsid w:val="00A628EC"/>
    <w:rsid w:val="00A629EB"/>
    <w:rsid w:val="00A6542F"/>
    <w:rsid w:val="00A65E81"/>
    <w:rsid w:val="00A77791"/>
    <w:rsid w:val="00A77B53"/>
    <w:rsid w:val="00A81D85"/>
    <w:rsid w:val="00A837DF"/>
    <w:rsid w:val="00A85830"/>
    <w:rsid w:val="00A876DE"/>
    <w:rsid w:val="00A92325"/>
    <w:rsid w:val="00A968C0"/>
    <w:rsid w:val="00A96992"/>
    <w:rsid w:val="00A9768F"/>
    <w:rsid w:val="00AB163A"/>
    <w:rsid w:val="00AB5376"/>
    <w:rsid w:val="00AC7187"/>
    <w:rsid w:val="00AC75FF"/>
    <w:rsid w:val="00AD0E4D"/>
    <w:rsid w:val="00AD40CD"/>
    <w:rsid w:val="00AD5042"/>
    <w:rsid w:val="00AD6C43"/>
    <w:rsid w:val="00AD7E87"/>
    <w:rsid w:val="00AF6076"/>
    <w:rsid w:val="00AF6166"/>
    <w:rsid w:val="00B0604E"/>
    <w:rsid w:val="00B10E80"/>
    <w:rsid w:val="00B129CE"/>
    <w:rsid w:val="00B261C6"/>
    <w:rsid w:val="00B310F7"/>
    <w:rsid w:val="00B32A04"/>
    <w:rsid w:val="00B34FC2"/>
    <w:rsid w:val="00B37030"/>
    <w:rsid w:val="00B402EB"/>
    <w:rsid w:val="00B43146"/>
    <w:rsid w:val="00B44CD0"/>
    <w:rsid w:val="00B53313"/>
    <w:rsid w:val="00B5773C"/>
    <w:rsid w:val="00B60A7F"/>
    <w:rsid w:val="00B61C74"/>
    <w:rsid w:val="00B75B96"/>
    <w:rsid w:val="00B8017D"/>
    <w:rsid w:val="00B80F77"/>
    <w:rsid w:val="00B9021F"/>
    <w:rsid w:val="00B928EC"/>
    <w:rsid w:val="00B9336E"/>
    <w:rsid w:val="00B975D8"/>
    <w:rsid w:val="00BB1D1C"/>
    <w:rsid w:val="00BC24DF"/>
    <w:rsid w:val="00BC6641"/>
    <w:rsid w:val="00BC7611"/>
    <w:rsid w:val="00BD1FB6"/>
    <w:rsid w:val="00BD421E"/>
    <w:rsid w:val="00BD4A8C"/>
    <w:rsid w:val="00BE05C9"/>
    <w:rsid w:val="00BE6E02"/>
    <w:rsid w:val="00C060FA"/>
    <w:rsid w:val="00C15728"/>
    <w:rsid w:val="00C17D16"/>
    <w:rsid w:val="00C24A91"/>
    <w:rsid w:val="00C277CE"/>
    <w:rsid w:val="00C314D6"/>
    <w:rsid w:val="00C36CC3"/>
    <w:rsid w:val="00C379F0"/>
    <w:rsid w:val="00C43C5C"/>
    <w:rsid w:val="00C4775C"/>
    <w:rsid w:val="00C62573"/>
    <w:rsid w:val="00C6608B"/>
    <w:rsid w:val="00C66B06"/>
    <w:rsid w:val="00C729B8"/>
    <w:rsid w:val="00C72BE2"/>
    <w:rsid w:val="00C73EFB"/>
    <w:rsid w:val="00C748E9"/>
    <w:rsid w:val="00C821E7"/>
    <w:rsid w:val="00C8225F"/>
    <w:rsid w:val="00C828F8"/>
    <w:rsid w:val="00C954C2"/>
    <w:rsid w:val="00C96BED"/>
    <w:rsid w:val="00CB6A05"/>
    <w:rsid w:val="00CC5065"/>
    <w:rsid w:val="00CD0A35"/>
    <w:rsid w:val="00CE1263"/>
    <w:rsid w:val="00CE5E83"/>
    <w:rsid w:val="00CE7B39"/>
    <w:rsid w:val="00CF319B"/>
    <w:rsid w:val="00CF7FB7"/>
    <w:rsid w:val="00D051DE"/>
    <w:rsid w:val="00D0616A"/>
    <w:rsid w:val="00D13898"/>
    <w:rsid w:val="00D14475"/>
    <w:rsid w:val="00D20E38"/>
    <w:rsid w:val="00D217DA"/>
    <w:rsid w:val="00D25175"/>
    <w:rsid w:val="00D33512"/>
    <w:rsid w:val="00D35D90"/>
    <w:rsid w:val="00D41D68"/>
    <w:rsid w:val="00D42696"/>
    <w:rsid w:val="00D428A7"/>
    <w:rsid w:val="00D6370C"/>
    <w:rsid w:val="00D6501A"/>
    <w:rsid w:val="00D709B0"/>
    <w:rsid w:val="00D876DF"/>
    <w:rsid w:val="00DA0A4B"/>
    <w:rsid w:val="00DB48A1"/>
    <w:rsid w:val="00DB54AF"/>
    <w:rsid w:val="00DC649C"/>
    <w:rsid w:val="00DD7E07"/>
    <w:rsid w:val="00DF30CD"/>
    <w:rsid w:val="00DF6665"/>
    <w:rsid w:val="00E05644"/>
    <w:rsid w:val="00E169C6"/>
    <w:rsid w:val="00E42D3C"/>
    <w:rsid w:val="00E56146"/>
    <w:rsid w:val="00E6191B"/>
    <w:rsid w:val="00E73193"/>
    <w:rsid w:val="00E90621"/>
    <w:rsid w:val="00E90C39"/>
    <w:rsid w:val="00E94A4F"/>
    <w:rsid w:val="00E965BC"/>
    <w:rsid w:val="00EA1850"/>
    <w:rsid w:val="00EA5B4B"/>
    <w:rsid w:val="00EE244E"/>
    <w:rsid w:val="00EE359E"/>
    <w:rsid w:val="00EF13C0"/>
    <w:rsid w:val="00F0414D"/>
    <w:rsid w:val="00F147AF"/>
    <w:rsid w:val="00F20B33"/>
    <w:rsid w:val="00F271DC"/>
    <w:rsid w:val="00F2759E"/>
    <w:rsid w:val="00F411CC"/>
    <w:rsid w:val="00F46215"/>
    <w:rsid w:val="00F56C6B"/>
    <w:rsid w:val="00F56F20"/>
    <w:rsid w:val="00F71CF7"/>
    <w:rsid w:val="00F76DAD"/>
    <w:rsid w:val="00F80344"/>
    <w:rsid w:val="00F82344"/>
    <w:rsid w:val="00FA6C6A"/>
    <w:rsid w:val="00FA7848"/>
    <w:rsid w:val="00FB2AC4"/>
    <w:rsid w:val="00FB6118"/>
    <w:rsid w:val="00FC707C"/>
    <w:rsid w:val="00FC73C3"/>
    <w:rsid w:val="00FD34A5"/>
    <w:rsid w:val="00FD73E6"/>
    <w:rsid w:val="00FF1E94"/>
    <w:rsid w:val="00FF3683"/>
    <w:rsid w:val="00FF3D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F647D"/>
  <w15:chartTrackingRefBased/>
  <w15:docId w15:val="{724A0305-EE01-4593-98C0-58D7FBD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Arial"/>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7A1"/>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rsid w:val="00347D13"/>
    <w:pPr>
      <w:tabs>
        <w:tab w:val="center" w:pos="4320"/>
        <w:tab w:val="right" w:pos="8640"/>
      </w:tabs>
    </w:pPr>
  </w:style>
  <w:style w:type="character" w:customStyle="1" w:styleId="FooterChar">
    <w:name w:val="Footer Char"/>
    <w:link w:val="Footer"/>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uiPriority w:val="9"/>
    <w:semiHidden/>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qFormat/>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C660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608B"/>
    <w:pPr>
      <w:spacing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6608B"/>
    <w:pPr>
      <w:spacing w:before="0" w:after="100" w:line="276" w:lineRule="auto"/>
    </w:pPr>
    <w:rPr>
      <w:rFonts w:eastAsiaTheme="minorHAnsi" w:cstheme="minorBidi"/>
      <w:szCs w:val="22"/>
      <w:lang w:val="en-GB"/>
    </w:rPr>
  </w:style>
  <w:style w:type="paragraph" w:styleId="TOC2">
    <w:name w:val="toc 2"/>
    <w:basedOn w:val="Normal"/>
    <w:next w:val="Normal"/>
    <w:autoRedefine/>
    <w:uiPriority w:val="39"/>
    <w:unhideWhenUsed/>
    <w:rsid w:val="00C6608B"/>
    <w:pPr>
      <w:spacing w:before="0" w:after="100" w:line="276" w:lineRule="auto"/>
      <w:ind w:left="220"/>
    </w:pPr>
    <w:rPr>
      <w:rFonts w:eastAsiaTheme="minorHAnsi" w:cstheme="minorBidi"/>
      <w:szCs w:val="22"/>
      <w:lang w:val="en-GB"/>
    </w:rPr>
  </w:style>
  <w:style w:type="paragraph" w:customStyle="1" w:styleId="Normal1">
    <w:name w:val="Normal1"/>
    <w:basedOn w:val="Normal"/>
    <w:uiPriority w:val="1"/>
    <w:unhideWhenUsed/>
    <w:qFormat/>
    <w:rsid w:val="004C30D1"/>
    <w:pPr>
      <w:spacing w:before="0" w:after="160" w:line="259" w:lineRule="auto"/>
    </w:pPr>
    <w:rPr>
      <w:rFonts w:ascii="Calibr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 w:id="548106561">
      <w:bodyDiv w:val="1"/>
      <w:marLeft w:val="0"/>
      <w:marRight w:val="0"/>
      <w:marTop w:val="0"/>
      <w:marBottom w:val="0"/>
      <w:divBdr>
        <w:top w:val="none" w:sz="0" w:space="0" w:color="auto"/>
        <w:left w:val="none" w:sz="0" w:space="0" w:color="auto"/>
        <w:bottom w:val="none" w:sz="0" w:space="0" w:color="auto"/>
        <w:right w:val="none" w:sz="0" w:space="0" w:color="auto"/>
      </w:divBdr>
    </w:div>
    <w:div w:id="855115362">
      <w:bodyDiv w:val="1"/>
      <w:marLeft w:val="0"/>
      <w:marRight w:val="0"/>
      <w:marTop w:val="0"/>
      <w:marBottom w:val="0"/>
      <w:divBdr>
        <w:top w:val="none" w:sz="0" w:space="0" w:color="auto"/>
        <w:left w:val="none" w:sz="0" w:space="0" w:color="auto"/>
        <w:bottom w:val="none" w:sz="0" w:space="0" w:color="auto"/>
        <w:right w:val="none" w:sz="0" w:space="0" w:color="auto"/>
      </w:divBdr>
    </w:div>
    <w:div w:id="858157869">
      <w:bodyDiv w:val="1"/>
      <w:marLeft w:val="0"/>
      <w:marRight w:val="0"/>
      <w:marTop w:val="0"/>
      <w:marBottom w:val="0"/>
      <w:divBdr>
        <w:top w:val="none" w:sz="0" w:space="0" w:color="auto"/>
        <w:left w:val="none" w:sz="0" w:space="0" w:color="auto"/>
        <w:bottom w:val="none" w:sz="0" w:space="0" w:color="auto"/>
        <w:right w:val="none" w:sz="0" w:space="0" w:color="auto"/>
      </w:divBdr>
    </w:div>
    <w:div w:id="1048534653">
      <w:bodyDiv w:val="1"/>
      <w:marLeft w:val="0"/>
      <w:marRight w:val="0"/>
      <w:marTop w:val="0"/>
      <w:marBottom w:val="0"/>
      <w:divBdr>
        <w:top w:val="none" w:sz="0" w:space="0" w:color="auto"/>
        <w:left w:val="none" w:sz="0" w:space="0" w:color="auto"/>
        <w:bottom w:val="none" w:sz="0" w:space="0" w:color="auto"/>
        <w:right w:val="none" w:sz="0" w:space="0" w:color="auto"/>
      </w:divBdr>
    </w:div>
    <w:div w:id="1187409473">
      <w:bodyDiv w:val="1"/>
      <w:marLeft w:val="0"/>
      <w:marRight w:val="0"/>
      <w:marTop w:val="0"/>
      <w:marBottom w:val="0"/>
      <w:divBdr>
        <w:top w:val="none" w:sz="0" w:space="0" w:color="auto"/>
        <w:left w:val="none" w:sz="0" w:space="0" w:color="auto"/>
        <w:bottom w:val="none" w:sz="0" w:space="0" w:color="auto"/>
        <w:right w:val="none" w:sz="0" w:space="0" w:color="auto"/>
      </w:divBdr>
    </w:div>
    <w:div w:id="1356226488">
      <w:bodyDiv w:val="1"/>
      <w:marLeft w:val="0"/>
      <w:marRight w:val="0"/>
      <w:marTop w:val="0"/>
      <w:marBottom w:val="0"/>
      <w:divBdr>
        <w:top w:val="none" w:sz="0" w:space="0" w:color="auto"/>
        <w:left w:val="none" w:sz="0" w:space="0" w:color="auto"/>
        <w:bottom w:val="none" w:sz="0" w:space="0" w:color="auto"/>
        <w:right w:val="none" w:sz="0" w:space="0" w:color="auto"/>
      </w:divBdr>
    </w:div>
    <w:div w:id="1705209278">
      <w:bodyDiv w:val="1"/>
      <w:marLeft w:val="0"/>
      <w:marRight w:val="0"/>
      <w:marTop w:val="0"/>
      <w:marBottom w:val="0"/>
      <w:divBdr>
        <w:top w:val="none" w:sz="0" w:space="0" w:color="auto"/>
        <w:left w:val="none" w:sz="0" w:space="0" w:color="auto"/>
        <w:bottom w:val="none" w:sz="0" w:space="0" w:color="auto"/>
        <w:right w:val="none" w:sz="0" w:space="0" w:color="auto"/>
      </w:divBdr>
    </w:div>
    <w:div w:id="1745758209">
      <w:bodyDiv w:val="1"/>
      <w:marLeft w:val="0"/>
      <w:marRight w:val="0"/>
      <w:marTop w:val="0"/>
      <w:marBottom w:val="0"/>
      <w:divBdr>
        <w:top w:val="none" w:sz="0" w:space="0" w:color="auto"/>
        <w:left w:val="none" w:sz="0" w:space="0" w:color="auto"/>
        <w:bottom w:val="none" w:sz="0" w:space="0" w:color="auto"/>
        <w:right w:val="none" w:sz="0" w:space="0" w:color="auto"/>
      </w:divBdr>
    </w:div>
    <w:div w:id="18001509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planning.gov.tt/sites/default/files/Report%20of%20the%20Roadmap%20to%20Recovery%20Committee_1st_.pdf" TargetMode="External"/><Relationship Id="rId18" Type="http://schemas.openxmlformats.org/officeDocument/2006/relationships/hyperlink" Target="https://www.tteiti.com/open-data" TargetMode="External"/><Relationship Id="rId26" Type="http://schemas.openxmlformats.org/officeDocument/2006/relationships/hyperlink" Target="https://www.caribois.org/2020/11/tteiti-advocates-for-greater-data-transparency-in-the-management-of-the-extractive-sector/" TargetMode="External"/><Relationship Id="rId39" Type="http://schemas.openxmlformats.org/officeDocument/2006/relationships/hyperlink" Target="https://drive.google.com/file/d/13o_ZQvjVfSSxDqvB9MYdflfrdLxRu2eL/view?usp=sharingXMOjUrNOb/edit?usp=sharing&amp;ouid=117889892059199627337&amp;rtpof=true&amp;sd=true" TargetMode="External"/><Relationship Id="rId21" Type="http://schemas.openxmlformats.org/officeDocument/2006/relationships/hyperlink" Target="https://ffostt.com/2021/03/12/is-17-5b-ttd-a-planned-leakage/" TargetMode="External"/><Relationship Id="rId34" Type="http://schemas.openxmlformats.org/officeDocument/2006/relationships/hyperlink" Target="https://stories.tteiti.com/budget-guide/index.html" TargetMode="External"/><Relationship Id="rId42" Type="http://schemas.openxmlformats.org/officeDocument/2006/relationships/footer" Target="footer1.xml"/><Relationship Id="rId47"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teiti.com/about" TargetMode="External"/><Relationship Id="rId29" Type="http://schemas.openxmlformats.org/officeDocument/2006/relationships/hyperlink" Target="https://newsday.co.tt/2021/11/12/owtu-to-hold-government-to-account-as-soe-comes-to-an-e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tieiti.com" TargetMode="External"/><Relationship Id="rId24" Type="http://schemas.openxmlformats.org/officeDocument/2006/relationships/hyperlink" Target="https://www.caribois.org/2021/02/irresponsible-quarrying-hurting-communities-forests-wildlife-in-tt/" TargetMode="External"/><Relationship Id="rId32" Type="http://schemas.openxmlformats.org/officeDocument/2006/relationships/hyperlink" Target="https://newsday.co.tt/2020/11/13/roget-blasts-unc-leader-over-patriotic-claims/" TargetMode="External"/><Relationship Id="rId37" Type="http://schemas.openxmlformats.org/officeDocument/2006/relationships/hyperlink" Target="https://drive.google.com/file/d/13o_ZQvjVfSSxDqvB9MYdflfrdLxRu2eL/view?usp=sharingXMOjUrNOb/edit?usp=sharing&amp;ouid=117889892059199627337&amp;rtpof=true&amp;sd=true" TargetMode="External"/><Relationship Id="rId40" Type="http://schemas.openxmlformats.org/officeDocument/2006/relationships/hyperlink" Target="https://www.tteiti.com/about"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nmtt.live/manifesto/recovery-and-the-way-forward-for-the-next-5-years/energy-industries/" TargetMode="External"/><Relationship Id="rId23" Type="http://schemas.openxmlformats.org/officeDocument/2006/relationships/hyperlink" Target="https://www.guardian.co.tt/news/postcovid-tt--part-v-6.2.1130378.0d8b18f782" TargetMode="External"/><Relationship Id="rId28" Type="http://schemas.openxmlformats.org/officeDocument/2006/relationships/hyperlink" Target="https://www.facebook.com/OilfieldsWorkersTradeUnion/videos/2879239705740172" TargetMode="External"/><Relationship Id="rId36" Type="http://schemas.openxmlformats.org/officeDocument/2006/relationships/hyperlink" Target="https://docs.google.com/document/d/1szQhWtg9XG9rSU6yaxC44IBXMOjUrNOb/edit?usp=sharing&amp;ouid=117889892059199627337&amp;rtpof=true&amp;sd=true" TargetMode="External"/><Relationship Id="rId10" Type="http://schemas.openxmlformats.org/officeDocument/2006/relationships/endnotes" Target="endnotes.xml"/><Relationship Id="rId19" Type="http://schemas.openxmlformats.org/officeDocument/2006/relationships/hyperlink" Target="http://www.tteiti.com" TargetMode="External"/><Relationship Id="rId31" Type="http://schemas.openxmlformats.org/officeDocument/2006/relationships/hyperlink" Target="https://newsday.co.tt/2020/05/09/owtu-transparency-accountability-must-be-kept-on-track/"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gov.tt/wp-content/uploads/2014/01/Green-Paper-on-Minerals-Policy.pdf" TargetMode="External"/><Relationship Id="rId22" Type="http://schemas.openxmlformats.org/officeDocument/2006/relationships/hyperlink" Target="https://www.facebook.com/100064406571171/videos/3090432841277677" TargetMode="External"/><Relationship Id="rId27" Type="http://schemas.openxmlformats.org/officeDocument/2006/relationships/hyperlink" Target="https://www.caribois.org/2020/05/transparency-and-accountability-of-tt-extractive-sector-demands-more-data/" TargetMode="External"/><Relationship Id="rId30" Type="http://schemas.openxmlformats.org/officeDocument/2006/relationships/hyperlink" Target="https://www.guardian.co.tt/news/report-mining-sector-owes-government-194m-in-outstanding-royalties-6.2.1411626.99b3202149" TargetMode="External"/><Relationship Id="rId35" Type="http://schemas.openxmlformats.org/officeDocument/2006/relationships/hyperlink" Target="https://tteitidata.my.stacker.app/home"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planning.gov.tt/sites/default/files/Vision%202030-%20The%20National%20Development%20Strategy%20of%20Trinidad%20and%20Tobago%202016-2030.pdf" TargetMode="External"/><Relationship Id="rId17" Type="http://schemas.openxmlformats.org/officeDocument/2006/relationships/hyperlink" Target="https://ttrevenueauthority.com/" TargetMode="External"/><Relationship Id="rId25" Type="http://schemas.openxmlformats.org/officeDocument/2006/relationships/hyperlink" Target="https://www.caribois.org/2020/05/policy-needs-people-to-come-alive/" TargetMode="External"/><Relationship Id="rId33" Type="http://schemas.openxmlformats.org/officeDocument/2006/relationships/hyperlink" Target="https://www.tteiti.com/mining-webinar" TargetMode="External"/><Relationship Id="rId38" Type="http://schemas.openxmlformats.org/officeDocument/2006/relationships/hyperlink" Target="https://docs.google.com/document/d/1szQhWtg9XG9rSU6yaxC44IBXMOjUrNOb/edit?usp=sharing&amp;ouid=117889892059199627337&amp;rtpof=true&amp;sd=true" TargetMode="External"/><Relationship Id="rId46" Type="http://schemas.openxmlformats.org/officeDocument/2006/relationships/theme" Target="theme/theme1.xml"/><Relationship Id="rId20" Type="http://schemas.openxmlformats.org/officeDocument/2006/relationships/hyperlink" Target="https://trinidadexpress.com/opinion/letters/christmas-wish-list/article_fcd54d68-457c-11eb-b748-9bfd78e78d4d.html"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lcf76f155ced4ddcb4097134ff3c332f xmlns="e5f84dc2-8d0a-4b0b-b04b-22a5c9c54e51">
      <Terms xmlns="http://schemas.microsoft.com/office/infopath/2007/PartnerControls"/>
    </lcf76f155ced4ddcb4097134ff3c332f>
    <TaxCatchAll xmlns="84cc2e55-354e-4d6d-a994-23520a6368b5" xsi:nil="true"/>
    <Status xmlns="e5f84dc2-8d0a-4b0b-b04b-22a5c9c54e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F73AF77C8D2488DC5D676815B6B40" ma:contentTypeVersion="14" ma:contentTypeDescription="Create a new document." ma:contentTypeScope="" ma:versionID="a9bdbde6e79013de75f258446182eb77">
  <xsd:schema xmlns:xsd="http://www.w3.org/2001/XMLSchema" xmlns:xs="http://www.w3.org/2001/XMLSchema" xmlns:p="http://schemas.microsoft.com/office/2006/metadata/properties" xmlns:ns2="e5f84dc2-8d0a-4b0b-b04b-22a5c9c54e51" xmlns:ns3="84cc2e55-354e-4d6d-a994-23520a6368b5" targetNamespace="http://schemas.microsoft.com/office/2006/metadata/properties" ma:root="true" ma:fieldsID="c81c2a6f42463a378b582c57fe1e7fe9" ns2:_="" ns3:_="">
    <xsd:import namespace="e5f84dc2-8d0a-4b0b-b04b-22a5c9c54e51"/>
    <xsd:import namespace="84cc2e55-354e-4d6d-a994-23520a636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84dc2-8d0a-4b0b-b04b-22a5c9c54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Ongoing"/>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cc2e55-354e-4d6d-a994-23520a6368b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d29c57f-cd86-4771-916f-1d2b325681ea}" ma:internalName="TaxCatchAll" ma:showField="CatchAllData" ma:web="84cc2e55-354e-4d6d-a994-23520a6368b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3.xml><?xml version="1.0" encoding="utf-8"?>
<ds:datastoreItem xmlns:ds="http://schemas.openxmlformats.org/officeDocument/2006/customXml" ds:itemID="{0A54A698-7974-46DB-B229-39A980EBEA32}"/>
</file>

<file path=customXml/itemProps4.xml><?xml version="1.0" encoding="utf-8"?>
<ds:datastoreItem xmlns:ds="http://schemas.openxmlformats.org/officeDocument/2006/customXml" ds:itemID="{4CCEF306-0B0A-4B5A-B332-406B85FA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Template>
  <TotalTime>75</TotalTime>
  <Pages>23</Pages>
  <Words>7821</Words>
  <Characters>44582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52299</CharactersWithSpaces>
  <SharedDoc>false</SharedDoc>
  <HLinks>
    <vt:vector size="12" baseType="variant">
      <vt:variant>
        <vt:i4>4784216</vt:i4>
      </vt:variant>
      <vt:variant>
        <vt:i4>3</vt:i4>
      </vt:variant>
      <vt:variant>
        <vt:i4>0</vt:i4>
      </vt:variant>
      <vt:variant>
        <vt:i4>5</vt:i4>
      </vt:variant>
      <vt:variant>
        <vt:lpwstr>http://www.eiti.org/</vt:lpwstr>
      </vt:variant>
      <vt:variant>
        <vt:lpwstr/>
      </vt:variant>
      <vt:variant>
        <vt:i4>6226046</vt:i4>
      </vt:variant>
      <vt:variant>
        <vt:i4>0</vt:i4>
      </vt:variant>
      <vt:variant>
        <vt:i4>0</vt:i4>
      </vt:variant>
      <vt:variant>
        <vt:i4>5</vt:i4>
      </vt:variant>
      <vt:variant>
        <vt:lpwstr>mailto:pvalverde@eiti.org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Sherwin Long</cp:lastModifiedBy>
  <cp:revision>8</cp:revision>
  <cp:lastPrinted>2019-04-29T12:09:00Z</cp:lastPrinted>
  <dcterms:created xsi:type="dcterms:W3CDTF">2022-07-12T19:21:00Z</dcterms:created>
  <dcterms:modified xsi:type="dcterms:W3CDTF">2022-07-12T20:36:00Z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0x010100AB0F73AF77C8D2488DC5D676815B6B40</vt:lpwstr>
  </property>
  <property fmtid="{D5CDD505-2E9C-101B-9397-08002B2CF9AE}" pid="3" name="_DocHome">
    <vt:i4>1660446864</vt:i4>
  </property>
  <property fmtid="{D5CDD505-2E9C-101B-9397-08002B2CF9AE}" pid="4" name="Order">
    <vt:r8>280900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