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rPr>
          <w:rFonts w:cs="Arial"/>
          <w:b/>
          <w:sz w:val="40"/>
          <w:szCs w:val="24"/>
          <w:lang w:eastAsia="fr-FR"/>
        </w:rPr>
        <w:id w:val="1026463"/>
        <w:docPartObj>
          <w:docPartGallery w:val="Cover Pages"/>
          <w:docPartUnique/>
        </w:docPartObj>
      </w:sdtPr>
      <w:sdtEndPr/>
      <w:sdtContent>
        <w:p w:rsidR="00D47C79" w:rsidRDefault="00D47C79" w:rsidP="00D47C79">
          <w:pPr>
            <w:pStyle w:val="NoSpacing"/>
            <w:ind w:left="7080" w:right="-142"/>
            <w:rPr>
              <w:noProof/>
              <w:sz w:val="16"/>
              <w:lang w:eastAsia="fr-FR"/>
            </w:rPr>
          </w:pPr>
          <w:r w:rsidRPr="007400CA">
            <w:rPr>
              <w:rFonts w:ascii="Candara" w:eastAsia="Arial Unicode MS" w:hAnsi="Candara" w:cs="Arial Unicode MS"/>
              <w:b/>
              <w:bCs/>
              <w:noProof/>
              <w:sz w:val="18"/>
              <w:lang w:val="en-US"/>
              <w14:shadow w14:blurRad="50800" w14:dist="38100" w14:dir="2700000" w14:sx="100000" w14:sy="100000" w14:kx="0" w14:ky="0" w14:algn="tl">
                <w14:srgbClr w14:val="000000">
                  <w14:alpha w14:val="60000"/>
                </w14:srgbClr>
              </w14:shadow>
            </w:rPr>
            <w:drawing>
              <wp:anchor distT="36576" distB="36576" distL="36576" distR="36576" simplePos="0" relativeHeight="251670528" behindDoc="0" locked="0" layoutInCell="1" allowOverlap="1">
                <wp:simplePos x="0" y="0"/>
                <wp:positionH relativeFrom="column">
                  <wp:posOffset>-172720</wp:posOffset>
                </wp:positionH>
                <wp:positionV relativeFrom="paragraph">
                  <wp:posOffset>-106680</wp:posOffset>
                </wp:positionV>
                <wp:extent cx="1756410" cy="946150"/>
                <wp:effectExtent l="19050" t="0" r="0" b="0"/>
                <wp:wrapNone/>
                <wp:docPr id="1" name="Image 10"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9" cstate="print"/>
                        <a:srcRect/>
                        <a:stretch>
                          <a:fillRect/>
                        </a:stretch>
                      </pic:blipFill>
                      <pic:spPr bwMode="auto">
                        <a:xfrm>
                          <a:off x="0" y="0"/>
                          <a:ext cx="1756410" cy="946150"/>
                        </a:xfrm>
                        <a:prstGeom prst="rect">
                          <a:avLst/>
                        </a:prstGeom>
                        <a:noFill/>
                        <a:ln w="0" algn="in">
                          <a:noFill/>
                          <a:miter lim="800000"/>
                          <a:headEnd/>
                          <a:tailEnd/>
                        </a:ln>
                      </pic:spPr>
                    </pic:pic>
                  </a:graphicData>
                </a:graphic>
              </wp:anchor>
            </w:drawing>
          </w:r>
          <w:r w:rsidRPr="007400CA">
            <w:rPr>
              <w:rFonts w:ascii="Candara" w:eastAsia="Arial Unicode MS" w:hAnsi="Candara" w:cs="Arial Unicode MS"/>
              <w:b/>
              <w:bCs/>
              <w:sz w:val="18"/>
              <w14:shadow w14:blurRad="50800" w14:dist="38100" w14:dir="2700000" w14:sx="100000" w14:sy="100000" w14:kx="0" w14:ky="0" w14:algn="tl">
                <w14:srgbClr w14:val="000000">
                  <w14:alpha w14:val="60000"/>
                </w14:srgbClr>
              </w14:shadow>
            </w:rPr>
            <w:t>REPUBLIQUE</w:t>
          </w:r>
          <w:r w:rsidRPr="0038163B">
            <w:rPr>
              <w:b/>
              <w:bCs/>
              <w:sz w:val="14"/>
            </w:rPr>
            <w:t xml:space="preserve"> </w:t>
          </w:r>
          <w:r w:rsidRPr="007400CA">
            <w:rPr>
              <w:rFonts w:ascii="Candara" w:eastAsia="Arial Unicode MS" w:hAnsi="Candara" w:cs="Arial Unicode MS"/>
              <w:b/>
              <w:bCs/>
              <w:sz w:val="18"/>
              <w14:shadow w14:blurRad="50800" w14:dist="38100" w14:dir="2700000" w14:sx="100000" w14:sy="100000" w14:kx="0" w14:ky="0" w14:algn="tl">
                <w14:srgbClr w14:val="000000">
                  <w14:alpha w14:val="60000"/>
                </w14:srgbClr>
              </w14:shadow>
            </w:rPr>
            <w:t>TOGOLAISE</w:t>
          </w:r>
        </w:p>
        <w:p w:rsidR="00D47C79" w:rsidRPr="003E78B2" w:rsidRDefault="00D47C79" w:rsidP="00D47C79">
          <w:pPr>
            <w:pStyle w:val="NoSpacing"/>
            <w:rPr>
              <w:noProof/>
              <w:sz w:val="2"/>
              <w:lang w:eastAsia="fr-FR"/>
            </w:rPr>
          </w:pPr>
        </w:p>
        <w:p w:rsidR="00D47C79" w:rsidRPr="003E78B2" w:rsidRDefault="007400CA" w:rsidP="00D47C79">
          <w:pPr>
            <w:ind w:left="2124" w:firstLine="428"/>
            <w:rPr>
              <w:rFonts w:ascii="Kunstler Script" w:hAnsi="Kunstler Script"/>
              <w:b/>
              <w:sz w:val="4"/>
              <w:szCs w:val="18"/>
            </w:rPr>
          </w:pPr>
          <w:r>
            <w:rPr>
              <w:rFonts w:ascii="Calibri" w:hAnsi="Calibri"/>
              <w:i/>
              <w:noProof/>
              <w:sz w:val="4"/>
              <w:szCs w:val="22"/>
              <w:lang w:eastAsia="fr-FR"/>
            </w:rPr>
            <w:pict>
              <v:shape id="_x0000_s1029" type="#_x0000_t75" style="position:absolute;left:0;text-align:left;margin-left:382.15pt;margin-top:1.8pt;width:58.65pt;height:76.05pt;z-index:251669504">
                <v:imagedata r:id="rId10" o:title=""/>
              </v:shape>
              <o:OLEObject Type="Embed" ProgID="CorelDRAW.Graphic.13" ShapeID="_x0000_s1029" DrawAspect="Content" ObjectID="_1339063316" r:id="rId11"/>
            </w:pict>
          </w:r>
          <w:r w:rsidR="00D47C79" w:rsidRPr="007400CA">
            <w:rPr>
              <w:rFonts w:ascii="Candara" w:hAnsi="Candara" w:cs="Calibri"/>
              <w:i/>
              <w:color w:val="E36C0A"/>
              <w:sz w:val="40"/>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p>
        <w:p w:rsidR="00D47C79" w:rsidRDefault="00D47C79" w:rsidP="00D47C79">
          <w:pPr>
            <w:pStyle w:val="NoSpacing"/>
            <w:rPr>
              <w:noProof/>
              <w:sz w:val="16"/>
              <w:lang w:eastAsia="fr-FR"/>
            </w:rPr>
          </w:pPr>
        </w:p>
        <w:p w:rsidR="00D47C79" w:rsidRDefault="00D47C79" w:rsidP="00D47C79">
          <w:pPr>
            <w:pStyle w:val="NoSpacing"/>
            <w:rPr>
              <w:noProof/>
              <w:sz w:val="16"/>
              <w:lang w:eastAsia="fr-FR"/>
            </w:rPr>
          </w:pPr>
        </w:p>
        <w:p w:rsidR="00D47C79" w:rsidRDefault="00D47C79" w:rsidP="00D47C79">
          <w:pPr>
            <w:rPr>
              <w:b/>
              <w:sz w:val="28"/>
            </w:rPr>
          </w:pPr>
        </w:p>
        <w:p w:rsidR="00D47C79" w:rsidRDefault="00D47C79" w:rsidP="00D47C79">
          <w:pPr>
            <w:rPr>
              <w:b/>
              <w:sz w:val="22"/>
              <w:szCs w:val="22"/>
            </w:rPr>
          </w:pPr>
          <w:r>
            <w:rPr>
              <w:b/>
              <w:sz w:val="22"/>
              <w:szCs w:val="22"/>
            </w:rPr>
            <w:t>CONSEIL NATIONAL DE SUPERVISION</w:t>
          </w:r>
        </w:p>
        <w:p w:rsidR="00D47C79" w:rsidRDefault="00D47C79" w:rsidP="00D47C79">
          <w:pPr>
            <w:rPr>
              <w:b/>
              <w:sz w:val="22"/>
              <w:szCs w:val="22"/>
            </w:rPr>
          </w:pPr>
          <w:r>
            <w:rPr>
              <w:b/>
              <w:sz w:val="22"/>
              <w:szCs w:val="22"/>
            </w:rPr>
            <w:t xml:space="preserve">                        ________</w:t>
          </w:r>
        </w:p>
        <w:p w:rsidR="00D47C79" w:rsidRPr="00AB76DC" w:rsidRDefault="00D47C79" w:rsidP="00D47C79">
          <w:pPr>
            <w:rPr>
              <w:b/>
              <w:sz w:val="10"/>
              <w:szCs w:val="10"/>
            </w:rPr>
          </w:pPr>
          <w:r>
            <w:rPr>
              <w:b/>
              <w:sz w:val="22"/>
              <w:szCs w:val="22"/>
            </w:rPr>
            <w:t xml:space="preserve">       </w:t>
          </w:r>
        </w:p>
        <w:p w:rsidR="00D47C79" w:rsidRDefault="00D47C79" w:rsidP="00D47C79">
          <w:pPr>
            <w:rPr>
              <w:b/>
              <w:sz w:val="22"/>
              <w:szCs w:val="22"/>
            </w:rPr>
          </w:pPr>
          <w:r>
            <w:rPr>
              <w:b/>
              <w:sz w:val="22"/>
              <w:szCs w:val="22"/>
            </w:rPr>
            <w:t xml:space="preserve">        COMITE DE PILOTAGE</w:t>
          </w:r>
        </w:p>
        <w:p w:rsidR="00D47C79" w:rsidRDefault="00D47C79" w:rsidP="00D47C79">
          <w:pPr>
            <w:rPr>
              <w:b/>
              <w:sz w:val="22"/>
              <w:szCs w:val="22"/>
            </w:rPr>
          </w:pPr>
          <w:r>
            <w:rPr>
              <w:b/>
              <w:sz w:val="22"/>
              <w:szCs w:val="22"/>
            </w:rPr>
            <w:t xml:space="preserve">                      _________</w:t>
          </w:r>
        </w:p>
        <w:p w:rsidR="00D47C79" w:rsidRPr="00AB76DC" w:rsidRDefault="00D47C79" w:rsidP="00D47C79">
          <w:pPr>
            <w:rPr>
              <w:b/>
              <w:sz w:val="10"/>
              <w:szCs w:val="10"/>
            </w:rPr>
          </w:pPr>
          <w:r>
            <w:rPr>
              <w:b/>
              <w:sz w:val="22"/>
              <w:szCs w:val="22"/>
            </w:rPr>
            <w:t xml:space="preserve">  </w:t>
          </w:r>
        </w:p>
        <w:p w:rsidR="00D47C79" w:rsidRPr="00E33968" w:rsidRDefault="00D47C79" w:rsidP="00D47C79">
          <w:pPr>
            <w:rPr>
              <w:b/>
              <w:sz w:val="22"/>
              <w:szCs w:val="22"/>
            </w:rPr>
          </w:pPr>
          <w:r>
            <w:rPr>
              <w:b/>
              <w:sz w:val="22"/>
              <w:szCs w:val="22"/>
            </w:rPr>
            <w:t xml:space="preserve">      SECRETARIAT TECHNIQUE</w:t>
          </w:r>
        </w:p>
        <w:p w:rsidR="00D47C79" w:rsidRDefault="00D47C79" w:rsidP="00D47C79">
          <w:pPr>
            <w:pStyle w:val="NoSpacing"/>
            <w:ind w:left="7080" w:right="-142"/>
            <w:rPr>
              <w:b/>
              <w:sz w:val="28"/>
            </w:rPr>
          </w:pPr>
          <w:r w:rsidRPr="007400CA">
            <w:rPr>
              <w:rFonts w:ascii="Candara" w:hAnsi="Candara" w:cs="Calibri"/>
              <w:i/>
              <w:color w:val="E36C0A"/>
              <w:sz w:val="40"/>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D47C79" w:rsidRDefault="00D47C79" w:rsidP="00D47C79">
          <w:pPr>
            <w:jc w:val="center"/>
            <w:rPr>
              <w:b/>
              <w:sz w:val="28"/>
            </w:rPr>
          </w:pPr>
        </w:p>
        <w:p w:rsidR="00D47C79" w:rsidRDefault="00D47C79" w:rsidP="00D47C79">
          <w:pPr>
            <w:jc w:val="center"/>
            <w:rPr>
              <w:b/>
              <w:sz w:val="28"/>
            </w:rPr>
          </w:pPr>
        </w:p>
        <w:p w:rsidR="00D47C79" w:rsidRDefault="00D47C79" w:rsidP="00D47C79">
          <w:pPr>
            <w:tabs>
              <w:tab w:val="left" w:pos="720"/>
              <w:tab w:val="right" w:leader="dot" w:pos="8640"/>
            </w:tabs>
            <w:jc w:val="center"/>
            <w:rPr>
              <w:b/>
              <w:sz w:val="28"/>
            </w:rPr>
          </w:pPr>
          <w:r>
            <w:rPr>
              <w:b/>
              <w:sz w:val="28"/>
            </w:rPr>
            <w:t>DEMANDE DE PROPOSITIONS</w:t>
          </w:r>
        </w:p>
        <w:p w:rsidR="00D47C79" w:rsidRPr="00B55A65" w:rsidRDefault="00D47C79" w:rsidP="00D47C79">
          <w:pPr>
            <w:jc w:val="center"/>
            <w:rPr>
              <w:i/>
              <w:sz w:val="28"/>
            </w:rPr>
          </w:pPr>
          <w:r w:rsidRPr="00B55A65">
            <w:rPr>
              <w:b/>
              <w:sz w:val="28"/>
            </w:rPr>
            <w:t>DP N°: 001/ITIE-TOGO/CNS/CP/ST/2014</w:t>
          </w:r>
        </w:p>
        <w:p w:rsidR="00D47C79" w:rsidRPr="00B55A65" w:rsidRDefault="00D47C79" w:rsidP="00D47C79">
          <w:pPr>
            <w:jc w:val="center"/>
            <w:rPr>
              <w:b/>
              <w:sz w:val="40"/>
              <w:szCs w:val="40"/>
            </w:rPr>
          </w:pPr>
        </w:p>
        <w:p w:rsidR="00D47C79" w:rsidRPr="00B55A65" w:rsidRDefault="00D47C79" w:rsidP="00D47C79">
          <w:pPr>
            <w:jc w:val="center"/>
            <w:rPr>
              <w:b/>
              <w:sz w:val="28"/>
            </w:rPr>
          </w:pPr>
        </w:p>
        <w:p w:rsidR="00D47C79" w:rsidRPr="00B55A65" w:rsidRDefault="00D47C79" w:rsidP="00D47C79">
          <w:pPr>
            <w:jc w:val="center"/>
          </w:pPr>
        </w:p>
        <w:p w:rsidR="00D47C79" w:rsidRPr="00502D0C" w:rsidRDefault="00D47C79" w:rsidP="00D47C79">
          <w:pPr>
            <w:jc w:val="center"/>
            <w:rPr>
              <w:b/>
              <w:sz w:val="28"/>
              <w:szCs w:val="28"/>
            </w:rPr>
          </w:pPr>
          <w:r>
            <w:rPr>
              <w:rFonts w:cs="Arial"/>
              <w:b/>
              <w:sz w:val="40"/>
              <w:szCs w:val="24"/>
              <w:lang w:eastAsia="fr-FR"/>
            </w:rPr>
            <w:t>INITIATIVE POUR LA TRANSPARENCE DANS LES INDUSTRIES EXTRACTIVES</w:t>
          </w:r>
        </w:p>
        <w:p w:rsidR="00D47C79" w:rsidRDefault="00D47C79" w:rsidP="00D47C79">
          <w:pPr>
            <w:jc w:val="center"/>
            <w:rPr>
              <w:b/>
              <w:sz w:val="28"/>
              <w:szCs w:val="28"/>
            </w:rPr>
          </w:pPr>
        </w:p>
        <w:p w:rsidR="00D47C79" w:rsidRPr="00502D0C" w:rsidRDefault="00D47C79" w:rsidP="00D47C79">
          <w:pPr>
            <w:jc w:val="center"/>
            <w:rPr>
              <w:b/>
              <w:sz w:val="28"/>
              <w:szCs w:val="28"/>
            </w:rPr>
          </w:pPr>
        </w:p>
        <w:p w:rsidR="00D47C79" w:rsidRPr="006C608C" w:rsidRDefault="00D47C79" w:rsidP="00D47C79">
          <w:pPr>
            <w:jc w:val="center"/>
            <w:rPr>
              <w:b/>
              <w:sz w:val="36"/>
              <w:szCs w:val="36"/>
            </w:rPr>
          </w:pPr>
          <w:r w:rsidRPr="006C608C">
            <w:rPr>
              <w:b/>
              <w:sz w:val="36"/>
              <w:szCs w:val="36"/>
            </w:rPr>
            <w:t>Recrutement d’un Administrateur Indépendant chargé d’élaborer les rapports ITIE au Togo portant sur les données des années 2012 et 2013</w:t>
          </w:r>
        </w:p>
        <w:p w:rsidR="00D47C79" w:rsidRPr="00502D0C" w:rsidRDefault="00D47C79" w:rsidP="00D47C79">
          <w:pPr>
            <w:jc w:val="center"/>
            <w:rPr>
              <w:rFonts w:cs="Arial"/>
              <w:i/>
              <w:sz w:val="40"/>
              <w:szCs w:val="24"/>
              <w:lang w:eastAsia="fr-FR"/>
            </w:rPr>
          </w:pPr>
        </w:p>
        <w:p w:rsidR="00D47C79" w:rsidRPr="00502D0C" w:rsidRDefault="00D47C79" w:rsidP="00D47C79">
          <w:pPr>
            <w:rPr>
              <w:rFonts w:cs="Arial"/>
              <w:b/>
              <w:sz w:val="40"/>
              <w:szCs w:val="24"/>
              <w:lang w:eastAsia="fr-FR"/>
            </w:rPr>
          </w:pPr>
        </w:p>
        <w:p w:rsidR="00D47C79" w:rsidRPr="00502D0C" w:rsidRDefault="00D47C79" w:rsidP="00D47C79">
          <w:pPr>
            <w:jc w:val="center"/>
            <w:rPr>
              <w:rFonts w:cs="Arial"/>
              <w:b/>
              <w:sz w:val="40"/>
              <w:szCs w:val="24"/>
              <w:lang w:eastAsia="fr-FR"/>
            </w:rPr>
          </w:pPr>
        </w:p>
        <w:p w:rsidR="00D47C79" w:rsidRDefault="00D47C79" w:rsidP="00D47C79">
          <w:pPr>
            <w:jc w:val="center"/>
            <w:rPr>
              <w:rFonts w:cs="Arial"/>
              <w:b/>
              <w:sz w:val="40"/>
              <w:szCs w:val="24"/>
              <w:lang w:eastAsia="fr-FR"/>
            </w:rPr>
          </w:pPr>
          <w:r w:rsidRPr="00502D0C">
            <w:rPr>
              <w:rFonts w:cs="Arial"/>
              <w:b/>
              <w:sz w:val="40"/>
              <w:szCs w:val="24"/>
              <w:lang w:eastAsia="fr-FR"/>
            </w:rPr>
            <w:t xml:space="preserve">Autorité contractante: </w:t>
          </w:r>
        </w:p>
        <w:p w:rsidR="00D47C79" w:rsidRDefault="00D47C79" w:rsidP="00D47C79">
          <w:pPr>
            <w:jc w:val="center"/>
            <w:rPr>
              <w:rFonts w:cs="Arial"/>
              <w:i/>
              <w:sz w:val="40"/>
              <w:szCs w:val="24"/>
              <w:lang w:eastAsia="fr-FR"/>
            </w:rPr>
          </w:pPr>
          <w:r>
            <w:rPr>
              <w:rFonts w:cs="Arial"/>
              <w:i/>
              <w:sz w:val="40"/>
              <w:szCs w:val="24"/>
              <w:lang w:eastAsia="fr-FR"/>
            </w:rPr>
            <w:t>INITIATIVE POUR LA TRANSPARENCE DANS LES INDUSTRIES EXTRACTIVES</w:t>
          </w:r>
        </w:p>
        <w:p w:rsidR="00D47C79" w:rsidRDefault="00D47C79" w:rsidP="00D47C79">
          <w:pPr>
            <w:jc w:val="center"/>
            <w:rPr>
              <w:rFonts w:cs="Arial"/>
              <w:i/>
              <w:sz w:val="40"/>
              <w:szCs w:val="24"/>
              <w:lang w:eastAsia="fr-FR"/>
            </w:rPr>
          </w:pPr>
        </w:p>
        <w:p w:rsidR="00D47C79" w:rsidRDefault="00D47C79" w:rsidP="00D47C79">
          <w:pPr>
            <w:jc w:val="center"/>
            <w:rPr>
              <w:rFonts w:cs="Arial"/>
              <w:b/>
              <w:sz w:val="36"/>
              <w:szCs w:val="36"/>
              <w:lang w:eastAsia="fr-FR"/>
            </w:rPr>
          </w:pPr>
          <w:r w:rsidRPr="00C353B6">
            <w:rPr>
              <w:rFonts w:cs="Arial"/>
              <w:b/>
              <w:sz w:val="36"/>
              <w:szCs w:val="36"/>
              <w:lang w:eastAsia="fr-FR"/>
            </w:rPr>
            <w:t xml:space="preserve">Source de </w:t>
          </w:r>
          <w:r>
            <w:rPr>
              <w:rFonts w:cs="Arial"/>
              <w:b/>
              <w:sz w:val="36"/>
              <w:szCs w:val="36"/>
              <w:lang w:eastAsia="fr-FR"/>
            </w:rPr>
            <w:t xml:space="preserve">financement : </w:t>
          </w:r>
          <w:r w:rsidRPr="00C353B6">
            <w:rPr>
              <w:rFonts w:cs="Arial"/>
              <w:b/>
              <w:sz w:val="36"/>
              <w:szCs w:val="36"/>
              <w:lang w:eastAsia="fr-FR"/>
            </w:rPr>
            <w:t>CONTREPARTIE</w:t>
          </w:r>
        </w:p>
        <w:p w:rsidR="0072638E" w:rsidRPr="00D47C79" w:rsidRDefault="00D47C79" w:rsidP="00D47C79">
          <w:pPr>
            <w:pStyle w:val="NoSpacing"/>
            <w:ind w:left="7080" w:right="-142"/>
            <w:rPr>
              <w:rFonts w:cs="Arial"/>
              <w:b/>
              <w:sz w:val="36"/>
              <w:szCs w:val="36"/>
              <w:lang w:eastAsia="fr-FR"/>
            </w:rPr>
          </w:pPr>
          <w:r>
            <w:rPr>
              <w:rFonts w:cs="Arial"/>
              <w:b/>
              <w:sz w:val="40"/>
              <w:szCs w:val="24"/>
              <w:lang w:eastAsia="fr-FR"/>
            </w:rPr>
            <w:br w:type="page"/>
          </w:r>
        </w:p>
      </w:sdtContent>
    </w:sdt>
    <w:p w:rsidR="0072638E" w:rsidRDefault="0072638E" w:rsidP="0072638E">
      <w:pPr>
        <w:pStyle w:val="Heading1"/>
      </w:pPr>
      <w:bookmarkStart w:id="0" w:name="_Toc72513657"/>
      <w:bookmarkStart w:id="1" w:name="_Toc72514637"/>
      <w:bookmarkStart w:id="2" w:name="_Toc72514816"/>
      <w:bookmarkStart w:id="3" w:name="_Toc72515051"/>
      <w:bookmarkStart w:id="4" w:name="_Toc189450390"/>
      <w:r>
        <w:lastRenderedPageBreak/>
        <w:t xml:space="preserve">Section 1. </w:t>
      </w:r>
      <w:r w:rsidRPr="007C7642">
        <w:t>Lettre</w:t>
      </w:r>
      <w:r>
        <w:t xml:space="preserve"> d’invitation</w:t>
      </w:r>
      <w:bookmarkEnd w:id="0"/>
      <w:bookmarkEnd w:id="1"/>
      <w:bookmarkEnd w:id="2"/>
      <w:bookmarkEnd w:id="3"/>
      <w:bookmarkEnd w:id="4"/>
    </w:p>
    <w:p w:rsidR="0072638E" w:rsidRDefault="0072638E" w:rsidP="0072638E">
      <w:pPr>
        <w:tabs>
          <w:tab w:val="left" w:pos="720"/>
          <w:tab w:val="right" w:leader="dot" w:pos="8640"/>
        </w:tabs>
        <w:jc w:val="right"/>
      </w:pPr>
      <w:r>
        <w:t xml:space="preserve">Lomé, </w:t>
      </w:r>
      <w:r w:rsidRPr="007550F9">
        <w:t xml:space="preserve">le </w:t>
      </w:r>
      <w:r w:rsidR="007550F9" w:rsidRPr="007550F9">
        <w:t>10 Juin 2014</w:t>
      </w:r>
    </w:p>
    <w:p w:rsidR="0072638E" w:rsidRDefault="0072638E" w:rsidP="0072638E">
      <w:pPr>
        <w:tabs>
          <w:tab w:val="left" w:pos="720"/>
          <w:tab w:val="right" w:leader="dot" w:pos="8640"/>
        </w:tabs>
      </w:pPr>
      <w:r>
        <w:t>Lettre d’invitation N° 001/ITIE-TOGO/CNS/CP/ST/2014</w:t>
      </w:r>
    </w:p>
    <w:p w:rsidR="0072638E" w:rsidRDefault="0072638E" w:rsidP="0072638E">
      <w:pPr>
        <w:tabs>
          <w:tab w:val="left" w:pos="720"/>
          <w:tab w:val="right" w:leader="dot" w:pos="8640"/>
        </w:tabs>
      </w:pPr>
    </w:p>
    <w:p w:rsidR="0072638E" w:rsidRDefault="0072638E" w:rsidP="0072638E">
      <w:pPr>
        <w:pStyle w:val="ListParagraph"/>
        <w:numPr>
          <w:ilvl w:val="0"/>
          <w:numId w:val="2"/>
        </w:numPr>
        <w:tabs>
          <w:tab w:val="left" w:pos="720"/>
          <w:tab w:val="right" w:leader="dot" w:pos="8640"/>
        </w:tabs>
      </w:pPr>
      <w:r w:rsidRPr="008B5975">
        <w:rPr>
          <w:b/>
        </w:rPr>
        <w:t>Fair Links</w:t>
      </w:r>
      <w:r>
        <w:t xml:space="preserve"> : 42, avenue Montaigne ; 75008 Paris- France ; Tél +33 (0)1 44 07 00 </w:t>
      </w:r>
      <w:proofErr w:type="spellStart"/>
      <w:r>
        <w:t>00</w:t>
      </w:r>
      <w:proofErr w:type="spellEnd"/>
      <w:r>
        <w:t xml:space="preserve"> ; Fax+33 (0) 1 44 00 10 ; E-mail : </w:t>
      </w:r>
      <w:hyperlink r:id="rId12" w:history="1">
        <w:r w:rsidRPr="00C8141E">
          <w:rPr>
            <w:rStyle w:val="Hyperlink"/>
          </w:rPr>
          <w:t>amf@fair-links.com</w:t>
        </w:r>
      </w:hyperlink>
      <w:r>
        <w:t xml:space="preserve"> </w:t>
      </w:r>
    </w:p>
    <w:p w:rsidR="0072638E" w:rsidRDefault="0072638E" w:rsidP="0072638E">
      <w:pPr>
        <w:pStyle w:val="ListParagraph"/>
        <w:numPr>
          <w:ilvl w:val="0"/>
          <w:numId w:val="2"/>
        </w:numPr>
        <w:tabs>
          <w:tab w:val="left" w:pos="720"/>
          <w:tab w:val="right" w:leader="dot" w:pos="8640"/>
        </w:tabs>
      </w:pPr>
      <w:r w:rsidRPr="008B5975">
        <w:rPr>
          <w:b/>
          <w:lang w:val="en-US"/>
        </w:rPr>
        <w:t>Moore Stephens</w:t>
      </w:r>
      <w:r w:rsidRPr="008B5975">
        <w:rPr>
          <w:lang w:val="en-US"/>
        </w:rPr>
        <w:t xml:space="preserve">: 150 </w:t>
      </w:r>
      <w:proofErr w:type="spellStart"/>
      <w:r w:rsidRPr="008B5975">
        <w:rPr>
          <w:lang w:val="en-US"/>
        </w:rPr>
        <w:t>Aldersgate</w:t>
      </w:r>
      <w:proofErr w:type="spellEnd"/>
      <w:r w:rsidRPr="008B5975">
        <w:rPr>
          <w:lang w:val="en-US"/>
        </w:rPr>
        <w:t xml:space="preserve"> Street; London EC1A 4AB; </w:t>
      </w:r>
      <w:proofErr w:type="spellStart"/>
      <w:r w:rsidRPr="008B5975">
        <w:rPr>
          <w:lang w:val="en-US"/>
        </w:rPr>
        <w:t>Tél</w:t>
      </w:r>
      <w:proofErr w:type="spellEnd"/>
      <w:r w:rsidRPr="008B5975">
        <w:rPr>
          <w:lang w:val="en-US"/>
        </w:rPr>
        <w:t>: +44 (0) 20 7334 9191; Fax +44 (0) 20 7651 1823.</w:t>
      </w:r>
      <w:r>
        <w:rPr>
          <w:lang w:val="en-US"/>
        </w:rPr>
        <w:t xml:space="preserve"> </w:t>
      </w:r>
      <w:r w:rsidRPr="00DA39C2">
        <w:t xml:space="preserve">E-mail: </w:t>
      </w:r>
      <w:hyperlink r:id="rId13" w:history="1">
        <w:r w:rsidRPr="00C8141E">
          <w:rPr>
            <w:rStyle w:val="Hyperlink"/>
          </w:rPr>
          <w:t>Tim.Woodward@moorestephens.com</w:t>
        </w:r>
      </w:hyperlink>
      <w:r>
        <w:t xml:space="preserve"> ; </w:t>
      </w:r>
      <w:hyperlink r:id="rId14" w:history="1">
        <w:r w:rsidRPr="00C8141E">
          <w:rPr>
            <w:rStyle w:val="Hyperlink"/>
          </w:rPr>
          <w:t>Ben.Toorabally@moorestephens.com</w:t>
        </w:r>
      </w:hyperlink>
      <w:r>
        <w:t xml:space="preserve"> </w:t>
      </w:r>
    </w:p>
    <w:p w:rsidR="0072638E" w:rsidRPr="008B5975" w:rsidRDefault="0072638E" w:rsidP="0072638E">
      <w:pPr>
        <w:pStyle w:val="ListParagraph"/>
        <w:numPr>
          <w:ilvl w:val="0"/>
          <w:numId w:val="2"/>
        </w:numPr>
        <w:tabs>
          <w:tab w:val="left" w:pos="720"/>
          <w:tab w:val="right" w:leader="dot" w:pos="8640"/>
        </w:tabs>
      </w:pPr>
      <w:r w:rsidRPr="00DA39C2">
        <w:rPr>
          <w:b/>
        </w:rPr>
        <w:t>KPMG:</w:t>
      </w:r>
      <w:r>
        <w:t xml:space="preserve"> immeuble </w:t>
      </w:r>
      <w:proofErr w:type="spellStart"/>
      <w:r>
        <w:t>Woodin</w:t>
      </w:r>
      <w:proofErr w:type="spellEnd"/>
      <w:r>
        <w:t xml:space="preserve"> Center ; Plateau, Avenue Noguès ; 01 BP 3172 Abidjan 01 ; Tél : (225) 20 22 57 53 ; Fax : (225) 20 21 42 97 ; E-mail : </w:t>
      </w:r>
      <w:hyperlink r:id="rId15" w:history="1">
        <w:r w:rsidRPr="00C8141E">
          <w:rPr>
            <w:rStyle w:val="Hyperlink"/>
          </w:rPr>
          <w:t>contact@kpmg.ci</w:t>
        </w:r>
      </w:hyperlink>
      <w:r>
        <w:t>.</w:t>
      </w:r>
    </w:p>
    <w:p w:rsidR="0072638E" w:rsidRDefault="0072638E" w:rsidP="0072638E">
      <w:pPr>
        <w:rPr>
          <w:sz w:val="22"/>
        </w:rPr>
      </w:pPr>
    </w:p>
    <w:p w:rsidR="0072638E" w:rsidRDefault="0072638E" w:rsidP="0072638E">
      <w:pPr>
        <w:rPr>
          <w:sz w:val="22"/>
        </w:rPr>
      </w:pPr>
      <w:r>
        <w:rPr>
          <w:sz w:val="22"/>
        </w:rPr>
        <w:t>Mesdames, Messieurs,</w:t>
      </w:r>
    </w:p>
    <w:p w:rsidR="0072638E" w:rsidRDefault="0072638E" w:rsidP="0072638E">
      <w:pPr>
        <w:rPr>
          <w:sz w:val="22"/>
        </w:rPr>
      </w:pPr>
    </w:p>
    <w:p w:rsidR="0072638E" w:rsidRPr="00A40C89" w:rsidRDefault="0072638E" w:rsidP="0072638E">
      <w:pPr>
        <w:numPr>
          <w:ilvl w:val="0"/>
          <w:numId w:val="1"/>
        </w:numPr>
        <w:spacing w:after="200"/>
        <w:ind w:left="0" w:firstLine="0"/>
        <w:jc w:val="both"/>
      </w:pPr>
      <w:r w:rsidRPr="00A40C89">
        <w:t>L</w:t>
      </w:r>
      <w:r>
        <w:t xml:space="preserve">’Initiative pour la Transparence dans les Industries Extractives a </w:t>
      </w:r>
      <w:r w:rsidRPr="000E710A">
        <w:t xml:space="preserve">obtenu des fonds </w:t>
      </w:r>
      <w:r>
        <w:t>auprès de la Banque Mondiale et du gouvernement</w:t>
      </w:r>
      <w:r w:rsidRPr="000E710A">
        <w:t>, afin de financer le co</w:t>
      </w:r>
      <w:r>
        <w:t>ût des activités inscrites dans le plan d’action pour la mise en œuvre  de l’ITIE au Togo</w:t>
      </w:r>
      <w:r w:rsidRPr="00A40C89">
        <w:t>, et a l’intention d’utiliser une partie de ces fonds pour effectuer des paiements au titre du Marché</w:t>
      </w:r>
      <w:r>
        <w:t xml:space="preserve"> n° 001/ITIE-TOGO/CNS/CP/ST/2014, relative </w:t>
      </w:r>
      <w:r w:rsidRPr="005E4585">
        <w:rPr>
          <w:szCs w:val="24"/>
        </w:rPr>
        <w:t>au</w:t>
      </w:r>
      <w:r>
        <w:rPr>
          <w:szCs w:val="24"/>
        </w:rPr>
        <w:t xml:space="preserve"> </w:t>
      </w:r>
      <w:r w:rsidRPr="005E4585">
        <w:rPr>
          <w:b/>
          <w:szCs w:val="24"/>
        </w:rPr>
        <w:t xml:space="preserve">Recrutement d’un Administrateur Indépendant chargé d’élaborer les rapports ITIE </w:t>
      </w:r>
      <w:r>
        <w:rPr>
          <w:b/>
          <w:szCs w:val="24"/>
        </w:rPr>
        <w:t xml:space="preserve">de Collecte et de Réconciliation des paiements effectués par les entreprises extractives à l’Etat et des recettes perçues par l’Etat desdites entreprises </w:t>
      </w:r>
      <w:r w:rsidRPr="005E4585">
        <w:rPr>
          <w:b/>
          <w:szCs w:val="24"/>
        </w:rPr>
        <w:t>au Togo portant sur les données des années 2012 et 2013</w:t>
      </w:r>
      <w:r>
        <w:rPr>
          <w:b/>
          <w:szCs w:val="24"/>
        </w:rPr>
        <w:t xml:space="preserve"> </w:t>
      </w:r>
      <w:r w:rsidRPr="00A40C89">
        <w:rPr>
          <w:i/>
        </w:rPr>
        <w:t xml:space="preserve"> </w:t>
      </w:r>
      <w:r w:rsidRPr="005B2C5B">
        <w:t>pour lequel cette D</w:t>
      </w:r>
      <w:r>
        <w:t xml:space="preserve">emande de </w:t>
      </w:r>
      <w:r w:rsidRPr="005B2C5B">
        <w:t>P</w:t>
      </w:r>
      <w:r>
        <w:t>roposition (DP)</w:t>
      </w:r>
      <w:r w:rsidRPr="005B2C5B">
        <w:t xml:space="preserve"> est publiée</w:t>
      </w:r>
      <w:r w:rsidRPr="00A40C89">
        <w:rPr>
          <w:i/>
        </w:rPr>
        <w:t>.</w:t>
      </w:r>
    </w:p>
    <w:p w:rsidR="0072638E" w:rsidRPr="00A40C89" w:rsidRDefault="0072638E" w:rsidP="0072638E">
      <w:pPr>
        <w:tabs>
          <w:tab w:val="left" w:pos="-720"/>
        </w:tabs>
      </w:pPr>
    </w:p>
    <w:p w:rsidR="0072638E" w:rsidRPr="005B2C5B" w:rsidRDefault="0072638E" w:rsidP="0072638E">
      <w:pPr>
        <w:tabs>
          <w:tab w:val="left" w:pos="-720"/>
          <w:tab w:val="left" w:pos="0"/>
        </w:tabs>
        <w:jc w:val="both"/>
      </w:pPr>
      <w:r w:rsidRPr="00A40C89">
        <w:t>2.</w:t>
      </w:r>
      <w:r w:rsidRPr="00A40C89">
        <w:tab/>
      </w:r>
      <w:r w:rsidRPr="005B2C5B">
        <w:rPr>
          <w:szCs w:val="24"/>
        </w:rPr>
        <w:t xml:space="preserve">L’ITIE-TOGO invite, par la présente Demande de Propositions, les candidats présélectionnés à présenter leurs propositions sous pli fermé, pour </w:t>
      </w:r>
      <w:r w:rsidRPr="005B2C5B">
        <w:rPr>
          <w:rStyle w:val="FontStyle23"/>
          <w:szCs w:val="24"/>
        </w:rPr>
        <w:t>la production  des rapports ITIE complets et cr</w:t>
      </w:r>
      <w:r w:rsidRPr="005B2C5B">
        <w:rPr>
          <w:rStyle w:val="FontStyle23"/>
          <w:szCs w:val="24"/>
        </w:rPr>
        <w:t>é</w:t>
      </w:r>
      <w:r w:rsidRPr="005B2C5B">
        <w:rPr>
          <w:rStyle w:val="FontStyle23"/>
          <w:szCs w:val="24"/>
        </w:rPr>
        <w:t>dibles  pour les exercices 2012 et 2013, conform</w:t>
      </w:r>
      <w:r w:rsidRPr="005B2C5B">
        <w:rPr>
          <w:rStyle w:val="FontStyle23"/>
          <w:szCs w:val="24"/>
        </w:rPr>
        <w:t>é</w:t>
      </w:r>
      <w:r w:rsidRPr="005B2C5B">
        <w:rPr>
          <w:rStyle w:val="FontStyle23"/>
          <w:szCs w:val="24"/>
        </w:rPr>
        <w:t xml:space="preserve">ment </w:t>
      </w:r>
      <w:r w:rsidRPr="005B2C5B">
        <w:rPr>
          <w:rStyle w:val="FontStyle23"/>
          <w:szCs w:val="24"/>
        </w:rPr>
        <w:t>à</w:t>
      </w:r>
      <w:r w:rsidRPr="005B2C5B">
        <w:rPr>
          <w:rStyle w:val="FontStyle23"/>
          <w:szCs w:val="24"/>
        </w:rPr>
        <w:t xml:space="preserve"> la Norme ITIE</w:t>
      </w:r>
      <w:r w:rsidRPr="005B2C5B">
        <w:rPr>
          <w:szCs w:val="24"/>
        </w:rPr>
        <w:t>.  Pour de plus amples renseignements sur les prestations</w:t>
      </w:r>
      <w:r>
        <w:rPr>
          <w:szCs w:val="24"/>
        </w:rPr>
        <w:t xml:space="preserve"> </w:t>
      </w:r>
      <w:r w:rsidRPr="005B2C5B">
        <w:rPr>
          <w:szCs w:val="24"/>
        </w:rPr>
        <w:t>en question, veuillez consulter les Termes de référence ci-joints</w:t>
      </w:r>
      <w:r w:rsidRPr="005B2C5B">
        <w:t>.</w:t>
      </w:r>
    </w:p>
    <w:p w:rsidR="0072638E" w:rsidRPr="00A40C89" w:rsidRDefault="0072638E" w:rsidP="0072638E">
      <w:pPr>
        <w:tabs>
          <w:tab w:val="left" w:pos="720"/>
          <w:tab w:val="right" w:leader="dot" w:pos="8640"/>
        </w:tabs>
        <w:jc w:val="both"/>
      </w:pPr>
    </w:p>
    <w:p w:rsidR="0072638E" w:rsidRPr="00A40C89" w:rsidRDefault="0072638E" w:rsidP="0072638E">
      <w:pPr>
        <w:tabs>
          <w:tab w:val="left" w:pos="720"/>
          <w:tab w:val="right" w:leader="dot" w:pos="8640"/>
        </w:tabs>
        <w:jc w:val="both"/>
      </w:pPr>
      <w:r w:rsidRPr="00A40C89">
        <w:t>3.</w:t>
      </w:r>
      <w:r w:rsidRPr="00A40C89">
        <w:tab/>
        <w:t>La présente Demande de Propositions (DP) a été adressée aux Candidats présélectionnés, dont les noms figurent ci-après:</w:t>
      </w:r>
    </w:p>
    <w:p w:rsidR="0072638E" w:rsidRDefault="0072638E" w:rsidP="0072638E">
      <w:pPr>
        <w:tabs>
          <w:tab w:val="left" w:pos="720"/>
          <w:tab w:val="right" w:leader="dot" w:pos="8640"/>
        </w:tabs>
        <w:jc w:val="both"/>
      </w:pPr>
    </w:p>
    <w:p w:rsidR="0072638E" w:rsidRDefault="0072638E" w:rsidP="0072638E">
      <w:pPr>
        <w:pStyle w:val="ListParagraph"/>
        <w:numPr>
          <w:ilvl w:val="0"/>
          <w:numId w:val="3"/>
        </w:numPr>
        <w:tabs>
          <w:tab w:val="left" w:pos="720"/>
          <w:tab w:val="right" w:leader="dot" w:pos="8640"/>
        </w:tabs>
      </w:pPr>
      <w:r w:rsidRPr="008B5975">
        <w:rPr>
          <w:b/>
        </w:rPr>
        <w:t>Fair Links</w:t>
      </w:r>
      <w:r>
        <w:t xml:space="preserve"> : 42, avenue Montaigne ; 75008 Paris- France ; Tél +33 (0)1 44 07 00 </w:t>
      </w:r>
      <w:proofErr w:type="spellStart"/>
      <w:r>
        <w:t>00</w:t>
      </w:r>
      <w:proofErr w:type="spellEnd"/>
      <w:r>
        <w:t xml:space="preserve"> ; Fax+33 (0) 1 44 00 10 ; E-mail : </w:t>
      </w:r>
      <w:hyperlink r:id="rId16" w:history="1">
        <w:r w:rsidRPr="00C8141E">
          <w:rPr>
            <w:rStyle w:val="Hyperlink"/>
          </w:rPr>
          <w:t>amf@fair-links.com</w:t>
        </w:r>
      </w:hyperlink>
      <w:r>
        <w:t xml:space="preserve"> </w:t>
      </w:r>
    </w:p>
    <w:p w:rsidR="0072638E" w:rsidRDefault="0072638E" w:rsidP="0072638E">
      <w:pPr>
        <w:pStyle w:val="ListParagraph"/>
        <w:numPr>
          <w:ilvl w:val="0"/>
          <w:numId w:val="3"/>
        </w:numPr>
        <w:tabs>
          <w:tab w:val="left" w:pos="720"/>
          <w:tab w:val="right" w:leader="dot" w:pos="8640"/>
        </w:tabs>
      </w:pPr>
      <w:r w:rsidRPr="008B5975">
        <w:rPr>
          <w:b/>
          <w:lang w:val="en-US"/>
        </w:rPr>
        <w:t>Moore Stephens</w:t>
      </w:r>
      <w:r w:rsidRPr="008B5975">
        <w:rPr>
          <w:lang w:val="en-US"/>
        </w:rPr>
        <w:t xml:space="preserve">: 150 </w:t>
      </w:r>
      <w:proofErr w:type="spellStart"/>
      <w:r w:rsidRPr="008B5975">
        <w:rPr>
          <w:lang w:val="en-US"/>
        </w:rPr>
        <w:t>Aldersgate</w:t>
      </w:r>
      <w:proofErr w:type="spellEnd"/>
      <w:r w:rsidRPr="008B5975">
        <w:rPr>
          <w:lang w:val="en-US"/>
        </w:rPr>
        <w:t xml:space="preserve"> Street; London EC1A 4AB; </w:t>
      </w:r>
      <w:proofErr w:type="spellStart"/>
      <w:r w:rsidRPr="008B5975">
        <w:rPr>
          <w:lang w:val="en-US"/>
        </w:rPr>
        <w:t>Tél</w:t>
      </w:r>
      <w:proofErr w:type="spellEnd"/>
      <w:r w:rsidRPr="008B5975">
        <w:rPr>
          <w:lang w:val="en-US"/>
        </w:rPr>
        <w:t>: +44 (0) 20 7334 9191; Fax +44 (0) 20 7651 1823.</w:t>
      </w:r>
      <w:r>
        <w:rPr>
          <w:lang w:val="en-US"/>
        </w:rPr>
        <w:t xml:space="preserve"> </w:t>
      </w:r>
      <w:r w:rsidRPr="00DA39C2">
        <w:t xml:space="preserve">E-mail: </w:t>
      </w:r>
      <w:hyperlink r:id="rId17" w:history="1">
        <w:r w:rsidRPr="00C8141E">
          <w:rPr>
            <w:rStyle w:val="Hyperlink"/>
          </w:rPr>
          <w:t>Tim.Woodward@moorestephens.com</w:t>
        </w:r>
      </w:hyperlink>
      <w:r>
        <w:t xml:space="preserve"> ; </w:t>
      </w:r>
      <w:hyperlink r:id="rId18" w:history="1">
        <w:r w:rsidRPr="00C8141E">
          <w:rPr>
            <w:rStyle w:val="Hyperlink"/>
          </w:rPr>
          <w:t>Ben.Toorabally@moorestephens.com</w:t>
        </w:r>
      </w:hyperlink>
      <w:r>
        <w:t xml:space="preserve"> </w:t>
      </w:r>
    </w:p>
    <w:p w:rsidR="0072638E" w:rsidRDefault="0072638E" w:rsidP="0072638E">
      <w:pPr>
        <w:pStyle w:val="ListParagraph"/>
        <w:numPr>
          <w:ilvl w:val="0"/>
          <w:numId w:val="3"/>
        </w:numPr>
        <w:tabs>
          <w:tab w:val="left" w:pos="720"/>
          <w:tab w:val="right" w:leader="dot" w:pos="8640"/>
        </w:tabs>
      </w:pPr>
      <w:r w:rsidRPr="00DA39C2">
        <w:rPr>
          <w:b/>
        </w:rPr>
        <w:t>KPMG:</w:t>
      </w:r>
      <w:r>
        <w:t xml:space="preserve"> immeuble </w:t>
      </w:r>
      <w:proofErr w:type="spellStart"/>
      <w:r>
        <w:t>Woodin</w:t>
      </w:r>
      <w:proofErr w:type="spellEnd"/>
      <w:r>
        <w:t xml:space="preserve"> Center ; Plateau, Avenue Noguès ; 01 BP 3172 Abidjan 01 ; Tél : (225) 20 22 57 53 ; Fax : (225) 20 21 42 97 ;</w:t>
      </w:r>
    </w:p>
    <w:p w:rsidR="0072638E" w:rsidRDefault="0072638E" w:rsidP="0072638E">
      <w:pPr>
        <w:pStyle w:val="ListParagraph"/>
        <w:tabs>
          <w:tab w:val="left" w:pos="720"/>
          <w:tab w:val="right" w:leader="dot" w:pos="8640"/>
        </w:tabs>
        <w:ind w:left="720"/>
      </w:pPr>
      <w:r>
        <w:t>E-mail :</w:t>
      </w:r>
      <w:hyperlink r:id="rId19" w:history="1">
        <w:r w:rsidRPr="00C8141E">
          <w:rPr>
            <w:rStyle w:val="Hyperlink"/>
          </w:rPr>
          <w:t>contact@kpmg.ci</w:t>
        </w:r>
      </w:hyperlink>
      <w:r>
        <w:t>.</w:t>
      </w:r>
    </w:p>
    <w:p w:rsidR="0072638E" w:rsidRPr="008B5975" w:rsidRDefault="0072638E" w:rsidP="0072638E">
      <w:pPr>
        <w:pStyle w:val="ListParagraph"/>
        <w:tabs>
          <w:tab w:val="left" w:pos="720"/>
          <w:tab w:val="right" w:leader="dot" w:pos="8640"/>
        </w:tabs>
        <w:ind w:left="720"/>
      </w:pPr>
    </w:p>
    <w:p w:rsidR="0072638E" w:rsidRDefault="0072638E" w:rsidP="0072638E">
      <w:pPr>
        <w:tabs>
          <w:tab w:val="left" w:pos="720"/>
          <w:tab w:val="right" w:leader="dot" w:pos="8640"/>
        </w:tabs>
        <w:jc w:val="both"/>
      </w:pPr>
      <w:r>
        <w:t>Cette invitation ne peut être transférée à une autre société.</w:t>
      </w:r>
    </w:p>
    <w:p w:rsidR="0072638E" w:rsidRDefault="0072638E" w:rsidP="0072638E">
      <w:pPr>
        <w:tabs>
          <w:tab w:val="left" w:pos="720"/>
          <w:tab w:val="right" w:leader="dot" w:pos="8640"/>
        </w:tabs>
        <w:jc w:val="both"/>
      </w:pPr>
    </w:p>
    <w:p w:rsidR="0072638E" w:rsidRDefault="0072638E" w:rsidP="0072638E">
      <w:pPr>
        <w:tabs>
          <w:tab w:val="left" w:pos="720"/>
          <w:tab w:val="right" w:leader="dot" w:pos="8640"/>
        </w:tabs>
        <w:jc w:val="both"/>
      </w:pPr>
    </w:p>
    <w:p w:rsidR="0072638E" w:rsidRDefault="0072638E" w:rsidP="0072638E">
      <w:pPr>
        <w:tabs>
          <w:tab w:val="left" w:pos="720"/>
          <w:tab w:val="right" w:leader="dot" w:pos="8640"/>
        </w:tabs>
        <w:jc w:val="both"/>
      </w:pPr>
    </w:p>
    <w:p w:rsidR="0072638E" w:rsidRDefault="0072638E" w:rsidP="0072638E">
      <w:pPr>
        <w:tabs>
          <w:tab w:val="left" w:pos="720"/>
          <w:tab w:val="right" w:leader="dot" w:pos="8640"/>
        </w:tabs>
        <w:jc w:val="both"/>
      </w:pPr>
    </w:p>
    <w:p w:rsidR="0072638E" w:rsidRDefault="0072638E" w:rsidP="0072638E">
      <w:pPr>
        <w:tabs>
          <w:tab w:val="left" w:pos="720"/>
          <w:tab w:val="right" w:leader="dot" w:pos="8640"/>
        </w:tabs>
        <w:jc w:val="both"/>
      </w:pPr>
      <w:r>
        <w:t>4.</w:t>
      </w:r>
      <w:r>
        <w:tab/>
        <w:t>Un Consultant sera choisi par la méthode de sélection qualité/coût.</w:t>
      </w:r>
    </w:p>
    <w:p w:rsidR="0072638E" w:rsidRDefault="0072638E" w:rsidP="0072638E">
      <w:pPr>
        <w:tabs>
          <w:tab w:val="left" w:pos="720"/>
          <w:tab w:val="right" w:leader="dot" w:pos="8640"/>
        </w:tabs>
        <w:jc w:val="both"/>
      </w:pPr>
    </w:p>
    <w:p w:rsidR="0072638E" w:rsidRDefault="0072638E" w:rsidP="0072638E">
      <w:pPr>
        <w:tabs>
          <w:tab w:val="left" w:pos="720"/>
          <w:tab w:val="left" w:pos="1440"/>
          <w:tab w:val="right" w:leader="dot" w:pos="8640"/>
        </w:tabs>
        <w:jc w:val="both"/>
      </w:pPr>
      <w:r>
        <w:t>5.</w:t>
      </w:r>
      <w:r>
        <w:tab/>
        <w:t>La présente DP comprend les sections suivantes :</w:t>
      </w:r>
    </w:p>
    <w:p w:rsidR="0072638E" w:rsidRDefault="0072638E" w:rsidP="0072638E">
      <w:pPr>
        <w:tabs>
          <w:tab w:val="left" w:pos="720"/>
          <w:tab w:val="left" w:pos="1440"/>
          <w:tab w:val="right" w:leader="dot" w:pos="8640"/>
        </w:tabs>
        <w:jc w:val="both"/>
      </w:pPr>
    </w:p>
    <w:p w:rsidR="0072638E" w:rsidRDefault="0072638E" w:rsidP="0072638E">
      <w:pPr>
        <w:tabs>
          <w:tab w:val="left" w:pos="720"/>
          <w:tab w:val="left" w:pos="1440"/>
          <w:tab w:val="right" w:leader="dot" w:pos="8640"/>
        </w:tabs>
        <w:jc w:val="both"/>
      </w:pPr>
      <w:r>
        <w:tab/>
        <w:t>Section 1 – Lettre d’Invitation</w:t>
      </w:r>
    </w:p>
    <w:p w:rsidR="0072638E" w:rsidRDefault="0072638E" w:rsidP="0072638E">
      <w:pPr>
        <w:tabs>
          <w:tab w:val="left" w:pos="720"/>
          <w:tab w:val="left" w:pos="1440"/>
          <w:tab w:val="right" w:leader="dot" w:pos="8640"/>
        </w:tabs>
        <w:jc w:val="both"/>
      </w:pPr>
    </w:p>
    <w:p w:rsidR="0072638E" w:rsidRDefault="0072638E" w:rsidP="0072638E">
      <w:pPr>
        <w:tabs>
          <w:tab w:val="left" w:pos="1440"/>
          <w:tab w:val="right" w:leader="dot" w:pos="8640"/>
        </w:tabs>
        <w:ind w:left="1440" w:hanging="720"/>
        <w:jc w:val="both"/>
      </w:pPr>
      <w:r>
        <w:t xml:space="preserve">Section 2 -  Les Instructions aux Candidats </w:t>
      </w:r>
    </w:p>
    <w:p w:rsidR="0072638E" w:rsidRDefault="0072638E" w:rsidP="0072638E">
      <w:pPr>
        <w:tabs>
          <w:tab w:val="left" w:pos="1440"/>
          <w:tab w:val="right" w:leader="dot" w:pos="8640"/>
        </w:tabs>
        <w:ind w:left="1440" w:hanging="720"/>
        <w:jc w:val="both"/>
      </w:pPr>
    </w:p>
    <w:p w:rsidR="0072638E" w:rsidRDefault="0072638E" w:rsidP="0072638E">
      <w:pPr>
        <w:tabs>
          <w:tab w:val="left" w:pos="1440"/>
          <w:tab w:val="right" w:leader="dot" w:pos="8640"/>
        </w:tabs>
        <w:ind w:left="1440" w:hanging="720"/>
        <w:jc w:val="both"/>
      </w:pPr>
      <w:r>
        <w:t>Section 3 - Données Particulières des Instructions aux Candidats</w:t>
      </w:r>
    </w:p>
    <w:p w:rsidR="0072638E" w:rsidRDefault="0072638E" w:rsidP="0072638E">
      <w:pPr>
        <w:tabs>
          <w:tab w:val="left" w:pos="720"/>
          <w:tab w:val="left" w:pos="1440"/>
          <w:tab w:val="right" w:leader="dot" w:pos="8640"/>
        </w:tabs>
        <w:jc w:val="both"/>
      </w:pPr>
    </w:p>
    <w:p w:rsidR="0072638E" w:rsidRDefault="0072638E" w:rsidP="0072638E">
      <w:pPr>
        <w:tabs>
          <w:tab w:val="left" w:pos="720"/>
          <w:tab w:val="left" w:pos="1440"/>
          <w:tab w:val="right" w:leader="dot" w:pos="8640"/>
        </w:tabs>
        <w:jc w:val="both"/>
      </w:pPr>
      <w:r>
        <w:tab/>
      </w:r>
      <w:r w:rsidRPr="008720FB">
        <w:t>Section 4 -</w:t>
      </w:r>
      <w:r>
        <w:t xml:space="preserve"> Proposition technique </w:t>
      </w:r>
      <w:r>
        <w:sym w:font="Symbol" w:char="F02D"/>
      </w:r>
      <w:r>
        <w:t xml:space="preserve"> Formulaires types</w:t>
      </w:r>
    </w:p>
    <w:p w:rsidR="0072638E" w:rsidRDefault="0072638E" w:rsidP="0072638E">
      <w:pPr>
        <w:tabs>
          <w:tab w:val="left" w:pos="720"/>
          <w:tab w:val="left" w:pos="1440"/>
          <w:tab w:val="right" w:leader="dot" w:pos="8640"/>
        </w:tabs>
      </w:pPr>
    </w:p>
    <w:p w:rsidR="0072638E" w:rsidRDefault="0072638E" w:rsidP="0072638E">
      <w:pPr>
        <w:tabs>
          <w:tab w:val="left" w:pos="720"/>
          <w:tab w:val="left" w:pos="1440"/>
          <w:tab w:val="right" w:leader="dot" w:pos="8640"/>
        </w:tabs>
      </w:pPr>
      <w:r>
        <w:tab/>
      </w:r>
      <w:r w:rsidRPr="008720FB">
        <w:t>Section 5 -</w:t>
      </w:r>
      <w:r>
        <w:t xml:space="preserve"> Proposition financière </w:t>
      </w:r>
      <w:r>
        <w:sym w:font="Symbol" w:char="F02D"/>
      </w:r>
      <w:r>
        <w:t xml:space="preserve"> Formulaires types</w:t>
      </w:r>
    </w:p>
    <w:p w:rsidR="0072638E" w:rsidRDefault="0072638E" w:rsidP="0072638E">
      <w:pPr>
        <w:tabs>
          <w:tab w:val="left" w:pos="720"/>
          <w:tab w:val="left" w:pos="1440"/>
          <w:tab w:val="right" w:leader="dot" w:pos="8640"/>
        </w:tabs>
      </w:pPr>
    </w:p>
    <w:p w:rsidR="0072638E" w:rsidRDefault="0072638E" w:rsidP="0072638E">
      <w:pPr>
        <w:tabs>
          <w:tab w:val="left" w:pos="720"/>
          <w:tab w:val="left" w:pos="1440"/>
          <w:tab w:val="right" w:leader="dot" w:pos="8640"/>
        </w:tabs>
      </w:pPr>
      <w:r>
        <w:tab/>
      </w:r>
      <w:r w:rsidRPr="008720FB">
        <w:t>Section 6 -</w:t>
      </w:r>
      <w:r>
        <w:t xml:space="preserve"> Termes de référence</w:t>
      </w:r>
    </w:p>
    <w:p w:rsidR="0072638E" w:rsidRDefault="0072638E" w:rsidP="0072638E">
      <w:pPr>
        <w:tabs>
          <w:tab w:val="left" w:pos="720"/>
          <w:tab w:val="left" w:pos="1440"/>
          <w:tab w:val="right" w:leader="dot" w:pos="8640"/>
        </w:tabs>
      </w:pPr>
    </w:p>
    <w:p w:rsidR="0072638E" w:rsidRPr="00657C3E" w:rsidRDefault="0072638E" w:rsidP="0072638E">
      <w:pPr>
        <w:tabs>
          <w:tab w:val="left" w:pos="720"/>
          <w:tab w:val="left" w:pos="1440"/>
          <w:tab w:val="right" w:leader="dot" w:pos="8640"/>
        </w:tabs>
      </w:pPr>
      <w:r w:rsidRPr="00653514">
        <w:rPr>
          <w:color w:val="FF0000"/>
        </w:rPr>
        <w:tab/>
      </w:r>
      <w:r w:rsidRPr="00657C3E">
        <w:t xml:space="preserve">Section 7 –Modèle de Marché </w:t>
      </w:r>
    </w:p>
    <w:p w:rsidR="0072638E" w:rsidRPr="00657C3E" w:rsidRDefault="0072638E" w:rsidP="0072638E">
      <w:pPr>
        <w:pStyle w:val="BankNormal"/>
        <w:tabs>
          <w:tab w:val="left" w:pos="450"/>
          <w:tab w:val="left" w:pos="720"/>
          <w:tab w:val="left" w:pos="1440"/>
          <w:tab w:val="right" w:leader="dot" w:pos="8640"/>
        </w:tabs>
        <w:spacing w:after="0"/>
      </w:pPr>
    </w:p>
    <w:p w:rsidR="0072638E" w:rsidRPr="00657C3E" w:rsidRDefault="0072638E" w:rsidP="0072638E">
      <w:pPr>
        <w:keepNext/>
        <w:tabs>
          <w:tab w:val="left" w:pos="720"/>
          <w:tab w:val="left" w:pos="1440"/>
          <w:tab w:val="right" w:leader="dot" w:pos="8640"/>
        </w:tabs>
      </w:pPr>
      <w:r w:rsidRPr="00657C3E">
        <w:t>6.</w:t>
      </w:r>
      <w:r w:rsidRPr="00657C3E">
        <w:tab/>
        <w:t xml:space="preserve">La date limite de dépôt des propositions est </w:t>
      </w:r>
      <w:r w:rsidRPr="00D156A8">
        <w:t xml:space="preserve">le </w:t>
      </w:r>
      <w:r w:rsidR="00D156A8" w:rsidRPr="00D156A8">
        <w:t>10 juillet 2014 à 15 heures TU</w:t>
      </w:r>
      <w:r w:rsidR="00782820">
        <w:t xml:space="preserve"> </w:t>
      </w:r>
      <w:r w:rsidR="00782820" w:rsidRPr="00782820">
        <w:rPr>
          <w:b/>
        </w:rPr>
        <w:t>sous pli</w:t>
      </w:r>
      <w:r w:rsidR="00782820">
        <w:rPr>
          <w:b/>
        </w:rPr>
        <w:t xml:space="preserve">s </w:t>
      </w:r>
      <w:r w:rsidR="00782820" w:rsidRPr="00782820">
        <w:rPr>
          <w:b/>
        </w:rPr>
        <w:t>fermé</w:t>
      </w:r>
      <w:r w:rsidR="00782820">
        <w:rPr>
          <w:b/>
        </w:rPr>
        <w:t>s</w:t>
      </w:r>
      <w:r w:rsidR="00D156A8">
        <w:t>.</w:t>
      </w:r>
    </w:p>
    <w:p w:rsidR="0072638E" w:rsidRDefault="0072638E" w:rsidP="0072638E">
      <w:pPr>
        <w:keepNext/>
        <w:tabs>
          <w:tab w:val="left" w:pos="720"/>
          <w:tab w:val="left" w:pos="1440"/>
          <w:tab w:val="right" w:leader="dot" w:pos="8640"/>
        </w:tabs>
      </w:pPr>
    </w:p>
    <w:p w:rsidR="0072638E" w:rsidRPr="002D3198" w:rsidRDefault="0072638E" w:rsidP="0072638E">
      <w:pPr>
        <w:keepNext/>
        <w:tabs>
          <w:tab w:val="left" w:pos="720"/>
          <w:tab w:val="left" w:pos="1440"/>
          <w:tab w:val="right" w:leader="dot" w:pos="8640"/>
        </w:tabs>
        <w:rPr>
          <w:b/>
        </w:rPr>
      </w:pPr>
      <w:r>
        <w:t xml:space="preserve">7.         </w:t>
      </w:r>
      <w:bookmarkStart w:id="5" w:name="_GoBack"/>
      <w:r>
        <w:t xml:space="preserve">Veuillez avoir l’obligeance de nous faire savoir, par écrit, dès réception, à l’adresse suivante : </w:t>
      </w:r>
      <w:r w:rsidRPr="002D3198">
        <w:rPr>
          <w:b/>
        </w:rPr>
        <w:t>ITIE-TOGO</w:t>
      </w:r>
    </w:p>
    <w:p w:rsidR="0072638E" w:rsidRPr="002D3198" w:rsidRDefault="0072638E" w:rsidP="0072638E">
      <w:pPr>
        <w:keepNext/>
        <w:tabs>
          <w:tab w:val="left" w:pos="720"/>
          <w:tab w:val="left" w:pos="1440"/>
          <w:tab w:val="right" w:leader="dot" w:pos="8640"/>
        </w:tabs>
        <w:rPr>
          <w:b/>
        </w:rPr>
      </w:pPr>
      <w:r w:rsidRPr="002D3198">
        <w:rPr>
          <w:b/>
        </w:rPr>
        <w:t xml:space="preserve">                Secrétariat Technique</w:t>
      </w:r>
    </w:p>
    <w:p w:rsidR="0072638E" w:rsidRPr="002D3198" w:rsidRDefault="0072638E" w:rsidP="0072638E">
      <w:pPr>
        <w:keepNext/>
        <w:tabs>
          <w:tab w:val="left" w:pos="720"/>
          <w:tab w:val="left" w:pos="1440"/>
          <w:tab w:val="right" w:leader="dot" w:pos="8640"/>
        </w:tabs>
        <w:rPr>
          <w:b/>
        </w:rPr>
      </w:pPr>
      <w:r w:rsidRPr="002D3198">
        <w:rPr>
          <w:b/>
        </w:rPr>
        <w:t xml:space="preserve">                4412 Boulevard Jean Paul II</w:t>
      </w:r>
    </w:p>
    <w:p w:rsidR="0072638E" w:rsidRPr="002D3198" w:rsidRDefault="0072638E" w:rsidP="0072638E">
      <w:pPr>
        <w:keepNext/>
        <w:tabs>
          <w:tab w:val="left" w:pos="720"/>
          <w:tab w:val="left" w:pos="1440"/>
          <w:tab w:val="right" w:leader="dot" w:pos="8640"/>
        </w:tabs>
        <w:rPr>
          <w:b/>
        </w:rPr>
      </w:pPr>
      <w:r w:rsidRPr="002D3198">
        <w:rPr>
          <w:b/>
        </w:rPr>
        <w:t xml:space="preserve">                </w:t>
      </w:r>
      <w:r>
        <w:rPr>
          <w:b/>
        </w:rPr>
        <w:t xml:space="preserve">08 B.P : </w:t>
      </w:r>
      <w:r w:rsidRPr="002D3198">
        <w:rPr>
          <w:b/>
        </w:rPr>
        <w:t>82 88 Lomé</w:t>
      </w:r>
    </w:p>
    <w:p w:rsidR="0072638E" w:rsidRPr="002D3198" w:rsidRDefault="0072638E" w:rsidP="0072638E">
      <w:pPr>
        <w:keepNext/>
        <w:tabs>
          <w:tab w:val="left" w:pos="720"/>
          <w:tab w:val="left" w:pos="1440"/>
          <w:tab w:val="right" w:leader="dot" w:pos="8640"/>
        </w:tabs>
        <w:rPr>
          <w:b/>
        </w:rPr>
      </w:pPr>
      <w:r w:rsidRPr="002D3198">
        <w:rPr>
          <w:b/>
        </w:rPr>
        <w:t xml:space="preserve">                Tél : + (228)  22 26 89 90 ; 22 42 08 86</w:t>
      </w:r>
    </w:p>
    <w:p w:rsidR="0072638E" w:rsidRPr="002D3198" w:rsidRDefault="0072638E" w:rsidP="0072638E">
      <w:pPr>
        <w:keepNext/>
        <w:tabs>
          <w:tab w:val="left" w:pos="720"/>
          <w:tab w:val="left" w:pos="1440"/>
          <w:tab w:val="right" w:leader="dot" w:pos="8640"/>
        </w:tabs>
        <w:rPr>
          <w:b/>
        </w:rPr>
      </w:pPr>
      <w:r w:rsidRPr="002D3198">
        <w:rPr>
          <w:b/>
        </w:rPr>
        <w:t xml:space="preserve">                E-mail : itietogo@yahoo.fr</w:t>
      </w:r>
    </w:p>
    <w:bookmarkEnd w:id="5"/>
    <w:p w:rsidR="0072638E" w:rsidRDefault="0072638E" w:rsidP="0072638E">
      <w:pPr>
        <w:keepNext/>
        <w:tabs>
          <w:tab w:val="left" w:pos="720"/>
          <w:tab w:val="left" w:pos="1440"/>
          <w:tab w:val="right" w:leader="dot" w:pos="8640"/>
        </w:tabs>
      </w:pPr>
    </w:p>
    <w:p w:rsidR="0072638E" w:rsidRDefault="0072638E" w:rsidP="0072638E">
      <w:pPr>
        <w:numPr>
          <w:ilvl w:val="0"/>
          <w:numId w:val="4"/>
        </w:numPr>
        <w:tabs>
          <w:tab w:val="left" w:pos="720"/>
          <w:tab w:val="left" w:pos="1440"/>
          <w:tab w:val="right" w:leader="dot" w:pos="8640"/>
        </w:tabs>
      </w:pPr>
      <w:r>
        <w:t>que vous avez reçu cette lettre d’invitation ; et</w:t>
      </w:r>
    </w:p>
    <w:p w:rsidR="0072638E" w:rsidRDefault="0072638E" w:rsidP="0072638E">
      <w:pPr>
        <w:numPr>
          <w:ilvl w:val="12"/>
          <w:numId w:val="0"/>
        </w:numPr>
        <w:tabs>
          <w:tab w:val="left" w:pos="720"/>
          <w:tab w:val="left" w:pos="1440"/>
          <w:tab w:val="right" w:leader="dot" w:pos="8640"/>
        </w:tabs>
        <w:ind w:left="1080" w:hanging="360"/>
      </w:pPr>
    </w:p>
    <w:p w:rsidR="0072638E" w:rsidRDefault="0072638E" w:rsidP="0072638E">
      <w:pPr>
        <w:numPr>
          <w:ilvl w:val="0"/>
          <w:numId w:val="4"/>
        </w:numPr>
        <w:tabs>
          <w:tab w:val="left" w:pos="720"/>
          <w:tab w:val="left" w:pos="1440"/>
          <w:tab w:val="right" w:leader="dot" w:pos="8640"/>
        </w:tabs>
      </w:pPr>
      <w:r>
        <w:t>que vous soumettrez une proposition.</w:t>
      </w:r>
    </w:p>
    <w:p w:rsidR="0072638E" w:rsidRDefault="0072638E" w:rsidP="0072638E">
      <w:pPr>
        <w:tabs>
          <w:tab w:val="left" w:pos="720"/>
          <w:tab w:val="left" w:pos="1440"/>
          <w:tab w:val="left" w:pos="2880"/>
          <w:tab w:val="right" w:leader="dot" w:pos="8640"/>
        </w:tabs>
      </w:pPr>
    </w:p>
    <w:p w:rsidR="0072638E" w:rsidRDefault="0072638E" w:rsidP="0072638E">
      <w:pPr>
        <w:tabs>
          <w:tab w:val="left" w:pos="720"/>
          <w:tab w:val="left" w:pos="1440"/>
          <w:tab w:val="left" w:pos="2880"/>
          <w:tab w:val="left" w:pos="5760"/>
          <w:tab w:val="right" w:leader="dot" w:pos="8640"/>
        </w:tabs>
      </w:pPr>
      <w:r>
        <w:t>Veuillez agréer, Madame/Monsieur, l’assurance de ma considération distinguée.</w:t>
      </w:r>
    </w:p>
    <w:p w:rsidR="0072638E" w:rsidRDefault="0072638E" w:rsidP="0072638E">
      <w:pPr>
        <w:tabs>
          <w:tab w:val="left" w:pos="720"/>
          <w:tab w:val="left" w:pos="1440"/>
          <w:tab w:val="left" w:pos="2880"/>
          <w:tab w:val="left" w:pos="5760"/>
          <w:tab w:val="right" w:leader="dot" w:pos="8640"/>
        </w:tabs>
      </w:pPr>
    </w:p>
    <w:p w:rsidR="0072638E" w:rsidRDefault="0072638E" w:rsidP="0072638E"/>
    <w:p w:rsidR="0072638E" w:rsidRDefault="0072638E" w:rsidP="0072638E">
      <w:pPr>
        <w:jc w:val="right"/>
      </w:pPr>
      <w:r>
        <w:t>Personne Responsable des Marchés Publics</w:t>
      </w:r>
    </w:p>
    <w:p w:rsidR="0072638E" w:rsidRDefault="0072638E" w:rsidP="0072638E">
      <w:pPr>
        <w:jc w:val="right"/>
      </w:pPr>
      <w:r>
        <w:t>ITIE-Togo</w:t>
      </w:r>
    </w:p>
    <w:p w:rsidR="0072638E" w:rsidRDefault="0072638E" w:rsidP="0072638E">
      <w:pPr>
        <w:jc w:val="right"/>
      </w:pPr>
      <w:r>
        <w:t>Tél : 22 26 89 90</w:t>
      </w:r>
    </w:p>
    <w:p w:rsidR="0072638E" w:rsidRDefault="0072638E" w:rsidP="0072638E">
      <w:pPr>
        <w:jc w:val="right"/>
      </w:pPr>
    </w:p>
    <w:p w:rsidR="0072638E" w:rsidRDefault="0072638E" w:rsidP="0072638E">
      <w:pPr>
        <w:jc w:val="right"/>
      </w:pPr>
    </w:p>
    <w:p w:rsidR="00331F1F" w:rsidRDefault="00331F1F" w:rsidP="0072638E">
      <w:pPr>
        <w:jc w:val="right"/>
      </w:pPr>
    </w:p>
    <w:p w:rsidR="0072638E" w:rsidRDefault="0072638E" w:rsidP="0072638E">
      <w:pPr>
        <w:jc w:val="right"/>
      </w:pPr>
    </w:p>
    <w:p w:rsidR="0072638E" w:rsidRDefault="0072638E" w:rsidP="0072638E">
      <w:pPr>
        <w:jc w:val="right"/>
        <w:rPr>
          <w:b/>
        </w:rPr>
      </w:pPr>
      <w:r w:rsidRPr="00A57593">
        <w:rPr>
          <w:b/>
        </w:rPr>
        <w:t>Mensah K. K. DZIVENOU</w:t>
      </w:r>
    </w:p>
    <w:p w:rsidR="00014628" w:rsidRPr="00014628" w:rsidRDefault="00014628" w:rsidP="00014628">
      <w:pPr>
        <w:ind w:left="708" w:firstLine="708"/>
        <w:jc w:val="right"/>
        <w:rPr>
          <w:b/>
          <w:szCs w:val="24"/>
        </w:rPr>
      </w:pPr>
      <w:r>
        <w:rPr>
          <w:b/>
          <w:sz w:val="20"/>
        </w:rPr>
        <w:t xml:space="preserve">          </w:t>
      </w:r>
      <w:r w:rsidR="0072638E" w:rsidRPr="00014628">
        <w:rPr>
          <w:b/>
          <w:szCs w:val="24"/>
        </w:rPr>
        <w:t xml:space="preserve">Chef Cellule </w:t>
      </w:r>
      <w:r w:rsidRPr="00014628">
        <w:rPr>
          <w:b/>
          <w:szCs w:val="24"/>
        </w:rPr>
        <w:t>Information et</w:t>
      </w:r>
    </w:p>
    <w:p w:rsidR="0072638E" w:rsidRPr="00014628" w:rsidRDefault="00014628" w:rsidP="00014628">
      <w:pPr>
        <w:ind w:left="708" w:firstLine="708"/>
        <w:jc w:val="right"/>
        <w:rPr>
          <w:b/>
          <w:szCs w:val="24"/>
        </w:rPr>
      </w:pPr>
      <w:r w:rsidRPr="00014628">
        <w:rPr>
          <w:b/>
          <w:szCs w:val="24"/>
        </w:rPr>
        <w:t xml:space="preserve"> Communication</w:t>
      </w:r>
      <w:r w:rsidR="0072638E" w:rsidRPr="00014628">
        <w:rPr>
          <w:b/>
          <w:szCs w:val="24"/>
        </w:rPr>
        <w:t xml:space="preserve"> ITIE Togo</w:t>
      </w:r>
    </w:p>
    <w:p w:rsidR="0072638E" w:rsidRDefault="0072638E" w:rsidP="0072638E">
      <w:pPr>
        <w:tabs>
          <w:tab w:val="left" w:pos="720"/>
          <w:tab w:val="right" w:leader="dot" w:pos="8640"/>
        </w:tabs>
        <w:jc w:val="right"/>
        <w:rPr>
          <w:b/>
        </w:rPr>
      </w:pPr>
    </w:p>
    <w:p w:rsidR="0072638E" w:rsidRDefault="0072638E" w:rsidP="0072638E">
      <w:pPr>
        <w:tabs>
          <w:tab w:val="left" w:pos="720"/>
          <w:tab w:val="right" w:leader="dot" w:pos="8640"/>
        </w:tabs>
        <w:jc w:val="right"/>
        <w:rPr>
          <w:b/>
        </w:rPr>
      </w:pPr>
    </w:p>
    <w:p w:rsidR="0072638E" w:rsidRDefault="0072638E" w:rsidP="0072638E">
      <w:pPr>
        <w:tabs>
          <w:tab w:val="left" w:pos="720"/>
          <w:tab w:val="right" w:leader="dot" w:pos="8640"/>
        </w:tabs>
        <w:jc w:val="right"/>
        <w:rPr>
          <w:b/>
        </w:rPr>
      </w:pPr>
    </w:p>
    <w:p w:rsidR="0072638E" w:rsidRDefault="0072638E" w:rsidP="0072638E">
      <w:pPr>
        <w:tabs>
          <w:tab w:val="left" w:pos="720"/>
          <w:tab w:val="right" w:leader="dot" w:pos="8640"/>
        </w:tabs>
        <w:jc w:val="right"/>
        <w:rPr>
          <w:b/>
        </w:rPr>
      </w:pPr>
    </w:p>
    <w:p w:rsidR="0072638E" w:rsidRDefault="0072638E" w:rsidP="0072638E">
      <w:pPr>
        <w:tabs>
          <w:tab w:val="left" w:pos="720"/>
          <w:tab w:val="right" w:leader="dot" w:pos="8640"/>
        </w:tabs>
        <w:jc w:val="right"/>
        <w:rPr>
          <w:b/>
        </w:rPr>
      </w:pPr>
    </w:p>
    <w:p w:rsidR="0072638E" w:rsidRDefault="0072638E" w:rsidP="0072638E">
      <w:pPr>
        <w:tabs>
          <w:tab w:val="left" w:pos="720"/>
          <w:tab w:val="right" w:leader="dot" w:pos="8640"/>
        </w:tabs>
        <w:jc w:val="right"/>
        <w:rPr>
          <w:b/>
        </w:rPr>
      </w:pPr>
    </w:p>
    <w:p w:rsidR="004C6182" w:rsidRDefault="004C6182" w:rsidP="004C6182">
      <w:pPr>
        <w:pStyle w:val="Heading1"/>
      </w:pPr>
      <w:bookmarkStart w:id="6" w:name="_Toc72513658"/>
      <w:bookmarkStart w:id="7" w:name="_Toc72514638"/>
      <w:bookmarkStart w:id="8" w:name="_Toc72515052"/>
      <w:bookmarkStart w:id="9" w:name="_Toc189450391"/>
      <w:r>
        <w:t xml:space="preserve">Section 2. </w:t>
      </w:r>
      <w:r w:rsidRPr="007C7642">
        <w:t>Instructions</w:t>
      </w:r>
      <w:r>
        <w:t xml:space="preserve"> aux Candidats</w:t>
      </w:r>
      <w:bookmarkEnd w:id="6"/>
      <w:bookmarkEnd w:id="7"/>
      <w:bookmarkEnd w:id="8"/>
      <w:bookmarkEnd w:id="9"/>
      <w:r>
        <w:t xml:space="preserve"> (IC)</w:t>
      </w:r>
    </w:p>
    <w:p w:rsidR="004C6182" w:rsidRDefault="004C6182" w:rsidP="004C6182">
      <w:pPr>
        <w:pStyle w:val="BankNormal"/>
        <w:spacing w:after="0"/>
        <w:ind w:left="3600"/>
      </w:pPr>
    </w:p>
    <w:tbl>
      <w:tblPr>
        <w:tblW w:w="0" w:type="auto"/>
        <w:tblInd w:w="14" w:type="dxa"/>
        <w:tblLayout w:type="fixed"/>
        <w:tblLook w:val="0000" w:firstRow="0" w:lastRow="0" w:firstColumn="0" w:lastColumn="0" w:noHBand="0" w:noVBand="0"/>
      </w:tblPr>
      <w:tblGrid>
        <w:gridCol w:w="2160"/>
        <w:gridCol w:w="7110"/>
      </w:tblGrid>
      <w:tr w:rsidR="004C6182" w:rsidTr="007C5949">
        <w:tc>
          <w:tcPr>
            <w:tcW w:w="2160" w:type="dxa"/>
          </w:tcPr>
          <w:p w:rsidR="004C6182" w:rsidRDefault="004C6182" w:rsidP="007C5949">
            <w:pPr>
              <w:pStyle w:val="Style1Clauses"/>
            </w:pPr>
            <w:r>
              <w:t>Définitions</w:t>
            </w:r>
          </w:p>
        </w:tc>
        <w:tc>
          <w:tcPr>
            <w:tcW w:w="7110" w:type="dxa"/>
          </w:tcPr>
          <w:p w:rsidR="004C6182" w:rsidRPr="00657C3E" w:rsidRDefault="004C6182" w:rsidP="004C6182">
            <w:pPr>
              <w:pStyle w:val="BankNormal"/>
              <w:numPr>
                <w:ilvl w:val="0"/>
                <w:numId w:val="15"/>
              </w:numPr>
              <w:tabs>
                <w:tab w:val="clear" w:pos="2550"/>
              </w:tabs>
              <w:spacing w:after="200"/>
              <w:ind w:left="526" w:hanging="526"/>
              <w:jc w:val="both"/>
            </w:pPr>
            <w:r w:rsidRPr="00657C3E">
              <w:t>Autorité contractante : l’institution avec laquelle le Candidat sélectionné signe le Marché.</w:t>
            </w:r>
          </w:p>
          <w:p w:rsidR="004C6182" w:rsidRPr="00657C3E" w:rsidRDefault="004C6182" w:rsidP="004C6182">
            <w:pPr>
              <w:pStyle w:val="BankNormal"/>
              <w:numPr>
                <w:ilvl w:val="0"/>
                <w:numId w:val="15"/>
              </w:numPr>
              <w:tabs>
                <w:tab w:val="clear" w:pos="2550"/>
              </w:tabs>
              <w:spacing w:after="200"/>
              <w:ind w:left="526" w:hanging="526"/>
              <w:jc w:val="both"/>
            </w:pPr>
            <w:r w:rsidRPr="00657C3E">
              <w:t>Consultant : toute entité ou personne qui peut fournir ou qui fournit les prestations à l’Autorité contractante en vertu du Marché.</w:t>
            </w:r>
          </w:p>
          <w:p w:rsidR="004C6182" w:rsidRPr="00657C3E" w:rsidRDefault="004C6182" w:rsidP="004C6182">
            <w:pPr>
              <w:pStyle w:val="BankNormal"/>
              <w:numPr>
                <w:ilvl w:val="0"/>
                <w:numId w:val="15"/>
              </w:numPr>
              <w:tabs>
                <w:tab w:val="clear" w:pos="2550"/>
              </w:tabs>
              <w:spacing w:after="200"/>
              <w:ind w:left="526" w:hanging="526"/>
              <w:jc w:val="both"/>
            </w:pPr>
            <w:r w:rsidRPr="00657C3E">
              <w:t xml:space="preserve"> Marché : le marché signé par les Parties et tous les documents annexés énumérés à la Clause 1, à savoir les Conditions générales (CG), les Conditions particulières (CP) et les Annexes</w:t>
            </w:r>
          </w:p>
          <w:p w:rsidR="004C6182" w:rsidRPr="00657C3E" w:rsidRDefault="004C6182" w:rsidP="004C6182">
            <w:pPr>
              <w:pStyle w:val="BankNormal"/>
              <w:numPr>
                <w:ilvl w:val="0"/>
                <w:numId w:val="15"/>
              </w:numPr>
              <w:tabs>
                <w:tab w:val="clear" w:pos="2550"/>
              </w:tabs>
              <w:spacing w:after="200"/>
              <w:ind w:left="526" w:hanging="526"/>
              <w:jc w:val="both"/>
            </w:pPr>
            <w:r w:rsidRPr="00657C3E">
              <w:t>Données particulières : la Section 3 qui énonce les conditions propres à la mission.</w:t>
            </w:r>
          </w:p>
          <w:p w:rsidR="004C6182" w:rsidRPr="00657C3E" w:rsidRDefault="004C6182" w:rsidP="004C6182">
            <w:pPr>
              <w:pStyle w:val="BankNormal"/>
              <w:numPr>
                <w:ilvl w:val="0"/>
                <w:numId w:val="15"/>
              </w:numPr>
              <w:tabs>
                <w:tab w:val="clear" w:pos="2550"/>
              </w:tabs>
              <w:spacing w:after="200"/>
              <w:ind w:left="526" w:hanging="526"/>
              <w:jc w:val="both"/>
            </w:pPr>
            <w:r w:rsidRPr="00657C3E">
              <w:t xml:space="preserve">Jour : il s’agit d’une journée calendaire; sauf indication contraire, </w:t>
            </w:r>
            <w:r w:rsidRPr="00DE0B05">
              <w:t>les délais sont exprimés en jours francs, à savoir en nombre de jours entiers, sans inclure dans le délai le jour de son point de départ, ni le dernier jour</w:t>
            </w:r>
            <w:r w:rsidRPr="00657C3E">
              <w:t>.</w:t>
            </w:r>
          </w:p>
          <w:p w:rsidR="004C6182" w:rsidRPr="00657C3E" w:rsidRDefault="004C6182" w:rsidP="004C6182">
            <w:pPr>
              <w:pStyle w:val="BankNormal"/>
              <w:numPr>
                <w:ilvl w:val="0"/>
                <w:numId w:val="15"/>
              </w:numPr>
              <w:tabs>
                <w:tab w:val="clear" w:pos="2550"/>
              </w:tabs>
              <w:spacing w:after="200"/>
              <w:ind w:left="526" w:hanging="526"/>
              <w:jc w:val="both"/>
            </w:pPr>
            <w:r w:rsidRPr="00657C3E">
              <w:t>Instructions aux Candidats : (Section 2 de la DP) le document donnant aux candidats les informations nécessaires à l’élaboration de leur Proposition.</w:t>
            </w:r>
          </w:p>
          <w:p w:rsidR="004C6182" w:rsidRPr="00657C3E" w:rsidRDefault="004C6182" w:rsidP="004C6182">
            <w:pPr>
              <w:pStyle w:val="BankNormal"/>
              <w:numPr>
                <w:ilvl w:val="0"/>
                <w:numId w:val="15"/>
              </w:numPr>
              <w:tabs>
                <w:tab w:val="clear" w:pos="2550"/>
              </w:tabs>
              <w:spacing w:after="200"/>
              <w:ind w:left="526" w:hanging="526"/>
              <w:jc w:val="both"/>
            </w:pPr>
            <w:r w:rsidRPr="00657C3E">
              <w:t>Lettre d’Invitation (Section 1 de la DP) : la Lettre d’invitation envoyée par l’Autorité contractante aux Candidats présélectionnés.</w:t>
            </w:r>
          </w:p>
          <w:p w:rsidR="004C6182" w:rsidRPr="00657C3E" w:rsidRDefault="004C6182" w:rsidP="004C6182">
            <w:pPr>
              <w:pStyle w:val="BankNormal"/>
              <w:numPr>
                <w:ilvl w:val="0"/>
                <w:numId w:val="15"/>
              </w:numPr>
              <w:tabs>
                <w:tab w:val="clear" w:pos="2550"/>
              </w:tabs>
              <w:spacing w:after="200"/>
              <w:ind w:left="526" w:hanging="526"/>
              <w:jc w:val="both"/>
            </w:pPr>
            <w:r w:rsidRPr="00657C3E">
              <w:t>Personnel : le personnel spécialisé et d’appui fourni par le Consultant ou par tout Sous-traitant de celui-ci et désigné pour la prestation des services ou d’une partie de ceux-ci.</w:t>
            </w:r>
          </w:p>
          <w:p w:rsidR="004C6182" w:rsidRPr="00657C3E" w:rsidRDefault="004C6182" w:rsidP="004C6182">
            <w:pPr>
              <w:pStyle w:val="BankNormal"/>
              <w:numPr>
                <w:ilvl w:val="0"/>
                <w:numId w:val="15"/>
              </w:numPr>
              <w:tabs>
                <w:tab w:val="clear" w:pos="2550"/>
              </w:tabs>
              <w:spacing w:after="200"/>
              <w:ind w:left="526" w:hanging="526"/>
            </w:pPr>
            <w:r w:rsidRPr="00657C3E">
              <w:t>Proposition : la proposition technique et la proposition financière.</w:t>
            </w:r>
          </w:p>
          <w:p w:rsidR="004C6182" w:rsidRPr="00657C3E" w:rsidRDefault="004C6182" w:rsidP="004C6182">
            <w:pPr>
              <w:pStyle w:val="BankNormal"/>
              <w:numPr>
                <w:ilvl w:val="0"/>
                <w:numId w:val="15"/>
              </w:numPr>
              <w:tabs>
                <w:tab w:val="clear" w:pos="2550"/>
              </w:tabs>
              <w:spacing w:after="220"/>
              <w:ind w:left="533" w:hanging="533"/>
              <w:jc w:val="both"/>
            </w:pPr>
            <w:r w:rsidRPr="00657C3E">
              <w:t>Demande de Propositions (DP) : Demande de proposition</w:t>
            </w:r>
            <w:r>
              <w:t>s</w:t>
            </w:r>
            <w:r w:rsidRPr="00657C3E">
              <w:t xml:space="preserve"> préparée par l’Autorité contractante en vue de la sélection des Consultants.</w:t>
            </w:r>
          </w:p>
          <w:p w:rsidR="004C6182" w:rsidRPr="00657C3E" w:rsidRDefault="004C6182" w:rsidP="004C6182">
            <w:pPr>
              <w:pStyle w:val="BankNormal"/>
              <w:numPr>
                <w:ilvl w:val="0"/>
                <w:numId w:val="15"/>
              </w:numPr>
              <w:tabs>
                <w:tab w:val="clear" w:pos="2550"/>
              </w:tabs>
              <w:spacing w:after="220"/>
              <w:ind w:left="533" w:hanging="533"/>
              <w:jc w:val="both"/>
            </w:pPr>
            <w:r w:rsidRPr="00657C3E">
              <w:t>Prestations : le travail devant être exécuté par le Consultant en vertu du Marché.</w:t>
            </w:r>
          </w:p>
          <w:p w:rsidR="004C6182" w:rsidRPr="00657C3E" w:rsidRDefault="004C6182" w:rsidP="004C6182">
            <w:pPr>
              <w:pStyle w:val="BankNormal"/>
              <w:numPr>
                <w:ilvl w:val="0"/>
                <w:numId w:val="15"/>
              </w:numPr>
              <w:tabs>
                <w:tab w:val="clear" w:pos="2550"/>
              </w:tabs>
              <w:spacing w:after="220"/>
              <w:ind w:left="533" w:hanging="533"/>
              <w:jc w:val="both"/>
            </w:pPr>
            <w:r w:rsidRPr="00657C3E">
              <w:t>Sous-traitant : toute personne ou entité engagée par le Consultant pour exécuter une partie des Prestations.</w:t>
            </w:r>
          </w:p>
          <w:p w:rsidR="004C6182" w:rsidRPr="00657C3E" w:rsidRDefault="004C6182" w:rsidP="004C6182">
            <w:pPr>
              <w:pStyle w:val="BankNormal"/>
              <w:numPr>
                <w:ilvl w:val="0"/>
                <w:numId w:val="15"/>
              </w:numPr>
              <w:tabs>
                <w:tab w:val="clear" w:pos="2550"/>
              </w:tabs>
              <w:spacing w:after="220"/>
              <w:ind w:left="533" w:hanging="533"/>
              <w:jc w:val="both"/>
            </w:pPr>
            <w:r w:rsidRPr="00657C3E">
              <w:t xml:space="preserve">Termes de référence (TDR) : le document figurant à la Section 6 de la DP qui énonce les objectifs, le champ d’application, les activités, les tâches à exécuter, les responsabilités respectives de l’Autorité contractante et du Consultant ainsi que les résultats </w:t>
            </w:r>
            <w:r w:rsidRPr="00657C3E">
              <w:lastRenderedPageBreak/>
              <w:t>attendus devant être fournis dans le cadre de la Mission.</w:t>
            </w:r>
          </w:p>
        </w:tc>
      </w:tr>
      <w:tr w:rsidR="004C6182" w:rsidTr="007C5949">
        <w:tc>
          <w:tcPr>
            <w:tcW w:w="2160" w:type="dxa"/>
          </w:tcPr>
          <w:p w:rsidR="004C6182" w:rsidRDefault="004C6182" w:rsidP="004C6182">
            <w:pPr>
              <w:numPr>
                <w:ilvl w:val="0"/>
                <w:numId w:val="6"/>
              </w:numPr>
              <w:tabs>
                <w:tab w:val="left" w:pos="259"/>
              </w:tabs>
            </w:pPr>
            <w:r>
              <w:rPr>
                <w:rFonts w:ascii="Times New Roman Bold" w:hAnsi="Times New Roman Bold"/>
                <w:b/>
              </w:rPr>
              <w:lastRenderedPageBreak/>
              <w:t>Introduction</w:t>
            </w:r>
          </w:p>
        </w:tc>
        <w:tc>
          <w:tcPr>
            <w:tcW w:w="7110" w:type="dxa"/>
          </w:tcPr>
          <w:p w:rsidR="004C6182" w:rsidRPr="00A40C89" w:rsidRDefault="004C6182" w:rsidP="004C6182">
            <w:pPr>
              <w:pStyle w:val="Header3-Paragraph"/>
              <w:numPr>
                <w:ilvl w:val="1"/>
                <w:numId w:val="5"/>
              </w:numPr>
              <w:tabs>
                <w:tab w:val="clear" w:pos="504"/>
              </w:tabs>
              <w:overflowPunct/>
              <w:autoSpaceDE/>
              <w:autoSpaceDN/>
              <w:adjustRightInd/>
              <w:spacing w:after="220"/>
              <w:ind w:left="612" w:hanging="612"/>
              <w:textAlignment w:val="auto"/>
              <w:rPr>
                <w:lang w:val="fr-FR"/>
              </w:rPr>
            </w:pPr>
            <w:r w:rsidRPr="00657C3E">
              <w:rPr>
                <w:lang w:val="fr-FR"/>
              </w:rPr>
              <w:t xml:space="preserve">L’Autorité contractante figurant dans les </w:t>
            </w:r>
            <w:r w:rsidRPr="001A08E4">
              <w:rPr>
                <w:b/>
                <w:lang w:val="fr-FR"/>
              </w:rPr>
              <w:t>Données particulières</w:t>
            </w:r>
            <w:r w:rsidRPr="00657C3E">
              <w:rPr>
                <w:lang w:val="fr-FR"/>
              </w:rPr>
              <w:t xml:space="preserve"> sélectionne</w:t>
            </w:r>
            <w:r w:rsidRPr="000939DF">
              <w:rPr>
                <w:lang w:val="fr-FR"/>
              </w:rPr>
              <w:t>ra un Prestataire parmi ceux</w:t>
            </w:r>
            <w:r w:rsidRPr="00A40C89">
              <w:rPr>
                <w:lang w:val="fr-FR"/>
              </w:rPr>
              <w:t xml:space="preserve"> dont les noms figurent sur la Lettre d’invitation, conformément à la méthode de sélection spécifiée dans les </w:t>
            </w:r>
            <w:r w:rsidRPr="001A08E4">
              <w:rPr>
                <w:b/>
                <w:lang w:val="fr-FR"/>
              </w:rPr>
              <w:t>Données particulières</w:t>
            </w:r>
            <w:r w:rsidRPr="00A40C89">
              <w:rPr>
                <w:lang w:val="fr-FR"/>
              </w:rPr>
              <w:t>.</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863540" w:rsidRDefault="004C6182" w:rsidP="004C6182">
            <w:pPr>
              <w:pStyle w:val="Header3-Paragraph"/>
              <w:numPr>
                <w:ilvl w:val="1"/>
                <w:numId w:val="5"/>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présélectionnés sont invités à soumettre une Proposition technique et une Proposition financière, pour la prestation des services de consultants nécessaires pour exécuter la mission désignée dans les </w:t>
            </w:r>
            <w:r w:rsidRPr="001A08E4">
              <w:rPr>
                <w:b/>
                <w:lang w:val="fr-FR"/>
              </w:rPr>
              <w:t>Données particulières</w:t>
            </w:r>
            <w:r w:rsidRPr="004356CE">
              <w:rPr>
                <w:lang w:val="fr-FR"/>
              </w:rPr>
              <w:t xml:space="preserve">. </w:t>
            </w:r>
            <w:r w:rsidRPr="00863540">
              <w:rPr>
                <w:lang w:val="fr-FR"/>
              </w:rPr>
              <w:t xml:space="preserve">La proposition du candidat sélectionné servira de base aux négociations du </w:t>
            </w:r>
            <w:r>
              <w:rPr>
                <w:lang w:val="fr-FR"/>
              </w:rPr>
              <w:t>marché</w:t>
            </w:r>
            <w:r w:rsidRPr="00863540">
              <w:rPr>
                <w:lang w:val="fr-FR"/>
              </w:rPr>
              <w:t xml:space="preserve"> et, à terme, à l’établissement du </w:t>
            </w:r>
            <w:r>
              <w:rPr>
                <w:lang w:val="fr-FR"/>
              </w:rPr>
              <w:t>marché</w:t>
            </w:r>
            <w:r w:rsidRPr="00863540">
              <w:rPr>
                <w:lang w:val="fr-FR"/>
              </w:rPr>
              <w:t xml:space="preserve"> qui sera signé avec le </w:t>
            </w:r>
            <w:r>
              <w:rPr>
                <w:lang w:val="fr-FR"/>
              </w:rPr>
              <w:t>Candidat</w:t>
            </w:r>
            <w:r w:rsidRPr="00863540">
              <w:rPr>
                <w:lang w:val="fr-FR"/>
              </w:rPr>
              <w:t xml:space="preserve"> retenu.</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863540" w:rsidRDefault="004C6182" w:rsidP="004C6182">
            <w:pPr>
              <w:pStyle w:val="Header3-Paragraph"/>
              <w:numPr>
                <w:ilvl w:val="1"/>
                <w:numId w:val="5"/>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doivent s’informer des conditions locales et en tenir compte dans l’établissement de leurs propositions. </w:t>
            </w:r>
            <w:r w:rsidRPr="00863540">
              <w:rPr>
                <w:lang w:val="fr-FR"/>
              </w:rPr>
              <w:t xml:space="preserve">Pour obtenir des informations de première main sur la mission et les conditions locales, il est recommandé aux </w:t>
            </w:r>
            <w:r>
              <w:rPr>
                <w:lang w:val="fr-FR"/>
              </w:rPr>
              <w:t>Candidat</w:t>
            </w:r>
            <w:r w:rsidRPr="00863540">
              <w:rPr>
                <w:lang w:val="fr-FR"/>
              </w:rPr>
              <w:t xml:space="preserve">s de rencontrer </w:t>
            </w:r>
            <w:r>
              <w:rPr>
                <w:lang w:val="fr-FR"/>
              </w:rPr>
              <w:t>l’Autorité contractante</w:t>
            </w:r>
            <w:r w:rsidRPr="00863540">
              <w:rPr>
                <w:lang w:val="fr-FR"/>
              </w:rPr>
              <w:t xml:space="preserve"> avant de soumettre une proposition et d’assister à la conférence préparatoire, si les </w:t>
            </w:r>
            <w:r w:rsidRPr="001A08E4">
              <w:rPr>
                <w:b/>
                <w:lang w:val="fr-FR"/>
              </w:rPr>
              <w:t>Données particulières</w:t>
            </w:r>
            <w:r w:rsidRPr="00863540">
              <w:rPr>
                <w:lang w:val="fr-FR"/>
              </w:rPr>
              <w:t xml:space="preserve"> en prévoient une. La participation à cette réunion n’est pas obligatoire. Les </w:t>
            </w:r>
            <w:r>
              <w:rPr>
                <w:lang w:val="fr-FR"/>
              </w:rPr>
              <w:t>Candidat</w:t>
            </w:r>
            <w:r w:rsidRPr="00863540">
              <w:rPr>
                <w:lang w:val="fr-FR"/>
              </w:rPr>
              <w:t xml:space="preserve">s doivent contacter le représentant </w:t>
            </w:r>
            <w:r>
              <w:rPr>
                <w:lang w:val="fr-FR"/>
              </w:rPr>
              <w:t>de l’Autorité contractante</w:t>
            </w:r>
            <w:r w:rsidRPr="00863540">
              <w:rPr>
                <w:lang w:val="fr-FR"/>
              </w:rPr>
              <w:t xml:space="preserve"> mentionné dans les </w:t>
            </w:r>
            <w:r w:rsidRPr="001A08E4">
              <w:rPr>
                <w:b/>
                <w:lang w:val="fr-FR"/>
              </w:rPr>
              <w:t>Données particulières</w:t>
            </w:r>
            <w:r w:rsidRPr="00863540">
              <w:rPr>
                <w:lang w:val="fr-FR"/>
              </w:rPr>
              <w:t xml:space="preserve"> pour organiser une visite ou obtenir des renseignements complémentaires sur la conférence préparatoire. Les </w:t>
            </w:r>
            <w:r>
              <w:rPr>
                <w:lang w:val="fr-FR"/>
              </w:rPr>
              <w:t>Candidat</w:t>
            </w:r>
            <w:r w:rsidRPr="00863540">
              <w:rPr>
                <w:lang w:val="fr-FR"/>
              </w:rPr>
              <w:t>s doivent s'assurer que ces responsables sont informés de leur visite en temps voulu pour pouvoir prendre les dispositions appropriées.</w:t>
            </w:r>
          </w:p>
          <w:p w:rsidR="004C6182" w:rsidRPr="004356CE" w:rsidRDefault="004C6182" w:rsidP="004C6182">
            <w:pPr>
              <w:pStyle w:val="Header3-Paragraph"/>
              <w:numPr>
                <w:ilvl w:val="1"/>
                <w:numId w:val="5"/>
              </w:numPr>
              <w:tabs>
                <w:tab w:val="clear" w:pos="504"/>
              </w:tabs>
              <w:overflowPunct/>
              <w:autoSpaceDE/>
              <w:autoSpaceDN/>
              <w:adjustRightInd/>
              <w:spacing w:after="220"/>
              <w:ind w:left="612" w:hanging="612"/>
              <w:textAlignment w:val="auto"/>
              <w:rPr>
                <w:lang w:val="fr-FR"/>
              </w:rPr>
            </w:pPr>
            <w:r>
              <w:rPr>
                <w:lang w:val="fr-FR"/>
              </w:rPr>
              <w:t>L’Autorité contractante</w:t>
            </w:r>
            <w:r w:rsidRPr="004356CE">
              <w:rPr>
                <w:lang w:val="fr-FR"/>
              </w:rPr>
              <w:t xml:space="preserve"> fournit aux Consultants, en temps opportun et à titre gracieux les services et installations spécifiés dans les </w:t>
            </w:r>
            <w:r w:rsidRPr="001A08E4">
              <w:rPr>
                <w:b/>
                <w:lang w:val="fr-FR"/>
              </w:rPr>
              <w:t>Données particulières</w:t>
            </w:r>
            <w:r w:rsidRPr="004356CE">
              <w:rPr>
                <w:lang w:val="fr-FR"/>
              </w:rPr>
              <w:t>, aide le Consultant à obtenir les licences et permis nécessaires à la prestation des services, et fournit les données et rapports afférents aux projets.</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863540" w:rsidRDefault="004C6182" w:rsidP="004C6182">
            <w:pPr>
              <w:pStyle w:val="Header3-Paragraph"/>
              <w:numPr>
                <w:ilvl w:val="1"/>
                <w:numId w:val="5"/>
              </w:numPr>
              <w:tabs>
                <w:tab w:val="clear" w:pos="504"/>
              </w:tabs>
              <w:overflowPunct/>
              <w:autoSpaceDE/>
              <w:autoSpaceDN/>
              <w:adjustRightInd/>
              <w:spacing w:after="220"/>
              <w:ind w:left="612" w:hanging="612"/>
              <w:textAlignment w:val="auto"/>
              <w:rPr>
                <w:lang w:val="fr-FR"/>
              </w:rPr>
            </w:pPr>
            <w:r w:rsidRPr="00D33A05">
              <w:rPr>
                <w:lang w:val="fr-FR"/>
              </w:rPr>
              <w:t xml:space="preserve">Les </w:t>
            </w:r>
            <w:r>
              <w:rPr>
                <w:lang w:val="fr-FR"/>
              </w:rPr>
              <w:t>Candidat</w:t>
            </w:r>
            <w:r w:rsidRPr="00D33A05">
              <w:rPr>
                <w:lang w:val="fr-FR"/>
              </w:rPr>
              <w:t xml:space="preserve">s sont responsables de tous les frais liés à l’élaboration et à la présentation de leur proposition ainsi qu’aux négociations relatives au </w:t>
            </w:r>
            <w:r>
              <w:rPr>
                <w:lang w:val="fr-FR"/>
              </w:rPr>
              <w:t>marché</w:t>
            </w:r>
            <w:r w:rsidRPr="00D33A05">
              <w:rPr>
                <w:lang w:val="fr-FR"/>
              </w:rPr>
              <w:t xml:space="preserve">. </w:t>
            </w:r>
            <w:r>
              <w:rPr>
                <w:lang w:val="fr-FR"/>
              </w:rPr>
              <w:t>L’Autorité contractante</w:t>
            </w:r>
            <w:r w:rsidRPr="00863540">
              <w:rPr>
                <w:lang w:val="fr-FR"/>
              </w:rPr>
              <w:t xml:space="preserve"> n’est nullement tenu</w:t>
            </w:r>
            <w:r>
              <w:rPr>
                <w:lang w:val="fr-FR"/>
              </w:rPr>
              <w:t>e</w:t>
            </w:r>
            <w:r w:rsidRPr="00863540">
              <w:rPr>
                <w:lang w:val="fr-FR"/>
              </w:rPr>
              <w:t xml:space="preserve"> d’accepter l’une quelconque des propositions et se réserve le droit, à tout moment avant l’attribution de celui-ci, d’annuler la procédure de sélection sans encourir de responsabilité envers le </w:t>
            </w:r>
            <w:r>
              <w:rPr>
                <w:lang w:val="fr-FR"/>
              </w:rPr>
              <w:t>Candidat</w:t>
            </w:r>
            <w:r w:rsidRPr="00863540">
              <w:rPr>
                <w:lang w:val="fr-FR"/>
              </w:rPr>
              <w:t>.</w:t>
            </w:r>
          </w:p>
        </w:tc>
      </w:tr>
      <w:tr w:rsidR="004C6182" w:rsidTr="007C5949">
        <w:tc>
          <w:tcPr>
            <w:tcW w:w="2160" w:type="dxa"/>
          </w:tcPr>
          <w:p w:rsidR="004C6182" w:rsidRDefault="004C6182" w:rsidP="004C6182">
            <w:pPr>
              <w:numPr>
                <w:ilvl w:val="0"/>
                <w:numId w:val="6"/>
              </w:numPr>
              <w:tabs>
                <w:tab w:val="left" w:pos="259"/>
              </w:tabs>
            </w:pPr>
            <w:r>
              <w:rPr>
                <w:b/>
              </w:rPr>
              <w:t>Conflit d’intérêts</w:t>
            </w:r>
          </w:p>
        </w:tc>
        <w:tc>
          <w:tcPr>
            <w:tcW w:w="7110" w:type="dxa"/>
          </w:tcPr>
          <w:p w:rsidR="004C6182" w:rsidRPr="00D33A05" w:rsidRDefault="004C6182" w:rsidP="004C6182">
            <w:pPr>
              <w:pStyle w:val="Header3-Paragraph"/>
              <w:numPr>
                <w:ilvl w:val="1"/>
                <w:numId w:val="7"/>
              </w:numPr>
              <w:overflowPunct/>
              <w:autoSpaceDE/>
              <w:autoSpaceDN/>
              <w:adjustRightInd/>
              <w:spacing w:after="220"/>
              <w:textAlignment w:val="auto"/>
              <w:rPr>
                <w:lang w:val="fr-FR"/>
              </w:rPr>
            </w:pPr>
            <w:r w:rsidRPr="00D33A05">
              <w:rPr>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D33A05" w:rsidRDefault="004C6182" w:rsidP="004C6182">
            <w:pPr>
              <w:pStyle w:val="Header3-Paragraph"/>
              <w:numPr>
                <w:ilvl w:val="1"/>
                <w:numId w:val="7"/>
              </w:numPr>
              <w:overflowPunct/>
              <w:autoSpaceDE/>
              <w:autoSpaceDN/>
              <w:adjustRightInd/>
              <w:spacing w:after="220"/>
              <w:textAlignment w:val="auto"/>
              <w:rPr>
                <w:lang w:val="fr-FR"/>
              </w:rPr>
            </w:pPr>
            <w:r w:rsidRPr="00D33A05">
              <w:rPr>
                <w:lang w:val="fr-FR"/>
              </w:rPr>
              <w:t xml:space="preserve">Sans préjudice du caractère général de cette règle, les </w:t>
            </w:r>
            <w:r>
              <w:rPr>
                <w:lang w:val="fr-FR"/>
              </w:rPr>
              <w:t>Candidat</w:t>
            </w:r>
            <w:r w:rsidRPr="00D33A05">
              <w:rPr>
                <w:lang w:val="fr-FR"/>
              </w:rPr>
              <w:t xml:space="preserve">s, </w:t>
            </w:r>
            <w:r w:rsidRPr="00D33A05">
              <w:rPr>
                <w:lang w:val="fr-FR"/>
              </w:rPr>
              <w:lastRenderedPageBreak/>
              <w:t>ainsi que toute entreprise qui leur est affiliée, sont réputés avoir un conflit d’intérêt</w:t>
            </w:r>
            <w:r>
              <w:rPr>
                <w:lang w:val="fr-FR"/>
              </w:rPr>
              <w:t>s</w:t>
            </w:r>
            <w:r w:rsidRPr="00D33A05">
              <w:rPr>
                <w:lang w:val="fr-FR"/>
              </w:rPr>
              <w:t xml:space="preserve"> et ne seront pas recrutés dans les circonstances stipulées ci-après :</w:t>
            </w:r>
          </w:p>
        </w:tc>
      </w:tr>
      <w:tr w:rsidR="004C6182" w:rsidTr="007C5949">
        <w:tc>
          <w:tcPr>
            <w:tcW w:w="2160" w:type="dxa"/>
          </w:tcPr>
          <w:p w:rsidR="004C6182" w:rsidRDefault="004C6182" w:rsidP="007C5949">
            <w:pPr>
              <w:tabs>
                <w:tab w:val="left" w:pos="259"/>
              </w:tabs>
              <w:ind w:left="259" w:hanging="259"/>
              <w:rPr>
                <w:b/>
              </w:rPr>
            </w:pPr>
            <w:r>
              <w:rPr>
                <w:b/>
              </w:rPr>
              <w:lastRenderedPageBreak/>
              <w:t>Activités incompatibles</w:t>
            </w:r>
          </w:p>
        </w:tc>
        <w:tc>
          <w:tcPr>
            <w:tcW w:w="7110" w:type="dxa"/>
          </w:tcPr>
          <w:p w:rsidR="004C6182" w:rsidRDefault="004C6182" w:rsidP="007C5949">
            <w:pPr>
              <w:spacing w:after="160"/>
              <w:ind w:left="720"/>
              <w:jc w:val="both"/>
            </w:pPr>
            <w:r>
              <w:t>(i) Aucun bureau d’études engagé pour fournir des services de conseil en vue de la préparation ou de l’exécution d’un projet, ni aucune entreprise qui lui est affiliée, n’est admis ultérieurement à fournir des biens, ou réaliser des travaux.</w:t>
            </w:r>
          </w:p>
        </w:tc>
      </w:tr>
      <w:tr w:rsidR="004C6182" w:rsidTr="007C5949">
        <w:tc>
          <w:tcPr>
            <w:tcW w:w="2160" w:type="dxa"/>
          </w:tcPr>
          <w:p w:rsidR="004C6182" w:rsidRDefault="004C6182" w:rsidP="007C5949">
            <w:pPr>
              <w:tabs>
                <w:tab w:val="left" w:pos="259"/>
              </w:tabs>
              <w:ind w:left="259" w:hanging="259"/>
              <w:rPr>
                <w:b/>
              </w:rPr>
            </w:pPr>
            <w:r>
              <w:rPr>
                <w:b/>
              </w:rPr>
              <w:t>Missions incompatibles</w:t>
            </w:r>
          </w:p>
        </w:tc>
        <w:tc>
          <w:tcPr>
            <w:tcW w:w="7110" w:type="dxa"/>
          </w:tcPr>
          <w:p w:rsidR="004C6182" w:rsidRDefault="004C6182" w:rsidP="007C5949">
            <w:pPr>
              <w:spacing w:after="160"/>
              <w:ind w:left="720"/>
              <w:jc w:val="both"/>
            </w:pPr>
            <w:r>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p>
        </w:tc>
      </w:tr>
      <w:tr w:rsidR="004C6182" w:rsidTr="007C5949">
        <w:tc>
          <w:tcPr>
            <w:tcW w:w="2160" w:type="dxa"/>
          </w:tcPr>
          <w:p w:rsidR="004C6182" w:rsidRDefault="004C6182" w:rsidP="007C5949">
            <w:pPr>
              <w:tabs>
                <w:tab w:val="left" w:pos="259"/>
              </w:tabs>
              <w:ind w:left="259" w:hanging="259"/>
              <w:rPr>
                <w:b/>
              </w:rPr>
            </w:pPr>
            <w:r>
              <w:rPr>
                <w:b/>
              </w:rPr>
              <w:t>Relations incompatibles</w:t>
            </w:r>
          </w:p>
        </w:tc>
        <w:tc>
          <w:tcPr>
            <w:tcW w:w="7110" w:type="dxa"/>
          </w:tcPr>
          <w:p w:rsidR="004C6182" w:rsidRDefault="004C6182" w:rsidP="007C5949">
            <w:pPr>
              <w:spacing w:after="160"/>
              <w:ind w:left="720"/>
              <w:jc w:val="both"/>
            </w:pPr>
            <w:r>
              <w:t>(iii)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ou (c) la surveillance du Marché, ne peut se voir attribuer le Marché à moins que le conflit découlant de cette relation n’ait été résolu à la satisfaction de l’Autorité contractante au cours du processus de sélection et de l’exécution du Marché.</w:t>
            </w:r>
          </w:p>
        </w:tc>
      </w:tr>
      <w:tr w:rsidR="004C6182" w:rsidTr="007C5949">
        <w:tc>
          <w:tcPr>
            <w:tcW w:w="2160" w:type="dxa"/>
          </w:tcPr>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ind w:left="259" w:hanging="259"/>
            </w:pPr>
          </w:p>
          <w:p w:rsidR="004C6182" w:rsidRDefault="004C6182" w:rsidP="007C5949">
            <w:pPr>
              <w:tabs>
                <w:tab w:val="left" w:pos="259"/>
              </w:tabs>
            </w:pPr>
          </w:p>
        </w:tc>
        <w:tc>
          <w:tcPr>
            <w:tcW w:w="7110" w:type="dxa"/>
          </w:tcPr>
          <w:p w:rsidR="004C6182" w:rsidRPr="00863540" w:rsidRDefault="004C6182" w:rsidP="004C6182">
            <w:pPr>
              <w:pStyle w:val="Header3-Paragraph"/>
              <w:numPr>
                <w:ilvl w:val="1"/>
                <w:numId w:val="7"/>
              </w:numPr>
              <w:overflowPunct/>
              <w:autoSpaceDE/>
              <w:autoSpaceDN/>
              <w:adjustRightInd/>
              <w:spacing w:after="220"/>
              <w:textAlignment w:val="auto"/>
              <w:rPr>
                <w:lang w:val="fr-FR"/>
              </w:rPr>
            </w:pPr>
            <w:r w:rsidRPr="0047082A">
              <w:rPr>
                <w:lang w:val="fr-FR" w:eastAsia="en-US"/>
              </w:rPr>
              <w:t xml:space="preserve">Les </w:t>
            </w:r>
            <w:r>
              <w:rPr>
                <w:lang w:val="fr-FR" w:eastAsia="en-US"/>
              </w:rPr>
              <w:t>Candidat</w:t>
            </w:r>
            <w:r w:rsidRPr="0047082A">
              <w:rPr>
                <w:lang w:val="fr-FR" w:eastAsia="en-US"/>
              </w:rPr>
              <w:t xml:space="preserve">s ont l’obligation d’informer </w:t>
            </w:r>
            <w:r>
              <w:rPr>
                <w:lang w:val="fr-FR" w:eastAsia="en-US"/>
              </w:rPr>
              <w:t>l’Autorité contractante</w:t>
            </w:r>
            <w:r w:rsidRPr="0047082A">
              <w:rPr>
                <w:lang w:val="fr-FR" w:eastAsia="en-US"/>
              </w:rPr>
              <w:t xml:space="preserve"> de </w:t>
            </w:r>
            <w:r>
              <w:rPr>
                <w:lang w:val="fr-FR" w:eastAsia="en-US"/>
              </w:rPr>
              <w:t xml:space="preserve">tous les aspects de leur identité susceptibles de générer des conflits d’intérêts, et de </w:t>
            </w:r>
            <w:r w:rsidRPr="0047082A">
              <w:rPr>
                <w:lang w:val="fr-FR" w:eastAsia="en-US"/>
              </w:rPr>
              <w:t>toute situation présente ou possible de conflit d’intérêt</w:t>
            </w:r>
            <w:r>
              <w:rPr>
                <w:lang w:val="fr-FR" w:eastAsia="en-US"/>
              </w:rPr>
              <w:t>s</w:t>
            </w:r>
            <w:r w:rsidRPr="0047082A">
              <w:rPr>
                <w:lang w:val="fr-FR" w:eastAsia="en-US"/>
              </w:rPr>
              <w:t xml:space="preserve"> qui risquerait de les mettre dans l’impossibilité de servir au mieux l’intérêt </w:t>
            </w:r>
            <w:r>
              <w:rPr>
                <w:lang w:val="fr-FR" w:eastAsia="en-US"/>
              </w:rPr>
              <w:t>de l’Autorité contractante</w:t>
            </w:r>
            <w:r w:rsidRPr="0047082A">
              <w:rPr>
                <w:lang w:val="fr-FR" w:eastAsia="en-US"/>
              </w:rPr>
              <w:t xml:space="preserve"> ou qui pourrait raisonnablement être interprétée comme ayant cet effet. Faute d’informer </w:t>
            </w:r>
            <w:r>
              <w:rPr>
                <w:lang w:val="fr-FR" w:eastAsia="en-US"/>
              </w:rPr>
              <w:t>l’Autorité contractante</w:t>
            </w:r>
            <w:r w:rsidRPr="0047082A">
              <w:rPr>
                <w:lang w:val="fr-FR" w:eastAsia="en-US"/>
              </w:rPr>
              <w:t xml:space="preserve"> sur l’existence de telles situations, le </w:t>
            </w:r>
            <w:r>
              <w:rPr>
                <w:lang w:val="fr-FR" w:eastAsia="en-US"/>
              </w:rPr>
              <w:t>Candidat</w:t>
            </w:r>
            <w:r w:rsidRPr="0047082A">
              <w:rPr>
                <w:lang w:val="fr-FR" w:eastAsia="en-US"/>
              </w:rPr>
              <w:t xml:space="preserve"> pou</w:t>
            </w:r>
            <w:r>
              <w:rPr>
                <w:lang w:val="fr-FR" w:eastAsia="en-US"/>
              </w:rPr>
              <w:t xml:space="preserve">rra être disqualifié et faire l’objet de sanction en application </w:t>
            </w:r>
            <w:r w:rsidRPr="004013CA">
              <w:rPr>
                <w:lang w:val="fr-FR" w:eastAsia="en-US"/>
              </w:rPr>
              <w:t xml:space="preserve">de la Clause </w:t>
            </w:r>
            <w:r>
              <w:rPr>
                <w:lang w:val="fr-FR" w:eastAsia="en-US"/>
              </w:rPr>
              <w:t>3.2.</w:t>
            </w:r>
          </w:p>
          <w:p w:rsidR="004C6182" w:rsidRPr="00863540" w:rsidRDefault="004C6182" w:rsidP="004C6182">
            <w:pPr>
              <w:pStyle w:val="Header3-Paragraph"/>
              <w:numPr>
                <w:ilvl w:val="1"/>
                <w:numId w:val="7"/>
              </w:numPr>
              <w:overflowPunct/>
              <w:autoSpaceDE/>
              <w:autoSpaceDN/>
              <w:adjustRightInd/>
              <w:spacing w:after="220"/>
              <w:textAlignment w:val="auto"/>
              <w:rPr>
                <w:lang w:val="fr-FR"/>
              </w:rPr>
            </w:pPr>
            <w:r w:rsidRPr="00EE36A9">
              <w:rPr>
                <w:lang w:val="fr-FR"/>
              </w:rPr>
              <w:t xml:space="preserve">Lorsque le </w:t>
            </w:r>
            <w:r>
              <w:rPr>
                <w:lang w:val="fr-FR"/>
              </w:rPr>
              <w:t>Candidat</w:t>
            </w:r>
            <w:r w:rsidRPr="00EE36A9">
              <w:rPr>
                <w:lang w:val="fr-FR"/>
              </w:rPr>
              <w:t xml:space="preserve"> propose un fonctionnaire </w:t>
            </w:r>
            <w:r w:rsidRPr="00657C3E">
              <w:rPr>
                <w:lang w:val="fr-FR"/>
              </w:rPr>
              <w:t>Togolais</w:t>
            </w:r>
            <w:r>
              <w:rPr>
                <w:lang w:val="fr-FR"/>
              </w:rPr>
              <w:t xml:space="preserve"> </w:t>
            </w:r>
            <w:r w:rsidRPr="00EE36A9">
              <w:rPr>
                <w:lang w:val="fr-FR"/>
              </w:rPr>
              <w:t>dans sa pro</w:t>
            </w:r>
            <w:r>
              <w:rPr>
                <w:lang w:val="fr-FR"/>
              </w:rPr>
              <w:t xml:space="preserve">position technique, </w:t>
            </w:r>
            <w:r w:rsidRPr="00EE36A9">
              <w:rPr>
                <w:lang w:val="fr-FR"/>
              </w:rPr>
              <w:t xml:space="preserve">ce fonctionnaire doit être en possession d’une attestation écrite de son ministère ou employeur attestant du fait qu’il bénéficie d’un congé sans solde et qu’il est autorisé à travailler à temps complet en dehors de son poste officiel antérieur. </w:t>
            </w:r>
            <w:r w:rsidRPr="00863540">
              <w:rPr>
                <w:lang w:val="fr-FR"/>
              </w:rPr>
              <w:t xml:space="preserve">Le </w:t>
            </w:r>
            <w:r>
              <w:rPr>
                <w:lang w:val="fr-FR"/>
              </w:rPr>
              <w:t>Candidat</w:t>
            </w:r>
            <w:r w:rsidRPr="00863540">
              <w:rPr>
                <w:lang w:val="fr-FR"/>
              </w:rPr>
              <w:t xml:space="preserve"> présentera cette attestation </w:t>
            </w:r>
            <w:r>
              <w:rPr>
                <w:lang w:val="fr-FR"/>
              </w:rPr>
              <w:t>à l’Autorité contractante</w:t>
            </w:r>
            <w:r w:rsidRPr="00863540">
              <w:rPr>
                <w:lang w:val="fr-FR"/>
              </w:rPr>
              <w:t xml:space="preserve"> dans le cadre de sa Proposition technique.</w:t>
            </w:r>
          </w:p>
        </w:tc>
      </w:tr>
      <w:tr w:rsidR="004C6182" w:rsidTr="007C5949">
        <w:tc>
          <w:tcPr>
            <w:tcW w:w="2160" w:type="dxa"/>
          </w:tcPr>
          <w:p w:rsidR="004C6182" w:rsidRDefault="004C6182" w:rsidP="007C5949">
            <w:pPr>
              <w:tabs>
                <w:tab w:val="left" w:pos="259"/>
              </w:tabs>
              <w:ind w:left="259" w:hanging="259"/>
              <w:rPr>
                <w:b/>
              </w:rPr>
            </w:pPr>
            <w:r>
              <w:rPr>
                <w:b/>
              </w:rPr>
              <w:t xml:space="preserve">Concurrence </w:t>
            </w:r>
            <w:r>
              <w:rPr>
                <w:b/>
              </w:rPr>
              <w:lastRenderedPageBreak/>
              <w:t>inéquitable</w:t>
            </w:r>
          </w:p>
        </w:tc>
        <w:tc>
          <w:tcPr>
            <w:tcW w:w="7110" w:type="dxa"/>
          </w:tcPr>
          <w:p w:rsidR="004C6182" w:rsidRPr="00863540" w:rsidRDefault="004C6182" w:rsidP="004C6182">
            <w:pPr>
              <w:pStyle w:val="Header3-Paragraph"/>
              <w:numPr>
                <w:ilvl w:val="1"/>
                <w:numId w:val="7"/>
              </w:numPr>
              <w:overflowPunct/>
              <w:autoSpaceDE/>
              <w:autoSpaceDN/>
              <w:adjustRightInd/>
              <w:spacing w:after="220"/>
              <w:textAlignment w:val="auto"/>
              <w:rPr>
                <w:lang w:val="fr-FR"/>
              </w:rPr>
            </w:pPr>
            <w:r w:rsidRPr="00863540">
              <w:rPr>
                <w:lang w:val="fr-FR"/>
              </w:rPr>
              <w:lastRenderedPageBreak/>
              <w:t xml:space="preserve">Si un </w:t>
            </w:r>
            <w:r>
              <w:rPr>
                <w:lang w:val="fr-FR"/>
              </w:rPr>
              <w:t>Candidat</w:t>
            </w:r>
            <w:r w:rsidRPr="00863540">
              <w:rPr>
                <w:lang w:val="fr-FR"/>
              </w:rPr>
              <w:t xml:space="preserve"> présélectionné est avantagé du fait d’avoir offert </w:t>
            </w:r>
            <w:r w:rsidRPr="00863540">
              <w:rPr>
                <w:lang w:val="fr-FR"/>
              </w:rPr>
              <w:lastRenderedPageBreak/>
              <w:t xml:space="preserve">dans le passé des services de conseil liés à la mission, </w:t>
            </w:r>
            <w:r>
              <w:rPr>
                <w:lang w:val="fr-FR"/>
              </w:rPr>
              <w:t>l’Autorité contractante</w:t>
            </w:r>
            <w:r w:rsidRPr="00863540">
              <w:rPr>
                <w:lang w:val="fr-FR"/>
              </w:rPr>
              <w:t xml:space="preserve"> joindra à sa </w:t>
            </w:r>
            <w:r>
              <w:rPr>
                <w:lang w:val="fr-FR"/>
              </w:rPr>
              <w:t>DP</w:t>
            </w:r>
            <w:r w:rsidRPr="00863540">
              <w:rPr>
                <w:lang w:val="fr-FR"/>
              </w:rPr>
              <w:t xml:space="preserve"> toutes les informations qui pourraient donner  audit </w:t>
            </w:r>
            <w:r>
              <w:rPr>
                <w:lang w:val="fr-FR"/>
              </w:rPr>
              <w:t>Candidat</w:t>
            </w:r>
            <w:r w:rsidRPr="00863540">
              <w:rPr>
                <w:lang w:val="fr-FR"/>
              </w:rPr>
              <w:t xml:space="preserve"> un avantage par rapport aux concurrents. </w:t>
            </w:r>
            <w:r>
              <w:rPr>
                <w:lang w:val="fr-FR"/>
              </w:rPr>
              <w:t>L’Autorité contractante</w:t>
            </w:r>
            <w:r w:rsidRPr="00863540">
              <w:rPr>
                <w:lang w:val="fr-FR"/>
              </w:rPr>
              <w:t xml:space="preserve"> fournira ces informations à tous les </w:t>
            </w:r>
            <w:r>
              <w:rPr>
                <w:lang w:val="fr-FR"/>
              </w:rPr>
              <w:t>Candidat</w:t>
            </w:r>
            <w:r w:rsidRPr="00863540">
              <w:rPr>
                <w:lang w:val="fr-FR"/>
              </w:rPr>
              <w:t>s présélectionnés.</w:t>
            </w:r>
          </w:p>
        </w:tc>
      </w:tr>
      <w:tr w:rsidR="004C6182" w:rsidTr="007C5949">
        <w:tc>
          <w:tcPr>
            <w:tcW w:w="2160" w:type="dxa"/>
          </w:tcPr>
          <w:p w:rsidR="004C6182" w:rsidRPr="001D4135" w:rsidRDefault="004C6182" w:rsidP="004C6182">
            <w:pPr>
              <w:numPr>
                <w:ilvl w:val="0"/>
                <w:numId w:val="6"/>
              </w:numPr>
              <w:tabs>
                <w:tab w:val="left" w:pos="259"/>
              </w:tabs>
              <w:rPr>
                <w:b/>
              </w:rPr>
            </w:pPr>
            <w:bookmarkStart w:id="10" w:name="_Toc438002631"/>
            <w:r w:rsidRPr="001373A0">
              <w:rPr>
                <w:b/>
              </w:rPr>
              <w:lastRenderedPageBreak/>
              <w:br w:type="page"/>
            </w:r>
            <w:r w:rsidRPr="001373A0">
              <w:rPr>
                <w:b/>
              </w:rPr>
              <w:br w:type="page"/>
            </w:r>
            <w:bookmarkStart w:id="11" w:name="_Toc188501937"/>
            <w:bookmarkStart w:id="12" w:name="_Toc188954915"/>
            <w:bookmarkEnd w:id="10"/>
            <w:r w:rsidRPr="001D4135">
              <w:rPr>
                <w:b/>
              </w:rPr>
              <w:t>Sanction des fautes commises par les candidats ou titulaires de marchés publics</w:t>
            </w:r>
            <w:bookmarkEnd w:id="11"/>
            <w:bookmarkEnd w:id="12"/>
          </w:p>
        </w:tc>
        <w:tc>
          <w:tcPr>
            <w:tcW w:w="7110" w:type="dxa"/>
          </w:tcPr>
          <w:p w:rsidR="004C6182" w:rsidRPr="00A40C89" w:rsidRDefault="004C6182" w:rsidP="004C6182">
            <w:pPr>
              <w:pStyle w:val="Header3-Paragraph"/>
              <w:numPr>
                <w:ilvl w:val="1"/>
                <w:numId w:val="6"/>
              </w:numPr>
              <w:tabs>
                <w:tab w:val="left" w:pos="708"/>
              </w:tabs>
              <w:overflowPunct/>
              <w:autoSpaceDE/>
              <w:adjustRightInd/>
              <w:spacing w:after="220"/>
              <w:textAlignment w:val="auto"/>
              <w:rPr>
                <w:lang w:val="fr-FR"/>
              </w:rPr>
            </w:pPr>
            <w:r w:rsidRPr="00A40C89">
              <w:rPr>
                <w:lang w:val="fr-FR"/>
              </w:rPr>
              <w:t>La République Togolaise exige de la part des candidats, soumissionnaires et titulaires de ses marchés publics, qu’ils respectent les règles d’éthique professionnelle les plus strictes durant la passation et l’exécution de ces marchés. Les candidats ou soumissionnaires ont l’obligation, sous peine de rejet de leur candidature ou de leur offre, de s’engager par écrit auprès de l’autorité contractante et ce pendant toute la procédure de passation jusqu’à la fin de l’exécution du marché, à ne pas effectuer de paiement, procurer d’avantage ou de privilège au profit de toute personne, agissant comme intermédiaire ou agent, en rémunération de services visant à influer sur le résultat de la procédure. Sans préjudice des sanctions pénales prévues par les lois et règlements en vigueur, des sanctions peuvent être prononcées par le Comité de Règlement des Différends de l’Autorité de Régulation des Marchés Publics à l'égard du candidat, soumissionnaire, attributaire ou titulaire qui a :</w:t>
            </w:r>
          </w:p>
          <w:p w:rsidR="004C6182" w:rsidRPr="00A40C89" w:rsidRDefault="004C6182" w:rsidP="004C6182">
            <w:pPr>
              <w:numPr>
                <w:ilvl w:val="0"/>
                <w:numId w:val="13"/>
              </w:numPr>
              <w:autoSpaceDN w:val="0"/>
              <w:ind w:right="113"/>
              <w:jc w:val="both"/>
            </w:pPr>
            <w:r w:rsidRPr="00A40C89">
              <w:t>procédé à des pratiques de collusion entre soumissionnaires afin d’établir les prix des offres à des niveaux artificiels et non concurrentiels et de priver l’autorité contractante des avantages d’une concurrence libre et ouverte ;</w:t>
            </w:r>
          </w:p>
          <w:p w:rsidR="004C6182" w:rsidRPr="00A40C89" w:rsidRDefault="004C6182" w:rsidP="004C6182">
            <w:pPr>
              <w:numPr>
                <w:ilvl w:val="0"/>
                <w:numId w:val="13"/>
              </w:numPr>
              <w:autoSpaceDN w:val="0"/>
              <w:ind w:right="113"/>
              <w:jc w:val="both"/>
            </w:pPr>
            <w:r w:rsidRPr="00A40C89">
              <w:t>participé à des pratiques visant sur le plan technique à instaurer un fractionnement du marché ou à influer sur le contenu du dossier d’appel d’offres ;</w:t>
            </w:r>
          </w:p>
          <w:p w:rsidR="004C6182" w:rsidRPr="00A40C89" w:rsidRDefault="004C6182" w:rsidP="004C6182">
            <w:pPr>
              <w:numPr>
                <w:ilvl w:val="0"/>
                <w:numId w:val="13"/>
              </w:numPr>
              <w:autoSpaceDN w:val="0"/>
              <w:ind w:right="113"/>
              <w:jc w:val="both"/>
            </w:pPr>
            <w:r w:rsidRPr="00A40C89">
              <w:t>eu recours à la surfacturation et/ou à la fausse facturation dûment établie ;</w:t>
            </w:r>
          </w:p>
          <w:p w:rsidR="004C6182" w:rsidRPr="00A40C89" w:rsidRDefault="004C6182" w:rsidP="004C6182">
            <w:pPr>
              <w:numPr>
                <w:ilvl w:val="0"/>
                <w:numId w:val="13"/>
              </w:numPr>
              <w:autoSpaceDN w:val="0"/>
              <w:ind w:right="113"/>
              <w:jc w:val="both"/>
            </w:pPr>
            <w:r w:rsidRPr="00A40C89">
              <w:t>tenté d’influer sur l’évaluation des offres ou sur les décisions d’attribution, y compris la proposition de tout paiement ou avantage indu ;</w:t>
            </w:r>
          </w:p>
          <w:p w:rsidR="004C6182" w:rsidRPr="00A40C89" w:rsidRDefault="004C6182" w:rsidP="004C6182">
            <w:pPr>
              <w:numPr>
                <w:ilvl w:val="0"/>
                <w:numId w:val="13"/>
              </w:numPr>
              <w:autoSpaceDN w:val="0"/>
              <w:ind w:right="113"/>
              <w:jc w:val="both"/>
            </w:pPr>
            <w:r w:rsidRPr="00A40C89">
              <w:t>fourni des informations ou des déclarations fausses ou mensongères, ou a fait usage d’informations confidentielles dans le cadre de la procédure d’appel d’offres ;</w:t>
            </w:r>
          </w:p>
          <w:p w:rsidR="004C6182" w:rsidRPr="00A40C89" w:rsidRDefault="004C6182" w:rsidP="004C6182">
            <w:pPr>
              <w:numPr>
                <w:ilvl w:val="0"/>
                <w:numId w:val="13"/>
              </w:numPr>
              <w:autoSpaceDN w:val="0"/>
              <w:ind w:right="113"/>
              <w:jc w:val="both"/>
            </w:pPr>
            <w:r w:rsidRPr="00A40C89">
              <w:t>participé pendant l’exécution du marché à des actes et pratiques frauduleuses préjudiciables aux intérêts de l’autorité contractante, contraires à la réglementation applicable en matière de marché public, susceptibles d’affecter la qualité des prestations ou leur prix ainsi que les garanties dont bénéficie l’autorité contractante.</w:t>
            </w:r>
          </w:p>
          <w:p w:rsidR="004C6182" w:rsidRPr="00657C3E" w:rsidRDefault="004C6182" w:rsidP="007C5949">
            <w:pPr>
              <w:ind w:right="113"/>
              <w:jc w:val="both"/>
            </w:pP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657C3E" w:rsidRDefault="004C6182" w:rsidP="004C6182">
            <w:pPr>
              <w:pStyle w:val="Header3-Paragraph"/>
              <w:numPr>
                <w:ilvl w:val="1"/>
                <w:numId w:val="6"/>
              </w:numPr>
              <w:tabs>
                <w:tab w:val="clear" w:pos="504"/>
                <w:tab w:val="left" w:pos="708"/>
              </w:tabs>
              <w:overflowPunct/>
              <w:autoSpaceDE/>
              <w:adjustRightInd/>
              <w:spacing w:after="220"/>
              <w:textAlignment w:val="auto"/>
              <w:rPr>
                <w:lang w:val="fr-FR"/>
              </w:rPr>
            </w:pPr>
            <w:r w:rsidRPr="00657C3E">
              <w:rPr>
                <w:lang w:val="fr-FR"/>
              </w:rPr>
              <w:t>Les sanctions suivantes peuvent être prononcées, et, selon le cas, de façon cumulative :</w:t>
            </w:r>
          </w:p>
          <w:p w:rsidR="004C6182" w:rsidRPr="00657C3E" w:rsidRDefault="004C6182" w:rsidP="004C6182">
            <w:pPr>
              <w:numPr>
                <w:ilvl w:val="0"/>
                <w:numId w:val="14"/>
              </w:numPr>
              <w:autoSpaceDN w:val="0"/>
              <w:ind w:right="113"/>
              <w:jc w:val="both"/>
            </w:pPr>
            <w:r w:rsidRPr="00657C3E">
              <w:t xml:space="preserve">la confiscation des garanties constituées par le contrevenant dans le cadre des procédures d’appel d’offres incriminées, dans l’hypothèse où elle n’aurait pas été prévue par le cahier des </w:t>
            </w:r>
            <w:r w:rsidRPr="00657C3E">
              <w:lastRenderedPageBreak/>
              <w:t>charges ;</w:t>
            </w:r>
          </w:p>
          <w:p w:rsidR="004C6182" w:rsidRPr="00657C3E" w:rsidRDefault="004C6182" w:rsidP="007C5949">
            <w:pPr>
              <w:ind w:right="113"/>
              <w:rPr>
                <w:sz w:val="16"/>
                <w:szCs w:val="16"/>
              </w:rPr>
            </w:pPr>
          </w:p>
          <w:p w:rsidR="004C6182" w:rsidRPr="00657C3E" w:rsidRDefault="004C6182" w:rsidP="004C6182">
            <w:pPr>
              <w:numPr>
                <w:ilvl w:val="0"/>
                <w:numId w:val="14"/>
              </w:numPr>
              <w:autoSpaceDN w:val="0"/>
              <w:ind w:right="113"/>
              <w:jc w:val="both"/>
            </w:pPr>
            <w:r w:rsidRPr="00657C3E">
              <w:t>l’exclusion de la concurrence pour une durée temporaire en fonction de la gravité de la faute commise, y compris, en cas de collusion établie par l’autorité de régulation des Marchés publics, de toute entreprise qui possède la majorité du capital de l’entreprise sanctionnée, ou dont l’entreprise sanctionnée possède la majorité du capital ;</w:t>
            </w:r>
          </w:p>
          <w:p w:rsidR="004C6182" w:rsidRPr="00657C3E" w:rsidRDefault="004C6182" w:rsidP="007C5949">
            <w:pPr>
              <w:pStyle w:val="ListParagraph"/>
            </w:pPr>
          </w:p>
          <w:p w:rsidR="004C6182" w:rsidRPr="00657C3E" w:rsidRDefault="004C6182" w:rsidP="004C6182">
            <w:pPr>
              <w:numPr>
                <w:ilvl w:val="0"/>
                <w:numId w:val="14"/>
              </w:numPr>
              <w:autoSpaceDN w:val="0"/>
              <w:ind w:right="113"/>
              <w:jc w:val="both"/>
            </w:pPr>
            <w:r w:rsidRPr="00657C3E">
              <w:t>le retrait de leur agrément et/ou de leur certificat de qualification ;</w:t>
            </w:r>
          </w:p>
          <w:p w:rsidR="004C6182" w:rsidRPr="00657C3E" w:rsidRDefault="004C6182" w:rsidP="007C5949">
            <w:pPr>
              <w:pStyle w:val="ListParagraph"/>
            </w:pPr>
          </w:p>
          <w:p w:rsidR="004C6182" w:rsidRPr="00657C3E" w:rsidRDefault="004C6182" w:rsidP="004C6182">
            <w:pPr>
              <w:numPr>
                <w:ilvl w:val="0"/>
                <w:numId w:val="14"/>
              </w:numPr>
              <w:autoSpaceDN w:val="0"/>
              <w:ind w:right="113"/>
              <w:jc w:val="both"/>
            </w:pPr>
            <w:r w:rsidRPr="00657C3E">
              <w:t>une sanction à caractère pécuniaire dont le montant est fonction de la gravité des irrégularités et des violations de la réglementation, ainsi que des avantages que l’auteur a pu en tirer, sans préjudice de la réparation des dommages subis par l’autorité contractante.</w:t>
            </w:r>
          </w:p>
          <w:p w:rsidR="004C6182" w:rsidRPr="00657C3E" w:rsidRDefault="004C6182" w:rsidP="007C5949">
            <w:pPr>
              <w:rPr>
                <w:sz w:val="16"/>
                <w:szCs w:val="16"/>
              </w:rPr>
            </w:pPr>
          </w:p>
          <w:p w:rsidR="004C6182" w:rsidRPr="0070619A" w:rsidRDefault="004C6182" w:rsidP="004C6182">
            <w:pPr>
              <w:pStyle w:val="Header3-Paragraph"/>
              <w:numPr>
                <w:ilvl w:val="1"/>
                <w:numId w:val="6"/>
              </w:numPr>
              <w:tabs>
                <w:tab w:val="clear" w:pos="504"/>
                <w:tab w:val="left" w:pos="708"/>
              </w:tabs>
              <w:overflowPunct/>
              <w:autoSpaceDE/>
              <w:adjustRightInd/>
              <w:spacing w:after="220"/>
              <w:textAlignment w:val="auto"/>
              <w:rPr>
                <w:lang w:val="fr-FR"/>
              </w:rPr>
            </w:pPr>
            <w:r w:rsidRPr="0070619A">
              <w:rPr>
                <w:lang w:val="fr-FR"/>
              </w:rPr>
              <w:t>L’inexactitude des mentions obérant les capacités techniques, financières et les pièces administratives demandées dans le dossier d’appel d’offres ou leur fausseté est sanctionnée par le rejet de l’offre, sans préjudice des sanctions pouvant être prises dans le cadre des dispositions ci-dessus.</w:t>
            </w:r>
          </w:p>
          <w:p w:rsidR="004C6182" w:rsidRPr="0070619A" w:rsidRDefault="004C6182" w:rsidP="004C6182">
            <w:pPr>
              <w:pStyle w:val="Header3-Paragraph"/>
              <w:numPr>
                <w:ilvl w:val="1"/>
                <w:numId w:val="6"/>
              </w:numPr>
              <w:tabs>
                <w:tab w:val="clear" w:pos="504"/>
                <w:tab w:val="left" w:pos="708"/>
              </w:tabs>
              <w:overflowPunct/>
              <w:autoSpaceDE/>
              <w:adjustRightInd/>
              <w:spacing w:after="220"/>
              <w:textAlignment w:val="auto"/>
              <w:rPr>
                <w:lang w:val="fr-FR"/>
              </w:rPr>
            </w:pPr>
            <w:r w:rsidRPr="0070619A">
              <w:rPr>
                <w:lang w:val="fr-FR"/>
              </w:rPr>
              <w:t>Le marché peut être résilié, sans préjudice des sanctions pouvant être prises dans le cadre des dispositions ci-dessus, lorsque les infractions commises sont établies pendant son exécution.</w:t>
            </w:r>
          </w:p>
          <w:p w:rsidR="004C6182" w:rsidRPr="000939DF" w:rsidRDefault="004C6182" w:rsidP="004C6182">
            <w:pPr>
              <w:pStyle w:val="Header3-Paragraph"/>
              <w:numPr>
                <w:ilvl w:val="1"/>
                <w:numId w:val="6"/>
              </w:numPr>
              <w:tabs>
                <w:tab w:val="clear" w:pos="504"/>
                <w:tab w:val="left" w:pos="708"/>
              </w:tabs>
              <w:overflowPunct/>
              <w:autoSpaceDE/>
              <w:adjustRightInd/>
              <w:spacing w:after="220"/>
              <w:textAlignment w:val="auto"/>
            </w:pPr>
            <w:r w:rsidRPr="0070619A">
              <w:rPr>
                <w:lang w:val="fr-FR"/>
              </w:rPr>
              <w:t xml:space="preserve">Le contrevenant dispose d'un recours devant les tribunaux de l’ordre administratif à l'encontre des décisions du Comité de Règlement des Différends. </w:t>
            </w:r>
            <w:proofErr w:type="spellStart"/>
            <w:r w:rsidRPr="00657C3E">
              <w:t>Ce</w:t>
            </w:r>
            <w:proofErr w:type="spellEnd"/>
            <w:r w:rsidRPr="00657C3E">
              <w:t xml:space="preserve"> </w:t>
            </w:r>
            <w:proofErr w:type="spellStart"/>
            <w:r w:rsidRPr="00657C3E">
              <w:t>recours</w:t>
            </w:r>
            <w:proofErr w:type="spellEnd"/>
            <w:r w:rsidRPr="00657C3E">
              <w:t xml:space="preserve"> </w:t>
            </w:r>
            <w:proofErr w:type="spellStart"/>
            <w:r w:rsidRPr="00657C3E">
              <w:t>n'est</w:t>
            </w:r>
            <w:proofErr w:type="spellEnd"/>
            <w:r w:rsidRPr="00657C3E">
              <w:t xml:space="preserve"> pas </w:t>
            </w:r>
            <w:proofErr w:type="spellStart"/>
            <w:r w:rsidRPr="00657C3E">
              <w:t>suspensif</w:t>
            </w:r>
            <w:proofErr w:type="spellEnd"/>
            <w:r w:rsidRPr="00657C3E">
              <w:t>.</w:t>
            </w:r>
          </w:p>
        </w:tc>
      </w:tr>
      <w:tr w:rsidR="004C6182" w:rsidTr="007C5949">
        <w:tc>
          <w:tcPr>
            <w:tcW w:w="2160" w:type="dxa"/>
          </w:tcPr>
          <w:p w:rsidR="004C6182" w:rsidRPr="00D33A05" w:rsidRDefault="004C6182" w:rsidP="004C6182">
            <w:pPr>
              <w:numPr>
                <w:ilvl w:val="0"/>
                <w:numId w:val="6"/>
              </w:numPr>
              <w:tabs>
                <w:tab w:val="left" w:pos="259"/>
              </w:tabs>
              <w:rPr>
                <w:b/>
              </w:rPr>
            </w:pPr>
            <w:bookmarkStart w:id="13" w:name="_Toc188501938"/>
            <w:bookmarkStart w:id="14" w:name="_Toc188954916"/>
            <w:r w:rsidRPr="00D33A05">
              <w:rPr>
                <w:b/>
              </w:rPr>
              <w:lastRenderedPageBreak/>
              <w:t>Conditions à remplir pour prendre part aux marchés</w:t>
            </w:r>
            <w:bookmarkEnd w:id="13"/>
            <w:bookmarkEnd w:id="14"/>
          </w:p>
        </w:tc>
        <w:tc>
          <w:tcPr>
            <w:tcW w:w="7110" w:type="dxa"/>
          </w:tcPr>
          <w:p w:rsidR="004C6182" w:rsidRPr="00507575" w:rsidRDefault="004C6182" w:rsidP="004C6182">
            <w:pPr>
              <w:pStyle w:val="Header3-Paragraph"/>
              <w:numPr>
                <w:ilvl w:val="1"/>
                <w:numId w:val="12"/>
              </w:numPr>
              <w:overflowPunct/>
              <w:autoSpaceDE/>
              <w:autoSpaceDN/>
              <w:adjustRightInd/>
              <w:spacing w:after="220"/>
              <w:textAlignment w:val="auto"/>
              <w:rPr>
                <w:lang w:val="fr-FR"/>
              </w:rPr>
            </w:pPr>
            <w:r>
              <w:rPr>
                <w:lang w:val="fr-FR"/>
              </w:rPr>
              <w:t>Seul</w:t>
            </w:r>
            <w:r w:rsidRPr="005632DB">
              <w:rPr>
                <w:lang w:val="fr-FR"/>
              </w:rPr>
              <w:t>s les candidats qui se sont vus no</w:t>
            </w:r>
            <w:r>
              <w:rPr>
                <w:lang w:val="fr-FR"/>
              </w:rPr>
              <w:t>tifier qu’ils étaient présélectionn</w:t>
            </w:r>
            <w:r w:rsidRPr="005632DB">
              <w:rPr>
                <w:lang w:val="fr-FR"/>
              </w:rPr>
              <w:t xml:space="preserve">és sont autorisés à </w:t>
            </w:r>
            <w:r>
              <w:rPr>
                <w:lang w:val="fr-FR"/>
              </w:rPr>
              <w:t>soumettre une proposition</w:t>
            </w:r>
            <w:r w:rsidRPr="005632DB">
              <w:rPr>
                <w:lang w:val="fr-FR"/>
              </w:rPr>
              <w:t xml:space="preserve">. </w:t>
            </w:r>
            <w:r w:rsidRPr="00507575">
              <w:rPr>
                <w:spacing w:val="-4"/>
                <w:lang w:val="fr-FR"/>
              </w:rPr>
              <w:t>Les candidats peuvent être des personnes physiques, des personnes morales ou toute combinaison entre elles avec une volonté formelle de conclu</w:t>
            </w:r>
            <w:r>
              <w:rPr>
                <w:spacing w:val="-4"/>
                <w:lang w:val="fr-FR"/>
              </w:rPr>
              <w:t xml:space="preserve">re un accord ou ayant conclu une convention </w:t>
            </w:r>
            <w:r w:rsidRPr="00507575">
              <w:rPr>
                <w:spacing w:val="-4"/>
                <w:lang w:val="fr-FR"/>
              </w:rPr>
              <w:t xml:space="preserve">de groupement. </w:t>
            </w:r>
            <w:r w:rsidRPr="00657C3E">
              <w:rPr>
                <w:spacing w:val="-4"/>
                <w:lang w:val="fr-FR"/>
              </w:rPr>
              <w:t xml:space="preserve">Le groupement peut être conjoint ou solidaire. Toutefois, en cas de groupement, sauf spécification contraire dans les </w:t>
            </w:r>
            <w:r w:rsidRPr="001A08E4">
              <w:rPr>
                <w:b/>
                <w:spacing w:val="-4"/>
                <w:lang w:val="fr-FR"/>
              </w:rPr>
              <w:t>Données Particulières</w:t>
            </w:r>
            <w:r w:rsidRPr="00657C3E">
              <w:rPr>
                <w:spacing w:val="-4"/>
                <w:lang w:val="fr-FR"/>
              </w:rPr>
              <w:t xml:space="preserve">, toutes les parties membres sont solidairement responsables. </w:t>
            </w:r>
            <w:r w:rsidRPr="00657C3E">
              <w:rPr>
                <w:lang w:val="fr-FR"/>
              </w:rPr>
              <w:t>Les candidats doivent fournir tout document que l’Autorité contractante peut raisonnablement exiger, établissant à la satisfaction de celui-ci qu’ils continuent d’être admis à concourir.</w:t>
            </w:r>
          </w:p>
        </w:tc>
      </w:tr>
      <w:tr w:rsidR="004C6182" w:rsidTr="007C5949">
        <w:tc>
          <w:tcPr>
            <w:tcW w:w="2160" w:type="dxa"/>
          </w:tcPr>
          <w:p w:rsidR="004C6182" w:rsidRPr="001373A0" w:rsidRDefault="004C6182" w:rsidP="007C5949">
            <w:pPr>
              <w:pStyle w:val="Header1-Clauses"/>
              <w:tabs>
                <w:tab w:val="clear" w:pos="432"/>
              </w:tabs>
              <w:overflowPunct/>
              <w:autoSpaceDE/>
              <w:autoSpaceDN/>
              <w:adjustRightInd/>
              <w:ind w:left="0" w:firstLine="0"/>
              <w:textAlignment w:val="auto"/>
              <w:rPr>
                <w:lang w:val="fr-FR"/>
              </w:rPr>
            </w:pPr>
          </w:p>
        </w:tc>
        <w:tc>
          <w:tcPr>
            <w:tcW w:w="7110" w:type="dxa"/>
          </w:tcPr>
          <w:p w:rsidR="004C6182" w:rsidRPr="000939DF" w:rsidRDefault="004C6182" w:rsidP="004C6182">
            <w:pPr>
              <w:pStyle w:val="Header3-Paragraph"/>
              <w:numPr>
                <w:ilvl w:val="1"/>
                <w:numId w:val="12"/>
              </w:numPr>
              <w:tabs>
                <w:tab w:val="left" w:pos="708"/>
              </w:tabs>
              <w:overflowPunct/>
              <w:autoSpaceDE/>
              <w:adjustRightInd/>
              <w:spacing w:after="220"/>
              <w:textAlignment w:val="auto"/>
              <w:rPr>
                <w:lang w:val="fr-FR"/>
              </w:rPr>
            </w:pPr>
            <w:r w:rsidRPr="00657C3E">
              <w:rPr>
                <w:lang w:val="fr-FR"/>
              </w:rPr>
              <w:t>Ne sont pas admises à concourir les personnes physiques ou morales :</w:t>
            </w:r>
          </w:p>
          <w:p w:rsidR="004C6182" w:rsidRPr="00657C3E" w:rsidRDefault="004C6182" w:rsidP="004C6182">
            <w:pPr>
              <w:numPr>
                <w:ilvl w:val="0"/>
                <w:numId w:val="16"/>
              </w:numPr>
              <w:jc w:val="both"/>
            </w:pPr>
            <w:r w:rsidRPr="00657C3E">
              <w:t xml:space="preserve">qui ne se sont pas acquittées de leurs droits, taxes, impôts, cotisations, contributions, redevances ou prélèvements de quelque nature que ce soit, y compris, le paiement sur des marchés antérieurs (à compter de septembre 2011), de la taxe </w:t>
            </w:r>
            <w:r w:rsidRPr="00657C3E">
              <w:lastRenderedPageBreak/>
              <w:t>parafiscale prévue par l’article 11 de la loi n° 2009-013 du 30 juin 2009 relative aux marchés publics et délégations de service public  , ou à défaut, ne peuvent justifier par un document de l’Administration concernée du respect de leurs obligations en matière fiscale et sociale ;</w:t>
            </w:r>
          </w:p>
          <w:p w:rsidR="004C6182" w:rsidRPr="00657C3E" w:rsidRDefault="004C6182" w:rsidP="004C6182">
            <w:pPr>
              <w:numPr>
                <w:ilvl w:val="0"/>
                <w:numId w:val="16"/>
              </w:numPr>
              <w:jc w:val="both"/>
            </w:pPr>
            <w:r w:rsidRPr="00657C3E">
              <w:t>qui font de procédure de déclaration de faillite personnelle, de redressement judiciaire, sauf à avoir été autorisés à poursuivre leur activité par une décision de justice ;</w:t>
            </w:r>
          </w:p>
          <w:p w:rsidR="004C6182" w:rsidRPr="00657C3E" w:rsidRDefault="004C6182" w:rsidP="004C6182">
            <w:pPr>
              <w:numPr>
                <w:ilvl w:val="0"/>
                <w:numId w:val="16"/>
              </w:numPr>
              <w:jc w:val="both"/>
            </w:pPr>
            <w:r w:rsidRPr="00657C3E">
              <w:t>qui sont en état de liquidation de biens ou en faillite ;</w:t>
            </w:r>
          </w:p>
          <w:p w:rsidR="004C6182" w:rsidRPr="00657C3E" w:rsidRDefault="004C6182" w:rsidP="004C6182">
            <w:pPr>
              <w:numPr>
                <w:ilvl w:val="0"/>
                <w:numId w:val="16"/>
              </w:numPr>
              <w:jc w:val="both"/>
            </w:pPr>
            <w:r w:rsidRPr="00657C3E">
              <w:t>qui sont frappées de l’une des interdictions ou déchéances prévues par les textes en vigueur, notamment le Code pénal et le Code général des impôts ;</w:t>
            </w:r>
          </w:p>
          <w:p w:rsidR="004C6182" w:rsidRPr="00657C3E" w:rsidRDefault="004C6182" w:rsidP="004C6182">
            <w:pPr>
              <w:numPr>
                <w:ilvl w:val="0"/>
                <w:numId w:val="16"/>
              </w:numPr>
              <w:jc w:val="both"/>
            </w:pPr>
            <w:r w:rsidRPr="00657C3E">
              <w:t>qui sont affiliés aux consultants ayant contribué à préparer tout ou partie des dossiers d’appel d’offres ou de consultation ;</w:t>
            </w:r>
          </w:p>
          <w:p w:rsidR="004C6182" w:rsidRPr="00657C3E" w:rsidRDefault="004C6182" w:rsidP="004C6182">
            <w:pPr>
              <w:numPr>
                <w:ilvl w:val="0"/>
                <w:numId w:val="16"/>
              </w:numPr>
              <w:jc w:val="both"/>
            </w:pPr>
            <w:r w:rsidRPr="00657C3E">
              <w:t>dans lesquels l’un des membres des organes de passation, de contrôle ou d’approbation ayant eu à connaitre de la procédure possède des intérêts financiers ou personnels de quelque nature que ce soit ;</w:t>
            </w:r>
          </w:p>
          <w:p w:rsidR="004C6182" w:rsidRDefault="004C6182" w:rsidP="004C6182">
            <w:pPr>
              <w:numPr>
                <w:ilvl w:val="0"/>
                <w:numId w:val="16"/>
              </w:numPr>
              <w:jc w:val="both"/>
            </w:pPr>
            <w:r w:rsidRPr="00657C3E">
              <w:t>qui auront été reconnues coupables d’infractions à la réglementation des marchés publics ou qui auront été exclues des procédures de passation des marchés par une décision de justice définitive en matière pénale, fiscale, ou sociale ou par une décision de l’Autorité de Régulation des Marchés ;</w:t>
            </w:r>
          </w:p>
          <w:p w:rsidR="004C6182" w:rsidRPr="00657C3E" w:rsidRDefault="004C6182" w:rsidP="007C5949">
            <w:pPr>
              <w:ind w:left="720"/>
              <w:jc w:val="both"/>
            </w:pPr>
          </w:p>
          <w:p w:rsidR="004C6182" w:rsidRPr="00657C3E" w:rsidRDefault="004C6182" w:rsidP="004C6182">
            <w:pPr>
              <w:pStyle w:val="Header3-Paragraph"/>
              <w:numPr>
                <w:ilvl w:val="1"/>
                <w:numId w:val="12"/>
              </w:numPr>
              <w:tabs>
                <w:tab w:val="left" w:pos="708"/>
              </w:tabs>
              <w:overflowPunct/>
              <w:autoSpaceDE/>
              <w:adjustRightInd/>
              <w:spacing w:after="220"/>
              <w:textAlignment w:val="auto"/>
              <w:rPr>
                <w:lang w:val="fr-FR"/>
              </w:rPr>
            </w:pPr>
            <w:r w:rsidRPr="00657C3E">
              <w:rPr>
                <w:lang w:val="fr-FR"/>
              </w:rPr>
              <w:t>S’agissant des personnes morales, les cas d’inéligibilité visés ci-dessus aux alinéas d, e et g s’appliquent dès lors qu’ils sont le fait de personnes physiques membres de leurs organes de direction ou de contrôle.</w:t>
            </w:r>
          </w:p>
          <w:p w:rsidR="004C6182" w:rsidRPr="000939DF" w:rsidRDefault="004C6182" w:rsidP="004C6182">
            <w:pPr>
              <w:pStyle w:val="Header3-Paragraph"/>
              <w:numPr>
                <w:ilvl w:val="1"/>
                <w:numId w:val="12"/>
              </w:numPr>
              <w:tabs>
                <w:tab w:val="left" w:pos="708"/>
              </w:tabs>
              <w:overflowPunct/>
              <w:autoSpaceDE/>
              <w:adjustRightInd/>
              <w:spacing w:after="220"/>
              <w:textAlignment w:val="auto"/>
              <w:rPr>
                <w:lang w:val="fr-FR"/>
              </w:rPr>
            </w:pPr>
            <w:r w:rsidRPr="00657C3E">
              <w:rPr>
                <w:lang w:val="fr-FR"/>
              </w:rPr>
              <w:t>Les dispositions ci-dessus sont également  applicables aux membres de groupement et aux sous-traitants</w:t>
            </w:r>
            <w:r>
              <w:rPr>
                <w:lang w:val="fr-FR"/>
              </w:rPr>
              <w:t>.</w:t>
            </w:r>
          </w:p>
          <w:p w:rsidR="004C6182" w:rsidRPr="00A40C89" w:rsidRDefault="004C6182" w:rsidP="004C6182">
            <w:pPr>
              <w:pStyle w:val="Header3-Paragraph"/>
              <w:numPr>
                <w:ilvl w:val="1"/>
                <w:numId w:val="12"/>
              </w:numPr>
              <w:tabs>
                <w:tab w:val="left" w:pos="708"/>
              </w:tabs>
              <w:overflowPunct/>
              <w:autoSpaceDE/>
              <w:adjustRightInd/>
              <w:spacing w:after="220"/>
              <w:textAlignment w:val="auto"/>
              <w:rPr>
                <w:lang w:val="fr-FR"/>
              </w:rPr>
            </w:pPr>
            <w:r w:rsidRPr="00A40C89">
              <w:rPr>
                <w:lang w:val="fr-FR"/>
              </w:rPr>
              <w:t>Un candidat ne peut se trouver en situation de conflit d’intérêt. Tout candidat se trouvant dans une telle situation sera disqualifié</w:t>
            </w:r>
            <w:r w:rsidRPr="00A40C89">
              <w:rPr>
                <w:i/>
                <w:lang w:val="fr-FR"/>
              </w:rPr>
              <w:t xml:space="preserve">. </w:t>
            </w:r>
            <w:r w:rsidRPr="00A40C89">
              <w:rPr>
                <w:lang w:val="fr-FR"/>
              </w:rPr>
              <w:t>Un candidat (y compris tous les membres d’un groupement d’entreprises et tous les sous-traitants du candidat) sera considéré comme étant en situation de conflit d’intérêt s’il :</w:t>
            </w:r>
          </w:p>
          <w:p w:rsidR="004C6182" w:rsidRPr="00657C3E" w:rsidRDefault="004C6182" w:rsidP="004C6182">
            <w:pPr>
              <w:numPr>
                <w:ilvl w:val="0"/>
                <w:numId w:val="17"/>
              </w:numPr>
              <w:spacing w:after="180"/>
              <w:jc w:val="both"/>
            </w:pPr>
            <w:r w:rsidRPr="00657C3E">
              <w:t>se trouve dans les situations décrites aux alinéas 4.2 e) et f) ci-dessus ; ou</w:t>
            </w:r>
          </w:p>
          <w:p w:rsidR="004C6182" w:rsidRPr="00A40C89" w:rsidRDefault="004C6182" w:rsidP="004C6182">
            <w:pPr>
              <w:numPr>
                <w:ilvl w:val="0"/>
                <w:numId w:val="17"/>
              </w:numPr>
              <w:autoSpaceDN w:val="0"/>
              <w:spacing w:after="180"/>
              <w:jc w:val="both"/>
            </w:pPr>
            <w:r w:rsidRPr="000939DF">
              <w:t>e</w:t>
            </w:r>
            <w:r w:rsidRPr="00A40C89">
              <w:t>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de la présente Demande De Proposition ; ou</w:t>
            </w:r>
          </w:p>
          <w:p w:rsidR="004C6182" w:rsidRPr="00A40C89" w:rsidRDefault="004C6182" w:rsidP="004C6182">
            <w:pPr>
              <w:numPr>
                <w:ilvl w:val="0"/>
                <w:numId w:val="17"/>
              </w:numPr>
              <w:autoSpaceDN w:val="0"/>
              <w:spacing w:after="180"/>
              <w:jc w:val="both"/>
            </w:pPr>
            <w:r w:rsidRPr="00A40C89">
              <w:t>s’il est affilié à une firme ou entité que l’Autorité contractante a recruté, ou envisage de recruter, pour participer au contrôle des prestations dans le cadre du Marché.</w:t>
            </w:r>
          </w:p>
          <w:p w:rsidR="004C6182" w:rsidRPr="00A40C89" w:rsidRDefault="004C6182" w:rsidP="007C5949">
            <w:pPr>
              <w:jc w:val="both"/>
            </w:pPr>
          </w:p>
        </w:tc>
      </w:tr>
      <w:tr w:rsidR="004C6182" w:rsidTr="007C5949">
        <w:tc>
          <w:tcPr>
            <w:tcW w:w="2160" w:type="dxa"/>
          </w:tcPr>
          <w:p w:rsidR="004C6182" w:rsidRDefault="004C6182" w:rsidP="004C6182">
            <w:pPr>
              <w:numPr>
                <w:ilvl w:val="0"/>
                <w:numId w:val="6"/>
              </w:numPr>
              <w:tabs>
                <w:tab w:val="left" w:pos="259"/>
              </w:tabs>
              <w:rPr>
                <w:b/>
              </w:rPr>
            </w:pPr>
            <w:r>
              <w:rPr>
                <w:b/>
              </w:rPr>
              <w:lastRenderedPageBreak/>
              <w:t>Une seule Proposition</w:t>
            </w:r>
          </w:p>
        </w:tc>
        <w:tc>
          <w:tcPr>
            <w:tcW w:w="7110" w:type="dxa"/>
          </w:tcPr>
          <w:p w:rsidR="004C6182" w:rsidRPr="00863540" w:rsidRDefault="004C6182" w:rsidP="007C5949">
            <w:pPr>
              <w:pStyle w:val="Header3-Paragraph"/>
              <w:overflowPunct/>
              <w:autoSpaceDE/>
              <w:autoSpaceDN/>
              <w:adjustRightInd/>
              <w:spacing w:after="220"/>
              <w:ind w:left="360" w:firstLine="0"/>
              <w:textAlignment w:val="auto"/>
              <w:rPr>
                <w:lang w:val="fr-FR"/>
              </w:rPr>
            </w:pPr>
            <w:r w:rsidRPr="004356CE">
              <w:rPr>
                <w:lang w:val="fr-FR"/>
              </w:rPr>
              <w:t xml:space="preserve">Les </w:t>
            </w:r>
            <w:r>
              <w:rPr>
                <w:lang w:val="fr-FR"/>
              </w:rPr>
              <w:t>Candidat</w:t>
            </w:r>
            <w:r w:rsidRPr="004356CE">
              <w:rPr>
                <w:lang w:val="fr-FR"/>
              </w:rPr>
              <w:t xml:space="preserve">s présélectionnés ne peuvent soumettre qu’une seule proposition. </w:t>
            </w:r>
            <w:r w:rsidRPr="00863540">
              <w:rPr>
                <w:lang w:val="fr-FR"/>
              </w:rPr>
              <w:t xml:space="preserve">Si un </w:t>
            </w:r>
            <w:r>
              <w:rPr>
                <w:lang w:val="fr-FR"/>
              </w:rPr>
              <w:t>Candidat</w:t>
            </w:r>
            <w:r w:rsidRPr="00863540">
              <w:rPr>
                <w:lang w:val="fr-FR"/>
              </w:rPr>
              <w:t xml:space="preserve"> soumet ou participe à plusieurs propositions, celles-ci seront éliminées. Toutefois, ceci n’exclut pas la participation d’un même sous-traitant, y compris le personnel spécialisé, à plus d’une proposition.</w:t>
            </w:r>
          </w:p>
        </w:tc>
      </w:tr>
      <w:tr w:rsidR="004C6182" w:rsidTr="007C5949">
        <w:tc>
          <w:tcPr>
            <w:tcW w:w="2160" w:type="dxa"/>
          </w:tcPr>
          <w:p w:rsidR="004C6182" w:rsidRDefault="004C6182" w:rsidP="004C6182">
            <w:pPr>
              <w:numPr>
                <w:ilvl w:val="0"/>
                <w:numId w:val="6"/>
              </w:numPr>
              <w:tabs>
                <w:tab w:val="left" w:pos="259"/>
              </w:tabs>
              <w:rPr>
                <w:b/>
              </w:rPr>
            </w:pPr>
            <w:r>
              <w:rPr>
                <w:b/>
              </w:rPr>
              <w:t>Validité de la proposition</w:t>
            </w:r>
          </w:p>
        </w:tc>
        <w:tc>
          <w:tcPr>
            <w:tcW w:w="7110" w:type="dxa"/>
          </w:tcPr>
          <w:p w:rsidR="004C6182" w:rsidRPr="00863540" w:rsidRDefault="004C6182" w:rsidP="007C5949">
            <w:pPr>
              <w:pStyle w:val="Header3-Paragraph"/>
              <w:overflowPunct/>
              <w:autoSpaceDE/>
              <w:autoSpaceDN/>
              <w:adjustRightInd/>
              <w:spacing w:after="220"/>
              <w:ind w:left="360" w:firstLine="0"/>
              <w:textAlignment w:val="auto"/>
              <w:rPr>
                <w:lang w:val="fr-FR"/>
              </w:rPr>
            </w:pPr>
            <w:r w:rsidRPr="004356CE">
              <w:rPr>
                <w:lang w:val="fr-FR"/>
              </w:rPr>
              <w:t xml:space="preserve">Les </w:t>
            </w:r>
            <w:r w:rsidRPr="001A08E4">
              <w:rPr>
                <w:b/>
                <w:lang w:val="fr-FR"/>
              </w:rPr>
              <w:t>Données particulières</w:t>
            </w:r>
            <w:r w:rsidRPr="004356CE">
              <w:rPr>
                <w:lang w:val="fr-FR"/>
              </w:rPr>
              <w:t xml:space="preserve"> indiquent la durée pendant laquelle la Proposition des </w:t>
            </w:r>
            <w:r>
              <w:rPr>
                <w:lang w:val="fr-FR"/>
              </w:rPr>
              <w:t>Candidat</w:t>
            </w:r>
            <w:r w:rsidRPr="004356CE">
              <w:rPr>
                <w:lang w:val="fr-FR"/>
              </w:rPr>
              <w:t>s doit rester valable</w:t>
            </w:r>
            <w:r>
              <w:rPr>
                <w:lang w:val="fr-FR"/>
              </w:rPr>
              <w:t>s</w:t>
            </w:r>
            <w:r w:rsidRPr="004356CE">
              <w:rPr>
                <w:lang w:val="fr-FR"/>
              </w:rPr>
              <w:t xml:space="preserve"> après la date de soumission. </w:t>
            </w:r>
            <w:r w:rsidRPr="00863540">
              <w:rPr>
                <w:lang w:val="fr-FR"/>
              </w:rPr>
              <w:t xml:space="preserve">Pendant cette période, le </w:t>
            </w:r>
            <w:r>
              <w:rPr>
                <w:lang w:val="fr-FR"/>
              </w:rPr>
              <w:t>Candidat</w:t>
            </w:r>
            <w:r w:rsidRPr="00863540">
              <w:rPr>
                <w:lang w:val="fr-FR"/>
              </w:rPr>
              <w:t xml:space="preserve"> doit maintenir disponible le personnel spécialisé nommé dans sa proposition. </w:t>
            </w:r>
            <w:r>
              <w:rPr>
                <w:lang w:val="fr-FR"/>
              </w:rPr>
              <w:t>L’Autorité contractante</w:t>
            </w:r>
            <w:r w:rsidRPr="00863540">
              <w:rPr>
                <w:lang w:val="fr-FR"/>
              </w:rPr>
              <w:t xml:space="preserve"> s’efforcera de compléter les négociations pendant ladite période. Cependant, en cas de besoin, </w:t>
            </w:r>
            <w:r>
              <w:rPr>
                <w:lang w:val="fr-FR"/>
              </w:rPr>
              <w:t>l’Autorité contractante</w:t>
            </w:r>
            <w:r w:rsidRPr="00863540">
              <w:rPr>
                <w:lang w:val="fr-FR"/>
              </w:rPr>
              <w:t xml:space="preserve"> peut demander aux </w:t>
            </w:r>
            <w:r>
              <w:rPr>
                <w:lang w:val="fr-FR"/>
              </w:rPr>
              <w:t>Candidat</w:t>
            </w:r>
            <w:r w:rsidRPr="00863540">
              <w:rPr>
                <w:lang w:val="fr-FR"/>
              </w:rPr>
              <w:t xml:space="preserve">s de proroger la durée de validité de leurs propositions. Les </w:t>
            </w:r>
            <w:r>
              <w:rPr>
                <w:lang w:val="fr-FR"/>
              </w:rPr>
              <w:t>Candidat</w:t>
            </w:r>
            <w:r w:rsidRPr="00863540">
              <w:rPr>
                <w:lang w:val="fr-FR"/>
              </w:rPr>
              <w:t xml:space="preserve">s qui acceptent de proroger la validité de leurs propositions doivent le confirmer par écrit en indiquant également qu’ils maintiennent disponible le personnel spécialisé proposé dans leurs propositions. Les </w:t>
            </w:r>
            <w:r>
              <w:rPr>
                <w:lang w:val="fr-FR"/>
              </w:rPr>
              <w:t>Candidat</w:t>
            </w:r>
            <w:r w:rsidRPr="00863540">
              <w:rPr>
                <w:lang w:val="fr-FR"/>
              </w:rPr>
              <w:t>s ont le droit de refuser de proroger la validité de leurs propositions.</w:t>
            </w:r>
          </w:p>
        </w:tc>
      </w:tr>
      <w:tr w:rsidR="004C6182" w:rsidTr="007C5949">
        <w:tc>
          <w:tcPr>
            <w:tcW w:w="2160" w:type="dxa"/>
          </w:tcPr>
          <w:p w:rsidR="004C6182" w:rsidRDefault="004C6182" w:rsidP="004C6182">
            <w:pPr>
              <w:numPr>
                <w:ilvl w:val="0"/>
                <w:numId w:val="6"/>
              </w:numPr>
              <w:tabs>
                <w:tab w:val="left" w:pos="259"/>
              </w:tabs>
              <w:rPr>
                <w:b/>
              </w:rPr>
            </w:pPr>
            <w:r>
              <w:rPr>
                <w:b/>
              </w:rPr>
              <w:t>Admissibilité des Sous-traitants</w:t>
            </w:r>
          </w:p>
        </w:tc>
        <w:tc>
          <w:tcPr>
            <w:tcW w:w="7110" w:type="dxa"/>
          </w:tcPr>
          <w:p w:rsidR="004C6182" w:rsidRPr="00FC6B02" w:rsidRDefault="004C6182" w:rsidP="007C5949">
            <w:pPr>
              <w:pStyle w:val="Header3-Paragraph"/>
              <w:overflowPunct/>
              <w:autoSpaceDE/>
              <w:autoSpaceDN/>
              <w:adjustRightInd/>
              <w:spacing w:after="220"/>
              <w:ind w:left="360" w:firstLine="0"/>
              <w:textAlignment w:val="auto"/>
              <w:rPr>
                <w:lang w:val="fr-FR"/>
              </w:rPr>
            </w:pPr>
            <w:r w:rsidRPr="00FC6B02">
              <w:rPr>
                <w:lang w:val="fr-FR"/>
              </w:rPr>
              <w:t xml:space="preserve">Si un </w:t>
            </w:r>
            <w:r>
              <w:rPr>
                <w:lang w:val="fr-FR"/>
              </w:rPr>
              <w:t>Candidat</w:t>
            </w:r>
            <w:r w:rsidRPr="00FC6B02">
              <w:rPr>
                <w:lang w:val="fr-FR"/>
              </w:rPr>
              <w:t xml:space="preserve"> présélectionné a l’intention de s’associer à des consultants ne figurant pas sur ladite liste et/ou avec un ou plusieurs expert(s), ces autres Consultants ou experts seront soumis aux mêmes conditions applicables aux candidats en application des paragraphes 2 et 4.</w:t>
            </w:r>
          </w:p>
        </w:tc>
      </w:tr>
      <w:tr w:rsidR="004C6182" w:rsidTr="007C5949">
        <w:trPr>
          <w:trHeight w:val="3342"/>
        </w:trPr>
        <w:tc>
          <w:tcPr>
            <w:tcW w:w="2160" w:type="dxa"/>
          </w:tcPr>
          <w:p w:rsidR="004C6182" w:rsidRPr="005A6281" w:rsidRDefault="004C6182" w:rsidP="004C6182">
            <w:pPr>
              <w:numPr>
                <w:ilvl w:val="0"/>
                <w:numId w:val="6"/>
              </w:numPr>
              <w:tabs>
                <w:tab w:val="left" w:pos="259"/>
              </w:tabs>
              <w:rPr>
                <w:b/>
              </w:rPr>
            </w:pPr>
            <w:r>
              <w:rPr>
                <w:rFonts w:ascii="Times New Roman Bold" w:hAnsi="Times New Roman Bold"/>
                <w:b/>
              </w:rPr>
              <w:t>Eclaircissements</w:t>
            </w:r>
            <w:r w:rsidRPr="005A6281">
              <w:rPr>
                <w:rFonts w:ascii="Times New Roman Bold" w:hAnsi="Times New Roman Bold"/>
                <w:b/>
              </w:rPr>
              <w:t xml:space="preserve"> et modifications apportés aux documents de la DDP</w:t>
            </w:r>
          </w:p>
          <w:p w:rsidR="004C6182" w:rsidRPr="005A6281" w:rsidRDefault="004C6182" w:rsidP="007C5949">
            <w:pPr>
              <w:tabs>
                <w:tab w:val="left" w:pos="259"/>
              </w:tabs>
              <w:ind w:left="259" w:hanging="259"/>
            </w:pPr>
          </w:p>
        </w:tc>
        <w:tc>
          <w:tcPr>
            <w:tcW w:w="7110" w:type="dxa"/>
          </w:tcPr>
          <w:p w:rsidR="004C6182" w:rsidRPr="005A6281" w:rsidRDefault="004C6182" w:rsidP="004C6182">
            <w:pPr>
              <w:pStyle w:val="Header3-Paragraph"/>
              <w:numPr>
                <w:ilvl w:val="1"/>
                <w:numId w:val="8"/>
              </w:numPr>
              <w:overflowPunct/>
              <w:autoSpaceDE/>
              <w:autoSpaceDN/>
              <w:adjustRightInd/>
              <w:spacing w:after="220"/>
              <w:textAlignment w:val="auto"/>
              <w:rPr>
                <w:lang w:val="fr-FR"/>
              </w:rPr>
            </w:pPr>
            <w:r w:rsidRPr="005A6281">
              <w:rPr>
                <w:lang w:val="fr-FR"/>
              </w:rPr>
              <w:t xml:space="preserve"> Les Candidats peuvent demander des éclaircissements sur l’un quelconque des documents de la Demande de propositions au plus tard dans les délais fixés par les </w:t>
            </w:r>
            <w:r w:rsidRPr="00515648">
              <w:rPr>
                <w:b/>
                <w:lang w:val="fr-FR"/>
              </w:rPr>
              <w:t>Données</w:t>
            </w:r>
            <w:r>
              <w:rPr>
                <w:b/>
                <w:lang w:val="fr-FR"/>
              </w:rPr>
              <w:t xml:space="preserve"> </w:t>
            </w:r>
            <w:r w:rsidRPr="00515648">
              <w:rPr>
                <w:b/>
                <w:lang w:val="fr-FR"/>
              </w:rPr>
              <w:t>Particulières</w:t>
            </w:r>
            <w:r w:rsidRPr="005A6281">
              <w:rPr>
                <w:lang w:val="fr-FR"/>
              </w:rPr>
              <w:t xml:space="preserve">. Toute demande d’éclaircissement doit être formulée par écrit ou courrier électronique à l’adresse de l’Autorité contractante figurant dans les </w:t>
            </w:r>
            <w:r w:rsidRPr="00515648">
              <w:rPr>
                <w:b/>
                <w:lang w:val="fr-FR"/>
              </w:rPr>
              <w:t>Données particulières</w:t>
            </w:r>
            <w:r w:rsidRPr="005A6281">
              <w:rPr>
                <w:lang w:val="fr-FR"/>
              </w:rPr>
              <w:t>. L’Autorité contractante répondra par écrit à tous les Candidats et enverra des copies de la réponse (en y joignant la demande d’éclaircissement, sans en identifier l’origine) à tous les Candidats. Si l’Autorité contractante estime nécessaire d’amender la DDP à la suite de la demande d’éclaircissement, il le fait conformément à la procédure indiquée au paragraphe 8.2</w:t>
            </w:r>
            <w:r>
              <w:rPr>
                <w:lang w:val="fr-FR"/>
              </w:rPr>
              <w:t xml:space="preserve"> ci-dessous</w:t>
            </w:r>
            <w:r w:rsidRPr="005A6281">
              <w:rPr>
                <w:lang w:val="fr-FR"/>
              </w:rPr>
              <w:t>.</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863540" w:rsidRDefault="004C6182" w:rsidP="004C6182">
            <w:pPr>
              <w:pStyle w:val="Header3-Paragraph"/>
              <w:numPr>
                <w:ilvl w:val="1"/>
                <w:numId w:val="8"/>
              </w:numPr>
              <w:overflowPunct/>
              <w:autoSpaceDE/>
              <w:autoSpaceDN/>
              <w:adjustRightInd/>
              <w:spacing w:after="220"/>
              <w:textAlignment w:val="auto"/>
              <w:rPr>
                <w:lang w:val="fr-FR"/>
              </w:rPr>
            </w:pPr>
            <w:r w:rsidRPr="004356CE">
              <w:rPr>
                <w:lang w:val="fr-FR"/>
              </w:rPr>
              <w:t xml:space="preserve">A tout moment avant la soumission des propositions, </w:t>
            </w:r>
            <w:r>
              <w:rPr>
                <w:lang w:val="fr-FR"/>
              </w:rPr>
              <w:t>l’Autorité contractante</w:t>
            </w:r>
            <w:r w:rsidRPr="004356CE">
              <w:rPr>
                <w:lang w:val="fr-FR"/>
              </w:rPr>
              <w:t xml:space="preserve"> peut modifier la Demande de propositions par le biais d’un additif. </w:t>
            </w:r>
            <w:r w:rsidRPr="00863540">
              <w:rPr>
                <w:lang w:val="fr-FR"/>
              </w:rPr>
              <w:t xml:space="preserve">Tout additif est communiqué à tous les </w:t>
            </w:r>
            <w:r>
              <w:rPr>
                <w:lang w:val="fr-FR"/>
              </w:rPr>
              <w:t>Candidat</w:t>
            </w:r>
            <w:r w:rsidRPr="00863540">
              <w:rPr>
                <w:lang w:val="fr-FR"/>
              </w:rPr>
              <w:t>s par notification écri</w:t>
            </w:r>
            <w:r>
              <w:rPr>
                <w:lang w:val="fr-FR"/>
              </w:rPr>
              <w:t>te ou par courrier électronique</w:t>
            </w:r>
            <w:r w:rsidRPr="00863540">
              <w:rPr>
                <w:lang w:val="fr-FR"/>
              </w:rPr>
              <w:t xml:space="preserve">. Les </w:t>
            </w:r>
            <w:r>
              <w:rPr>
                <w:lang w:val="fr-FR"/>
              </w:rPr>
              <w:t>Candidat</w:t>
            </w:r>
            <w:r w:rsidRPr="00863540">
              <w:rPr>
                <w:lang w:val="fr-FR"/>
              </w:rPr>
              <w:t xml:space="preserve">s </w:t>
            </w:r>
            <w:r>
              <w:rPr>
                <w:lang w:val="fr-FR"/>
              </w:rPr>
              <w:t>doivent accuser réception de tout additif</w:t>
            </w:r>
            <w:r w:rsidRPr="00863540">
              <w:rPr>
                <w:lang w:val="fr-FR"/>
              </w:rPr>
              <w:t xml:space="preserve">. Afin de donner aux </w:t>
            </w:r>
            <w:r>
              <w:rPr>
                <w:lang w:val="fr-FR"/>
              </w:rPr>
              <w:t>Candidat</w:t>
            </w:r>
            <w:r w:rsidRPr="00863540">
              <w:rPr>
                <w:lang w:val="fr-FR"/>
              </w:rPr>
              <w:t xml:space="preserve">s un délai raisonnable pour qu’ils puissent prendre </w:t>
            </w:r>
            <w:r>
              <w:rPr>
                <w:lang w:val="fr-FR"/>
              </w:rPr>
              <w:t xml:space="preserve">en </w:t>
            </w:r>
            <w:r w:rsidRPr="00863540">
              <w:rPr>
                <w:lang w:val="fr-FR"/>
              </w:rPr>
              <w:t xml:space="preserve">compte </w:t>
            </w:r>
            <w:r>
              <w:rPr>
                <w:lang w:val="fr-FR"/>
              </w:rPr>
              <w:t xml:space="preserve">un additif </w:t>
            </w:r>
            <w:r w:rsidRPr="00863540">
              <w:rPr>
                <w:lang w:val="fr-FR"/>
              </w:rPr>
              <w:t xml:space="preserve">dans leur Proposition, </w:t>
            </w:r>
            <w:r>
              <w:rPr>
                <w:lang w:val="fr-FR"/>
              </w:rPr>
              <w:t>l’Autorité contractante</w:t>
            </w:r>
            <w:r w:rsidRPr="00863540">
              <w:rPr>
                <w:lang w:val="fr-FR"/>
              </w:rPr>
              <w:t xml:space="preserve"> peut, reporter la date limite de soumission des propositions. </w:t>
            </w:r>
            <w:r w:rsidRPr="005A6281">
              <w:rPr>
                <w:lang w:val="fr-FR"/>
              </w:rPr>
              <w:t>Lorsqu’il s’agit d’une modification de fond, le report de la date limite de soumission des propositions s’impose.</w:t>
            </w:r>
          </w:p>
        </w:tc>
      </w:tr>
      <w:tr w:rsidR="004C6182" w:rsidTr="007C5949">
        <w:tc>
          <w:tcPr>
            <w:tcW w:w="2160" w:type="dxa"/>
          </w:tcPr>
          <w:p w:rsidR="004C6182" w:rsidRDefault="004C6182" w:rsidP="004C6182">
            <w:pPr>
              <w:numPr>
                <w:ilvl w:val="0"/>
                <w:numId w:val="6"/>
              </w:numPr>
              <w:tabs>
                <w:tab w:val="left" w:pos="259"/>
              </w:tabs>
              <w:rPr>
                <w:b/>
              </w:rPr>
            </w:pPr>
            <w:r>
              <w:rPr>
                <w:rFonts w:ascii="Times New Roman Bold" w:hAnsi="Times New Roman Bold"/>
                <w:b/>
              </w:rPr>
              <w:lastRenderedPageBreak/>
              <w:t>Établissement des propositions</w:t>
            </w:r>
          </w:p>
          <w:p w:rsidR="004C6182" w:rsidRDefault="004C6182" w:rsidP="007C5949">
            <w:pPr>
              <w:tabs>
                <w:tab w:val="left" w:pos="259"/>
              </w:tabs>
              <w:ind w:left="259" w:hanging="259"/>
            </w:pPr>
          </w:p>
        </w:tc>
        <w:tc>
          <w:tcPr>
            <w:tcW w:w="7110" w:type="dxa"/>
          </w:tcPr>
          <w:p w:rsidR="004C6182" w:rsidRPr="00CC00BC" w:rsidRDefault="004C6182" w:rsidP="004C6182">
            <w:pPr>
              <w:pStyle w:val="Header3-Paragraph"/>
              <w:numPr>
                <w:ilvl w:val="1"/>
                <w:numId w:val="9"/>
              </w:numPr>
              <w:overflowPunct/>
              <w:autoSpaceDE/>
              <w:autoSpaceDN/>
              <w:adjustRightInd/>
              <w:spacing w:after="220"/>
              <w:textAlignment w:val="auto"/>
              <w:rPr>
                <w:lang w:val="fr-FR"/>
              </w:rPr>
            </w:pPr>
            <w:r w:rsidRPr="00CC00BC">
              <w:rPr>
                <w:lang w:val="fr-FR"/>
              </w:rPr>
              <w:t xml:space="preserve">Les </w:t>
            </w:r>
            <w:r>
              <w:rPr>
                <w:lang w:val="fr-FR"/>
              </w:rPr>
              <w:t>Candidat</w:t>
            </w:r>
            <w:r w:rsidRPr="00CC00BC">
              <w:rPr>
                <w:lang w:val="fr-FR"/>
              </w:rPr>
              <w:t>s sont tenus de soumettre leur proposition (</w:t>
            </w:r>
            <w:r>
              <w:rPr>
                <w:lang w:val="fr-FR"/>
              </w:rPr>
              <w:t>Paragraphe</w:t>
            </w:r>
            <w:r w:rsidRPr="00CC00BC">
              <w:rPr>
                <w:lang w:val="fr-FR"/>
              </w:rPr>
              <w:t> 1.2</w:t>
            </w:r>
            <w:r>
              <w:rPr>
                <w:lang w:val="fr-FR"/>
              </w:rPr>
              <w:t xml:space="preserve"> des IC), </w:t>
            </w:r>
            <w:r w:rsidRPr="00CC00BC">
              <w:rPr>
                <w:lang w:val="fr-FR"/>
              </w:rPr>
              <w:t xml:space="preserve">ainsi que toute correspondance, rédigée dans la langue </w:t>
            </w:r>
            <w:r w:rsidRPr="00657C3E">
              <w:rPr>
                <w:lang w:val="fr-FR"/>
              </w:rPr>
              <w:t>française.</w:t>
            </w:r>
          </w:p>
        </w:tc>
      </w:tr>
      <w:tr w:rsidR="004C6182" w:rsidTr="007C5949">
        <w:tc>
          <w:tcPr>
            <w:tcW w:w="2160" w:type="dxa"/>
          </w:tcPr>
          <w:p w:rsidR="004C6182" w:rsidRDefault="004C6182" w:rsidP="007C5949">
            <w:pPr>
              <w:keepLines/>
              <w:tabs>
                <w:tab w:val="left" w:pos="259"/>
              </w:tabs>
              <w:ind w:left="432"/>
            </w:pPr>
          </w:p>
          <w:p w:rsidR="004C6182" w:rsidRDefault="004C6182" w:rsidP="007C5949">
            <w:pPr>
              <w:keepLines/>
              <w:tabs>
                <w:tab w:val="left" w:pos="259"/>
              </w:tabs>
              <w:ind w:left="432"/>
            </w:pPr>
          </w:p>
          <w:p w:rsidR="004C6182" w:rsidRDefault="004C6182" w:rsidP="007C5949">
            <w:pPr>
              <w:keepNext/>
              <w:keepLines/>
              <w:pageBreakBefore/>
              <w:tabs>
                <w:tab w:val="left" w:pos="259"/>
              </w:tabs>
              <w:ind w:left="259" w:hanging="259"/>
            </w:pPr>
          </w:p>
        </w:tc>
        <w:tc>
          <w:tcPr>
            <w:tcW w:w="7110" w:type="dxa"/>
          </w:tcPr>
          <w:p w:rsidR="004C6182" w:rsidRPr="00863540" w:rsidRDefault="004C6182" w:rsidP="004C6182">
            <w:pPr>
              <w:pStyle w:val="Header3-Paragraph"/>
              <w:numPr>
                <w:ilvl w:val="1"/>
                <w:numId w:val="9"/>
              </w:numPr>
              <w:overflowPunct/>
              <w:autoSpaceDE/>
              <w:autoSpaceDN/>
              <w:adjustRightInd/>
              <w:spacing w:after="220"/>
              <w:textAlignment w:val="auto"/>
              <w:rPr>
                <w:lang w:val="fr-FR"/>
              </w:rPr>
            </w:pPr>
            <w:r w:rsidRPr="00CC00BC">
              <w:rPr>
                <w:lang w:val="fr-FR"/>
              </w:rPr>
              <w:t xml:space="preserve">Lors de l’établissement de leur Proposition, les </w:t>
            </w:r>
            <w:r>
              <w:rPr>
                <w:lang w:val="fr-FR"/>
              </w:rPr>
              <w:t>Candidat</w:t>
            </w:r>
            <w:r w:rsidRPr="00CC00BC">
              <w:rPr>
                <w:lang w:val="fr-FR"/>
              </w:rPr>
              <w:t xml:space="preserve">s sont censés examiner les documents constituant la présente </w:t>
            </w:r>
            <w:r>
              <w:rPr>
                <w:lang w:val="fr-FR"/>
              </w:rPr>
              <w:t>DP</w:t>
            </w:r>
            <w:r w:rsidRPr="00CC00BC">
              <w:rPr>
                <w:lang w:val="fr-FR"/>
              </w:rPr>
              <w:t xml:space="preserve"> en détail. </w:t>
            </w:r>
            <w:r w:rsidRPr="00863540">
              <w:rPr>
                <w:lang w:val="fr-FR"/>
              </w:rPr>
              <w:t xml:space="preserve">L’insuffisance patente des renseignements fournis peut entraîner le rejet d’une proposition. </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CC00BC" w:rsidRDefault="004C6182" w:rsidP="004C6182">
            <w:pPr>
              <w:pStyle w:val="Header3-Paragraph"/>
              <w:numPr>
                <w:ilvl w:val="1"/>
                <w:numId w:val="9"/>
              </w:numPr>
              <w:overflowPunct/>
              <w:autoSpaceDE/>
              <w:autoSpaceDN/>
              <w:adjustRightInd/>
              <w:spacing w:after="220"/>
              <w:textAlignment w:val="auto"/>
              <w:rPr>
                <w:lang w:val="fr-FR"/>
              </w:rPr>
            </w:pPr>
            <w:r w:rsidRPr="00CC00BC">
              <w:rPr>
                <w:lang w:val="fr-FR"/>
              </w:rPr>
              <w:t xml:space="preserve">En établissant la Proposition technique, les </w:t>
            </w:r>
            <w:r>
              <w:rPr>
                <w:lang w:val="fr-FR"/>
              </w:rPr>
              <w:t>Candidat</w:t>
            </w:r>
            <w:r w:rsidRPr="00CC00BC">
              <w:rPr>
                <w:lang w:val="fr-FR"/>
              </w:rPr>
              <w:t>s doivent prêter particulièrement attention aux considérations suivantes :</w:t>
            </w:r>
          </w:p>
          <w:p w:rsidR="004C6182" w:rsidRDefault="004C6182" w:rsidP="007C5949">
            <w:pPr>
              <w:pStyle w:val="BodyTextIndent"/>
              <w:spacing w:after="160"/>
              <w:jc w:val="both"/>
            </w:pPr>
            <w:r>
              <w:t>a)</w:t>
            </w:r>
            <w:r>
              <w:tab/>
              <w:t xml:space="preserve">Si un Candidat présélectionné estime pouvoir rehausser ses compétences en s’associant avec d’autres consultants sous forme de </w:t>
            </w:r>
            <w:r w:rsidRPr="00BF21EC">
              <w:t xml:space="preserve">groupe </w:t>
            </w:r>
            <w:r>
              <w:t xml:space="preserve">ou de sous-traitance, il peut s’associer avec (i) un ou plusieurs Consultants non présélectionnés, ou (ii) des Candidats présélectionnés, si autorisé dans les </w:t>
            </w:r>
            <w:r w:rsidRPr="00515648">
              <w:rPr>
                <w:b/>
              </w:rPr>
              <w:t>Données particulières</w:t>
            </w:r>
            <w:r>
              <w:t xml:space="preserve">. Si un Candidat présélectionné souhaite s'associer sous forme de </w:t>
            </w:r>
            <w:proofErr w:type="spellStart"/>
            <w:r w:rsidRPr="00F610EE">
              <w:t>co</w:t>
            </w:r>
            <w:proofErr w:type="spellEnd"/>
            <w:r>
              <w:t xml:space="preserve">- </w:t>
            </w:r>
            <w:proofErr w:type="spellStart"/>
            <w:r w:rsidRPr="00F610EE">
              <w:t>traitance</w:t>
            </w:r>
            <w:proofErr w:type="spellEnd"/>
            <w:r>
              <w:t xml:space="preserve"> 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w:t>
            </w:r>
            <w:r w:rsidRPr="00DD5C6D">
              <w:t xml:space="preserve">d’un </w:t>
            </w:r>
            <w:r w:rsidRPr="00BF21EC">
              <w:t xml:space="preserve">groupe </w:t>
            </w:r>
            <w:r w:rsidRPr="00DD5C6D">
              <w:t xml:space="preserve">de Candidat(s) présélectionné(s), tous les partenaires assument une responsabilité solidaire et indiquent le partenaire agissant en qualité de </w:t>
            </w:r>
            <w:r w:rsidRPr="00BF21EC">
              <w:t>dirigeant du groupe.</w:t>
            </w:r>
          </w:p>
          <w:p w:rsidR="004C6182" w:rsidRDefault="004C6182" w:rsidP="007C5949">
            <w:pPr>
              <w:pStyle w:val="BodyTextIndent"/>
              <w:spacing w:after="200"/>
              <w:jc w:val="both"/>
            </w:pPr>
            <w:r>
              <w:t>b)</w:t>
            </w:r>
            <w:r>
              <w:tab/>
              <w:t xml:space="preserve">Le temps de travail estimé du personnel </w:t>
            </w:r>
            <w:r w:rsidRPr="008F4597">
              <w:t xml:space="preserve">ou </w:t>
            </w:r>
            <w:r>
              <w:t xml:space="preserve">le budget nécessaire à l’exécution de la mission, est indiqué dans les </w:t>
            </w:r>
            <w:r w:rsidRPr="001B3277">
              <w:rPr>
                <w:b/>
              </w:rPr>
              <w:t>Données particulières</w:t>
            </w:r>
            <w:r>
              <w:t xml:space="preserve">. Cependant, la proposition doit se fonder sur le temps de travail du personnel ou sur le budget tel qu’estimé par le Candidat. Pour les missions fondées sur un budget déterminé, le budget disponible est indiqué dans les </w:t>
            </w:r>
            <w:r w:rsidRPr="001B3277">
              <w:rPr>
                <w:b/>
              </w:rPr>
              <w:t>Données particulières</w:t>
            </w:r>
            <w:r>
              <w:t>, et la Proposition financière ne doit pas dépasser ce budget.</w:t>
            </w:r>
          </w:p>
          <w:p w:rsidR="004C6182" w:rsidRDefault="004C6182" w:rsidP="007C5949">
            <w:pPr>
              <w:spacing w:after="200"/>
              <w:ind w:left="1426" w:hanging="720"/>
              <w:jc w:val="both"/>
            </w:pPr>
            <w:r>
              <w:t>c)</w:t>
            </w:r>
            <w:r>
              <w:tab/>
              <w:t>Il ne peut être proposé un choix de personnel clé, et il n’est possible de soumettre qu’un curriculum vitae (CV) par poste.</w:t>
            </w:r>
          </w:p>
        </w:tc>
      </w:tr>
      <w:tr w:rsidR="004C6182" w:rsidTr="007C5949">
        <w:tc>
          <w:tcPr>
            <w:tcW w:w="2160" w:type="dxa"/>
          </w:tcPr>
          <w:p w:rsidR="004C6182" w:rsidRDefault="004C6182" w:rsidP="004C6182">
            <w:pPr>
              <w:numPr>
                <w:ilvl w:val="0"/>
                <w:numId w:val="6"/>
              </w:numPr>
              <w:tabs>
                <w:tab w:val="left" w:pos="259"/>
              </w:tabs>
            </w:pPr>
            <w:r>
              <w:rPr>
                <w:b/>
              </w:rPr>
              <w:t xml:space="preserve"> Langue</w:t>
            </w:r>
          </w:p>
        </w:tc>
        <w:tc>
          <w:tcPr>
            <w:tcW w:w="7110" w:type="dxa"/>
          </w:tcPr>
          <w:p w:rsidR="004C6182" w:rsidRPr="00657C3E" w:rsidRDefault="004C6182" w:rsidP="007C5949">
            <w:pPr>
              <w:spacing w:after="200"/>
              <w:ind w:left="720"/>
              <w:jc w:val="both"/>
            </w:pPr>
            <w:r w:rsidRPr="00657C3E">
              <w:t>Les rapports que doivent produire les consultants dans le cadre de la présente mission doivent être rédigés dans la langue française. Il est souhaitable que le personnel du Consultant ait une bonne connaissance pratique de la langue française.</w:t>
            </w:r>
          </w:p>
        </w:tc>
      </w:tr>
      <w:tr w:rsidR="004C6182" w:rsidTr="007C5949">
        <w:trPr>
          <w:trHeight w:val="4111"/>
        </w:trPr>
        <w:tc>
          <w:tcPr>
            <w:tcW w:w="2160" w:type="dxa"/>
          </w:tcPr>
          <w:p w:rsidR="004C6182" w:rsidRDefault="004C6182" w:rsidP="004C6182">
            <w:pPr>
              <w:numPr>
                <w:ilvl w:val="0"/>
                <w:numId w:val="6"/>
              </w:numPr>
              <w:tabs>
                <w:tab w:val="left" w:pos="259"/>
              </w:tabs>
              <w:rPr>
                <w:b/>
              </w:rPr>
            </w:pPr>
            <w:r>
              <w:rPr>
                <w:b/>
              </w:rPr>
              <w:lastRenderedPageBreak/>
              <w:t xml:space="preserve"> Forme et contenu de la proposition technique</w:t>
            </w:r>
          </w:p>
        </w:tc>
        <w:tc>
          <w:tcPr>
            <w:tcW w:w="7110" w:type="dxa"/>
          </w:tcPr>
          <w:p w:rsidR="004C6182" w:rsidRPr="00BB7D50" w:rsidRDefault="004C6182" w:rsidP="004C6182">
            <w:pPr>
              <w:pStyle w:val="Header3-Paragraph"/>
              <w:numPr>
                <w:ilvl w:val="1"/>
                <w:numId w:val="10"/>
              </w:numPr>
              <w:overflowPunct/>
              <w:autoSpaceDE/>
              <w:autoSpaceDN/>
              <w:adjustRightInd/>
              <w:spacing w:after="220"/>
              <w:textAlignment w:val="auto"/>
              <w:rPr>
                <w:lang w:val="fr-FR"/>
              </w:rPr>
            </w:pPr>
            <w:r w:rsidRPr="00BB7D50">
              <w:rPr>
                <w:lang w:val="fr-FR"/>
              </w:rPr>
              <w:t xml:space="preserve">Les Candidats sont tenus de présenter une Proposition technique contenant les informations énumérées aux alinéas (a) à (f) ci-dessous, et d’utiliser les Formulaires </w:t>
            </w:r>
            <w:r>
              <w:rPr>
                <w:lang w:val="fr-FR"/>
              </w:rPr>
              <w:t>type</w:t>
            </w:r>
            <w:r w:rsidRPr="00BB7D50">
              <w:rPr>
                <w:lang w:val="fr-FR"/>
              </w:rPr>
              <w:t xml:space="preserve">s annexés à la Section IV. </w:t>
            </w:r>
          </w:p>
          <w:p w:rsidR="004C6182" w:rsidRPr="00BB7D50" w:rsidRDefault="004C6182" w:rsidP="007C5949">
            <w:pPr>
              <w:spacing w:after="200"/>
              <w:ind w:left="1440" w:hanging="720"/>
              <w:jc w:val="both"/>
              <w:rPr>
                <w:szCs w:val="24"/>
              </w:rPr>
            </w:pPr>
            <w:r w:rsidRPr="00BB7D50">
              <w:rPr>
                <w:szCs w:val="24"/>
              </w:rPr>
              <w:t>a)</w:t>
            </w:r>
            <w:r w:rsidRPr="00BB7D50">
              <w:rPr>
                <w:szCs w:val="24"/>
              </w:rPr>
              <w:tab/>
              <w:t xml:space="preserve">une brève description de la société du Candidat et, dans le cas d’une </w:t>
            </w:r>
            <w:proofErr w:type="spellStart"/>
            <w:r w:rsidRPr="00BB7D50">
              <w:rPr>
                <w:szCs w:val="24"/>
              </w:rPr>
              <w:t>co</w:t>
            </w:r>
            <w:proofErr w:type="spellEnd"/>
            <w:r>
              <w:rPr>
                <w:szCs w:val="24"/>
              </w:rPr>
              <w:t xml:space="preserve"> </w:t>
            </w:r>
            <w:proofErr w:type="spellStart"/>
            <w:r>
              <w:rPr>
                <w:szCs w:val="24"/>
              </w:rPr>
              <w:t>t</w:t>
            </w:r>
            <w:r w:rsidRPr="00BB7D50">
              <w:rPr>
                <w:szCs w:val="24"/>
              </w:rPr>
              <w:t>raitance</w:t>
            </w:r>
            <w:proofErr w:type="spellEnd"/>
            <w:r w:rsidRPr="00BB7D50">
              <w:rPr>
                <w:szCs w:val="24"/>
              </w:rPr>
              <w:t xml:space="preserve">, de chaque partenaire ; et un aperçu de son/leurs expérience(s) récente(s) dans le cadre de missions similaires. Les informations doivent être présentées en utilisant le Formulaire TECH-2 figurant à la Section 4. Pour chaque mission, ce résumé doit notamment indiquer les noms des sous-traitants et du personnel clé qui participe, la durée de la mission, le montant du marché et la part prise par le Candidat. Les informations doivent uniquement se rapporter à la mission pour laquelle le Candidat a été officiellement engagé par l’Autorité contractante en qualité de société ou en sa qualité de société participant à une co-entreprise. Le Candidat ne peut présenter des missions exécutées par des experts clés travaillant à titre privé ou pour d’autres sociétés de conseil au titre de sa propre expérience ; cette expérience peut par contre figurer sur le CV de ces experts clés. Le Candidat doit pouvoir justifier de son expérience auprès de l’Autorité contractante.  </w:t>
            </w:r>
          </w:p>
          <w:p w:rsidR="004C6182" w:rsidRPr="00BB7D50" w:rsidRDefault="004C6182" w:rsidP="007C5949">
            <w:pPr>
              <w:spacing w:after="200"/>
              <w:ind w:left="1440" w:hanging="720"/>
              <w:jc w:val="both"/>
              <w:rPr>
                <w:szCs w:val="24"/>
              </w:rPr>
            </w:pPr>
            <w:r w:rsidRPr="00BB7D50">
              <w:rPr>
                <w:szCs w:val="24"/>
              </w:rPr>
              <w:t>b)</w:t>
            </w:r>
            <w:r w:rsidRPr="00BB7D50">
              <w:rPr>
                <w:szCs w:val="24"/>
              </w:rPr>
              <w:tab/>
              <w:t>le Formulaire TECH-3 de la Section 4 est utilisé pour présenter des observations ou suggestions éventuelles sur les Termes de référence dans le but (</w:t>
            </w:r>
            <w:r>
              <w:rPr>
                <w:szCs w:val="24"/>
              </w:rPr>
              <w:t>i</w:t>
            </w:r>
            <w:r w:rsidRPr="00BB7D50">
              <w:rPr>
                <w:szCs w:val="24"/>
              </w:rPr>
              <w:t>) d’améliorer la qualité et l’efficacité de la mission, ainsi que les qualifications du personnel national et (</w:t>
            </w:r>
            <w:r>
              <w:rPr>
                <w:szCs w:val="24"/>
              </w:rPr>
              <w:t>ii</w:t>
            </w:r>
            <w:r w:rsidRPr="00BB7D50">
              <w:rPr>
                <w:szCs w:val="24"/>
              </w:rPr>
              <w:t>) de préciser les services et installations notamment appui administratif, espace de bureaux, moyens de transport locaux, équipements, données, etc. devant être fourni par l’Autorité contractante.</w:t>
            </w:r>
          </w:p>
          <w:p w:rsidR="004C6182" w:rsidRPr="00BB7D50" w:rsidRDefault="004C6182" w:rsidP="007C5949">
            <w:pPr>
              <w:spacing w:after="200"/>
              <w:ind w:left="1440" w:hanging="720"/>
              <w:jc w:val="both"/>
              <w:rPr>
                <w:szCs w:val="24"/>
              </w:rPr>
            </w:pPr>
            <w:r w:rsidRPr="00BB7D50">
              <w:rPr>
                <w:szCs w:val="24"/>
              </w:rPr>
              <w:t xml:space="preserve">c) </w:t>
            </w:r>
            <w:r w:rsidRPr="00BB7D50">
              <w:rPr>
                <w:szCs w:val="24"/>
              </w:rPr>
              <w:tab/>
              <w:t>un descriptif de la conception, de la méthodologie et du plan de travail proposés pour exécuter la mission sur les sujets suivants : l’approche technique et la méthodologie, le plan de travail, l’organisation et les affectations du personnel. Le Formulaire TECH-4 de la Section 4 indique le contenu de cette section. Le plan de travail doit être conforme au calendrier de travail (Formulaire TECH-8 de la Section 4) qui indiquera sous forme de graphique à barre le calendrier de chacune des activités.</w:t>
            </w:r>
          </w:p>
          <w:p w:rsidR="004C6182" w:rsidRPr="00BB7D50" w:rsidRDefault="004C6182" w:rsidP="007C5949">
            <w:pPr>
              <w:spacing w:after="200"/>
              <w:ind w:left="1440" w:hanging="720"/>
              <w:jc w:val="both"/>
              <w:rPr>
                <w:szCs w:val="24"/>
              </w:rPr>
            </w:pPr>
            <w:r w:rsidRPr="00BB7D50">
              <w:rPr>
                <w:szCs w:val="24"/>
              </w:rPr>
              <w:t>d)</w:t>
            </w:r>
            <w:r w:rsidRPr="00BB7D50">
              <w:rPr>
                <w:szCs w:val="24"/>
              </w:rPr>
              <w:tab/>
              <w:t>La composition de l’équipe proposée, par spécialité, ainsi que le poste et les tâches qui sont confiées à chacun de ses membres (Formulaire TECH-5 de la Section 4).</w:t>
            </w:r>
          </w:p>
          <w:p w:rsidR="004C6182" w:rsidRPr="00BB7D50" w:rsidRDefault="004C6182" w:rsidP="007C5949">
            <w:pPr>
              <w:spacing w:after="200"/>
              <w:ind w:left="1440" w:hanging="720"/>
              <w:jc w:val="both"/>
              <w:rPr>
                <w:szCs w:val="24"/>
              </w:rPr>
            </w:pPr>
            <w:r w:rsidRPr="00BB7D50">
              <w:rPr>
                <w:szCs w:val="24"/>
              </w:rPr>
              <w:lastRenderedPageBreak/>
              <w:t>e)</w:t>
            </w:r>
            <w:r w:rsidRPr="00BB7D50">
              <w:rPr>
                <w:szCs w:val="24"/>
              </w:rPr>
              <w:tab/>
              <w:t>Des estimatifs du temps de travail du personnel clé nécessaire à l’exécution de la mission (Formulaire TECH-7 de la Section 4). Le temps de travail du personnel clé doit être ventilé par travail au siège et sur le terrain.</w:t>
            </w:r>
          </w:p>
          <w:p w:rsidR="004C6182" w:rsidRDefault="004C6182" w:rsidP="007C5949">
            <w:pPr>
              <w:spacing w:after="200"/>
              <w:ind w:left="1440" w:hanging="720"/>
              <w:jc w:val="both"/>
              <w:rPr>
                <w:szCs w:val="24"/>
              </w:rPr>
            </w:pPr>
            <w:r w:rsidRPr="00BB7D50">
              <w:rPr>
                <w:szCs w:val="24"/>
              </w:rPr>
              <w:t>f)</w:t>
            </w:r>
            <w:r w:rsidRPr="00BB7D50">
              <w:rPr>
                <w:szCs w:val="24"/>
              </w:rPr>
              <w:tab/>
              <w:t>Des curricul</w:t>
            </w:r>
            <w:r>
              <w:rPr>
                <w:szCs w:val="24"/>
              </w:rPr>
              <w:t>a</w:t>
            </w:r>
            <w:r w:rsidRPr="00BB7D50">
              <w:rPr>
                <w:szCs w:val="24"/>
              </w:rPr>
              <w:t xml:space="preserve"> vitae signés par le personnel clé proposé ou par le représentant habilité du personnel clé (Formulaire TECH-6 de la Section 4).</w:t>
            </w:r>
          </w:p>
          <w:p w:rsidR="004C6182" w:rsidRPr="00A40C89" w:rsidRDefault="004C6182" w:rsidP="007C5949">
            <w:pPr>
              <w:spacing w:after="200"/>
              <w:ind w:left="1440" w:hanging="720"/>
              <w:jc w:val="both"/>
            </w:pPr>
            <w:r>
              <w:t xml:space="preserve">g)     </w:t>
            </w:r>
            <w:r w:rsidRPr="00657C3E">
              <w:t xml:space="preserve">Des attestations justifiant que le Candidat (ou si le candidat est une association ou un groupement, tous les membres de l’association ou du groupement) </w:t>
            </w:r>
            <w:r w:rsidRPr="000939DF">
              <w:t xml:space="preserve">s’est (se sont) </w:t>
            </w:r>
            <w:r w:rsidRPr="00657C3E">
              <w:t>acquitté (s) de ses(leurs) droits, taxes, impôts, cotisations, contributions, redevances ou prélèvements de quelque nature que ce soit, y compris, le paiement sur des marchés antérieurs (à compter de septembre 2011), de la taxe parafiscale prévue par l’article 11 de la loi n° 2009-013 du 30 juin 2009 relative aux marchés publics et délégations de service public, ou à défaut, peut (peuvent) justifier par un document de l’Administration concernée du respect de ses (leurs) obligations en matière fiscale et sociale ; à l’exception de la taxe parafiscale, cette disposition ne s’applique qu’aux candidats ou membre d’association ou group</w:t>
            </w:r>
            <w:r w:rsidRPr="000939DF">
              <w:t xml:space="preserve">ement de ayant un établissement stable ou une base fixe </w:t>
            </w:r>
            <w:r w:rsidRPr="00A40C89">
              <w:t>dans un Etat membre de l’UEMOA.</w:t>
            </w:r>
          </w:p>
          <w:p w:rsidR="004C6182" w:rsidRPr="00027922" w:rsidRDefault="004C6182" w:rsidP="004C6182">
            <w:pPr>
              <w:pStyle w:val="Header3-Paragraph"/>
              <w:numPr>
                <w:ilvl w:val="1"/>
                <w:numId w:val="10"/>
              </w:numPr>
              <w:overflowPunct/>
              <w:autoSpaceDE/>
              <w:autoSpaceDN/>
              <w:adjustRightInd/>
              <w:spacing w:after="220"/>
              <w:textAlignment w:val="auto"/>
              <w:rPr>
                <w:lang w:val="fr-FR"/>
              </w:rPr>
            </w:pPr>
            <w:r w:rsidRPr="00A40C89">
              <w:rPr>
                <w:lang w:val="fr-FR"/>
              </w:rPr>
              <w:t xml:space="preserve">La Proposition technique ne doit comporter aucune information financière. </w:t>
            </w:r>
            <w:r w:rsidRPr="000939DF">
              <w:rPr>
                <w:lang w:val="fr-FR"/>
              </w:rPr>
              <w:t>Une Proposition technique indiquant des informations financières relatives à la proposition financière sera rejetée.</w:t>
            </w:r>
          </w:p>
        </w:tc>
      </w:tr>
      <w:tr w:rsidR="004C6182" w:rsidTr="007C5949">
        <w:tc>
          <w:tcPr>
            <w:tcW w:w="2160" w:type="dxa"/>
          </w:tcPr>
          <w:p w:rsidR="004C6182" w:rsidRDefault="004C6182" w:rsidP="004C6182">
            <w:pPr>
              <w:numPr>
                <w:ilvl w:val="0"/>
                <w:numId w:val="6"/>
              </w:numPr>
              <w:tabs>
                <w:tab w:val="left" w:pos="259"/>
              </w:tabs>
            </w:pPr>
            <w:r>
              <w:rPr>
                <w:b/>
              </w:rPr>
              <w:lastRenderedPageBreak/>
              <w:t xml:space="preserve"> Proposition financière</w:t>
            </w:r>
          </w:p>
        </w:tc>
        <w:tc>
          <w:tcPr>
            <w:tcW w:w="7110" w:type="dxa"/>
          </w:tcPr>
          <w:p w:rsidR="004C6182" w:rsidRPr="00BB7D50" w:rsidRDefault="004C6182" w:rsidP="004C6182">
            <w:pPr>
              <w:pStyle w:val="Header3-Paragraph"/>
              <w:numPr>
                <w:ilvl w:val="1"/>
                <w:numId w:val="11"/>
              </w:numPr>
              <w:overflowPunct/>
              <w:autoSpaceDE/>
              <w:autoSpaceDN/>
              <w:adjustRightInd/>
              <w:spacing w:after="220"/>
              <w:textAlignment w:val="auto"/>
              <w:rPr>
                <w:lang w:val="fr-FR"/>
              </w:rPr>
            </w:pPr>
            <w:r w:rsidRPr="00BB7D50">
              <w:rPr>
                <w:lang w:val="fr-FR"/>
              </w:rPr>
              <w:t xml:space="preserve">La Proposition financière doit être établie en utilisant les Formulaires </w:t>
            </w:r>
            <w:r>
              <w:rPr>
                <w:lang w:val="fr-FR"/>
              </w:rPr>
              <w:t>type</w:t>
            </w:r>
            <w:r w:rsidRPr="00BB7D50">
              <w:rPr>
                <w:lang w:val="fr-FR"/>
              </w:rPr>
              <w:t xml:space="preserve"> (Section 5). Elle énumère tous les coûts afférents à la mission, y compris (a) la rémunération du personnel (présent sur le terrain ou au siège), et (b) les frais remboursables énumérés dans les </w:t>
            </w:r>
            <w:r w:rsidRPr="00115CBD">
              <w:rPr>
                <w:b/>
                <w:lang w:val="fr-FR"/>
              </w:rPr>
              <w:t>Données particulières</w:t>
            </w:r>
            <w:r w:rsidRPr="00BB7D50">
              <w:rPr>
                <w:lang w:val="fr-FR"/>
              </w:rPr>
              <w:t>.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tc>
      </w:tr>
      <w:tr w:rsidR="004C6182" w:rsidTr="007C5949">
        <w:tc>
          <w:tcPr>
            <w:tcW w:w="2160" w:type="dxa"/>
          </w:tcPr>
          <w:p w:rsidR="004C6182" w:rsidRDefault="004C6182" w:rsidP="007C5949">
            <w:pPr>
              <w:tabs>
                <w:tab w:val="left" w:pos="259"/>
              </w:tabs>
            </w:pPr>
            <w:r>
              <w:rPr>
                <w:b/>
              </w:rPr>
              <w:t>Fiscalité</w:t>
            </w:r>
          </w:p>
        </w:tc>
        <w:tc>
          <w:tcPr>
            <w:tcW w:w="7110" w:type="dxa"/>
          </w:tcPr>
          <w:p w:rsidR="004C6182" w:rsidRPr="00BB7D50" w:rsidRDefault="004C6182" w:rsidP="007C5949">
            <w:pPr>
              <w:pStyle w:val="Header3-Paragraph"/>
              <w:overflowPunct/>
              <w:autoSpaceDE/>
              <w:autoSpaceDN/>
              <w:adjustRightInd/>
              <w:spacing w:after="220"/>
              <w:ind w:left="360" w:firstLine="0"/>
              <w:textAlignment w:val="auto"/>
              <w:rPr>
                <w:lang w:val="fr-FR"/>
              </w:rPr>
            </w:pPr>
            <w:r>
              <w:rPr>
                <w:lang w:val="fr-FR"/>
              </w:rPr>
              <w:t xml:space="preserve">12.2  </w:t>
            </w:r>
            <w:r w:rsidRPr="00BB7D50">
              <w:rPr>
                <w:lang w:val="fr-FR"/>
              </w:rPr>
              <w:t xml:space="preserve">Le Consultant est assujetti à la fiscalité </w:t>
            </w:r>
            <w:r w:rsidRPr="000939DF">
              <w:rPr>
                <w:lang w:val="fr-FR"/>
              </w:rPr>
              <w:t>applicable au Togo (notamment : TVA ou taxe sur les ventes</w:t>
            </w:r>
            <w:r w:rsidRPr="00BB7D50">
              <w:rPr>
                <w:lang w:val="fr-FR"/>
              </w:rPr>
              <w:t xml:space="preserve">, charges sociales ou impôt sur le revenu du personnel étranger non résident, droits, </w:t>
            </w:r>
            <w:r>
              <w:rPr>
                <w:lang w:val="fr-FR"/>
              </w:rPr>
              <w:t xml:space="preserve">taxe parafiscale de </w:t>
            </w:r>
            <w:r w:rsidRPr="008541DB">
              <w:rPr>
                <w:lang w:val="fr-FR"/>
              </w:rPr>
              <w:t xml:space="preserve">régulation prévue par l’article 11 de la loi n° 2009-013 du 30 juin 2009 relative aux marchés publics et délégations de service public, contributions). Les montants correspondants au </w:t>
            </w:r>
            <w:r w:rsidRPr="008541DB">
              <w:rPr>
                <w:lang w:val="fr-FR"/>
              </w:rPr>
              <w:lastRenderedPageBreak/>
              <w:t xml:space="preserve">paiement d’impôts doivent être </w:t>
            </w:r>
            <w:r w:rsidRPr="00BB7D50">
              <w:rPr>
                <w:lang w:val="fr-FR"/>
              </w:rPr>
              <w:t>inclus dans la Proposition financière.</w:t>
            </w:r>
          </w:p>
        </w:tc>
      </w:tr>
      <w:tr w:rsidR="004C6182" w:rsidTr="007C5949">
        <w:tc>
          <w:tcPr>
            <w:tcW w:w="2160" w:type="dxa"/>
          </w:tcPr>
          <w:p w:rsidR="004C6182" w:rsidRDefault="004C6182" w:rsidP="007C5949">
            <w:pPr>
              <w:tabs>
                <w:tab w:val="left" w:pos="259"/>
              </w:tabs>
            </w:pPr>
            <w:r w:rsidRPr="00CC00BC">
              <w:rPr>
                <w:b/>
              </w:rPr>
              <w:lastRenderedPageBreak/>
              <w:t>Monnaie de l’offre</w:t>
            </w:r>
          </w:p>
        </w:tc>
        <w:tc>
          <w:tcPr>
            <w:tcW w:w="7110" w:type="dxa"/>
          </w:tcPr>
          <w:p w:rsidR="004C6182" w:rsidRPr="00BB7D50" w:rsidRDefault="004C6182" w:rsidP="007C5949">
            <w:pPr>
              <w:pStyle w:val="Header3-Paragraph"/>
              <w:overflowPunct/>
              <w:autoSpaceDE/>
              <w:autoSpaceDN/>
              <w:adjustRightInd/>
              <w:spacing w:after="220"/>
              <w:ind w:left="0" w:firstLine="0"/>
              <w:textAlignment w:val="auto"/>
              <w:rPr>
                <w:lang w:val="fr-FR"/>
              </w:rPr>
            </w:pPr>
            <w:r>
              <w:rPr>
                <w:lang w:val="fr-FR"/>
              </w:rPr>
              <w:t xml:space="preserve">     12.3 </w:t>
            </w:r>
            <w:r w:rsidRPr="00BB7D50">
              <w:rPr>
                <w:lang w:val="fr-FR"/>
              </w:rPr>
              <w:t>Le Candidat doit libeller le prix de ses services en FCFA.</w:t>
            </w:r>
          </w:p>
        </w:tc>
      </w:tr>
      <w:tr w:rsidR="004C6182" w:rsidTr="007C5949">
        <w:tc>
          <w:tcPr>
            <w:tcW w:w="2160" w:type="dxa"/>
          </w:tcPr>
          <w:p w:rsidR="004C6182" w:rsidRDefault="004C6182" w:rsidP="004C6182">
            <w:pPr>
              <w:numPr>
                <w:ilvl w:val="0"/>
                <w:numId w:val="6"/>
              </w:numPr>
              <w:tabs>
                <w:tab w:val="left" w:pos="259"/>
              </w:tabs>
              <w:rPr>
                <w:b/>
              </w:rPr>
            </w:pPr>
            <w:r>
              <w:rPr>
                <w:rFonts w:ascii="Times New Roman Bold" w:hAnsi="Times New Roman Bold"/>
                <w:b/>
              </w:rPr>
              <w:t>Soumission, réception et ouverture des propositions</w:t>
            </w:r>
          </w:p>
          <w:p w:rsidR="004C6182" w:rsidRDefault="004C6182" w:rsidP="007C5949">
            <w:pPr>
              <w:tabs>
                <w:tab w:val="left" w:pos="259"/>
              </w:tabs>
              <w:ind w:left="259" w:hanging="259"/>
              <w:jc w:val="center"/>
            </w:pPr>
          </w:p>
        </w:tc>
        <w:tc>
          <w:tcPr>
            <w:tcW w:w="7110" w:type="dxa"/>
          </w:tcPr>
          <w:p w:rsidR="004C6182" w:rsidRPr="00BB7D50" w:rsidRDefault="004C6182" w:rsidP="004C6182">
            <w:pPr>
              <w:pStyle w:val="Header3-Paragraph"/>
              <w:numPr>
                <w:ilvl w:val="1"/>
                <w:numId w:val="6"/>
              </w:numPr>
              <w:overflowPunct/>
              <w:autoSpaceDE/>
              <w:autoSpaceDN/>
              <w:adjustRightInd/>
              <w:spacing w:after="220"/>
              <w:textAlignment w:val="auto"/>
              <w:rPr>
                <w:lang w:val="fr-FR"/>
              </w:rPr>
            </w:pPr>
            <w:r w:rsidRPr="00BB7D50">
              <w:rPr>
                <w:lang w:val="fr-FR"/>
              </w:rPr>
              <w:t xml:space="preserve">L’original de la proposition ne doit comporter aucun ajout entre les lignes ou surcharge, si ce n’est pour corriger les erreurs que le Candidat lui-même peut avoir commises, toute correction de ce type devant alors être paraphée par le (les) signataire(s) des propositions. Les lettres de soumission de la Proposition technique et de la Proposition financière doivent être respectivement conformes aux </w:t>
            </w:r>
            <w:r>
              <w:rPr>
                <w:lang w:val="fr-FR"/>
              </w:rPr>
              <w:t xml:space="preserve">dispositions des </w:t>
            </w:r>
            <w:r w:rsidRPr="00BB7D50">
              <w:rPr>
                <w:lang w:val="fr-FR"/>
              </w:rPr>
              <w:t xml:space="preserve">lettres </w:t>
            </w:r>
            <w:r>
              <w:rPr>
                <w:lang w:val="fr-FR"/>
              </w:rPr>
              <w:t>type</w:t>
            </w:r>
            <w:r w:rsidRPr="00BB7D50">
              <w:rPr>
                <w:lang w:val="fr-FR"/>
              </w:rPr>
              <w:t xml:space="preserve"> TECH-1 de la Section 4 et FIN-1 de la Section 5</w:t>
            </w:r>
            <w:r>
              <w:rPr>
                <w:lang w:val="fr-FR"/>
              </w:rPr>
              <w:t>.</w:t>
            </w:r>
          </w:p>
        </w:tc>
      </w:tr>
      <w:tr w:rsidR="004C6182" w:rsidRPr="004356CE" w:rsidTr="007C5949">
        <w:tc>
          <w:tcPr>
            <w:tcW w:w="2160" w:type="dxa"/>
          </w:tcPr>
          <w:p w:rsidR="004C6182" w:rsidRDefault="004C6182" w:rsidP="007C5949">
            <w:pPr>
              <w:tabs>
                <w:tab w:val="left" w:pos="259"/>
              </w:tabs>
              <w:ind w:left="259" w:hanging="259"/>
            </w:pPr>
          </w:p>
        </w:tc>
        <w:tc>
          <w:tcPr>
            <w:tcW w:w="7110" w:type="dxa"/>
          </w:tcPr>
          <w:p w:rsidR="004C6182" w:rsidRPr="00BB7D50" w:rsidRDefault="004C6182" w:rsidP="004C6182">
            <w:pPr>
              <w:pStyle w:val="Header3-Paragraph"/>
              <w:numPr>
                <w:ilvl w:val="1"/>
                <w:numId w:val="6"/>
              </w:numPr>
              <w:overflowPunct/>
              <w:autoSpaceDE/>
              <w:autoSpaceDN/>
              <w:adjustRightInd/>
              <w:spacing w:after="220"/>
              <w:textAlignment w:val="auto"/>
              <w:rPr>
                <w:lang w:val="fr-FR"/>
              </w:rPr>
            </w:pPr>
            <w:r w:rsidRPr="00BB7D50">
              <w:rPr>
                <w:lang w:val="fr-FR"/>
              </w:rPr>
              <w:t>Un représentant habilité du Candidat 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863540" w:rsidRDefault="004C6182" w:rsidP="004C6182">
            <w:pPr>
              <w:pStyle w:val="Header3-Paragraph"/>
              <w:numPr>
                <w:ilvl w:val="1"/>
                <w:numId w:val="6"/>
              </w:numPr>
              <w:overflowPunct/>
              <w:autoSpaceDE/>
              <w:autoSpaceDN/>
              <w:adjustRightInd/>
              <w:spacing w:after="220"/>
              <w:textAlignment w:val="auto"/>
              <w:rPr>
                <w:lang w:val="fr-FR"/>
              </w:rPr>
            </w:pPr>
            <w:r w:rsidRPr="00F12B7F">
              <w:rPr>
                <w:lang w:val="fr-FR"/>
              </w:rPr>
              <w:t>La Proposition technique doit porter la mention « ORIGINAL » ou « COPIE », selon le cas. La proposition technique est adressée conformément aux dispositions du paragraphe 13.5</w:t>
            </w:r>
            <w:r>
              <w:rPr>
                <w:lang w:val="fr-FR"/>
              </w:rPr>
              <w:t xml:space="preserve"> ci-dessous</w:t>
            </w:r>
            <w:r w:rsidRPr="00F12B7F">
              <w:rPr>
                <w:lang w:val="fr-FR"/>
              </w:rPr>
              <w:t xml:space="preserve"> ; elle comprend le nombre de copies indiqué dans les </w:t>
            </w:r>
            <w:r w:rsidRPr="003E6F08">
              <w:rPr>
                <w:b/>
                <w:lang w:val="fr-FR"/>
              </w:rPr>
              <w:t>Données particulières</w:t>
            </w:r>
            <w:r w:rsidRPr="00F12B7F">
              <w:rPr>
                <w:lang w:val="fr-FR"/>
              </w:rPr>
              <w:t xml:space="preserve">. </w:t>
            </w:r>
            <w:r w:rsidRPr="00863540">
              <w:rPr>
                <w:lang w:val="fr-FR"/>
              </w:rPr>
              <w:t>Toutes les copies nécessaires de la Proposition technique doivent être faites à partir de l’original. En cas de différence entre l'exemplaire original et les copies de la Proposition technique, l’original fait foi.</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863540" w:rsidRDefault="004C6182" w:rsidP="004C6182">
            <w:pPr>
              <w:pStyle w:val="Header3-Paragraph"/>
              <w:numPr>
                <w:ilvl w:val="1"/>
                <w:numId w:val="6"/>
              </w:numPr>
              <w:overflowPunct/>
              <w:autoSpaceDE/>
              <w:autoSpaceDN/>
              <w:adjustRightInd/>
              <w:spacing w:after="220"/>
              <w:textAlignment w:val="auto"/>
              <w:rPr>
                <w:lang w:val="fr-FR"/>
              </w:rPr>
            </w:pPr>
            <w:r w:rsidRPr="00863540">
              <w:rPr>
                <w:lang w:val="fr-FR"/>
              </w:rPr>
              <w:t xml:space="preserve">Les </w:t>
            </w:r>
            <w:r>
              <w:rPr>
                <w:lang w:val="fr-FR"/>
              </w:rPr>
              <w:t>Candidat</w:t>
            </w:r>
            <w:r w:rsidRPr="00863540">
              <w:rPr>
                <w:lang w:val="fr-FR"/>
              </w:rPr>
              <w:t>s doivent placer l’original et toutes les copies de la Proposition technique dans une enveloppe portant clairement la mention « </w:t>
            </w:r>
            <w:r w:rsidRPr="00863540">
              <w:rPr>
                <w:rFonts w:ascii="Times New Roman Bold" w:hAnsi="Times New Roman Bold"/>
                <w:b/>
                <w:smallCaps/>
                <w:lang w:val="fr-FR"/>
              </w:rPr>
              <w:t>Proposition technique</w:t>
            </w:r>
            <w:r w:rsidRPr="00863540">
              <w:rPr>
                <w:lang w:val="fr-FR"/>
              </w:rPr>
              <w:t xml:space="preserve"> », qu’ils cachettent. </w:t>
            </w:r>
            <w:r w:rsidRPr="00F12B7F">
              <w:rPr>
                <w:lang w:val="fr-FR"/>
              </w:rPr>
              <w:t>De même, l’original et les copie</w:t>
            </w:r>
            <w:r>
              <w:rPr>
                <w:lang w:val="fr-FR"/>
              </w:rPr>
              <w:t xml:space="preserve">s de la Proposition financière </w:t>
            </w:r>
            <w:r w:rsidRPr="00F12B7F">
              <w:rPr>
                <w:lang w:val="fr-FR"/>
              </w:rPr>
              <w:t>sont placés dans une enveloppe cachetée portant clairement la mention « </w:t>
            </w:r>
            <w:r w:rsidRPr="00F12B7F">
              <w:rPr>
                <w:rFonts w:ascii="Times New Roman Bold" w:hAnsi="Times New Roman Bold"/>
                <w:b/>
                <w:smallCaps/>
                <w:lang w:val="fr-FR"/>
              </w:rPr>
              <w:t>Proposition financière</w:t>
            </w:r>
            <w:r w:rsidRPr="00F12B7F">
              <w:rPr>
                <w:lang w:val="fr-FR"/>
              </w:rPr>
              <w:t> » suivie du nom de la mission, et de l’avertissement « </w:t>
            </w:r>
            <w:r w:rsidRPr="00F12B7F">
              <w:rPr>
                <w:rFonts w:ascii="Times New Roman Bold" w:hAnsi="Times New Roman Bold"/>
                <w:b/>
                <w:smallCaps/>
                <w:lang w:val="fr-FR"/>
              </w:rPr>
              <w:t>Ne pas ouvrir en même temps que la proposition technique</w:t>
            </w:r>
            <w:r w:rsidRPr="00F12B7F">
              <w:rPr>
                <w:lang w:val="fr-FR"/>
              </w:rPr>
              <w:t xml:space="preserve"> ». </w:t>
            </w:r>
            <w:r w:rsidRPr="00863540">
              <w:rPr>
                <w:lang w:val="fr-FR"/>
              </w:rPr>
              <w:t xml:space="preserve">Les </w:t>
            </w:r>
            <w:r>
              <w:rPr>
                <w:lang w:val="fr-FR"/>
              </w:rPr>
              <w:t>Candidat</w:t>
            </w:r>
            <w:r w:rsidRPr="00863540">
              <w:rPr>
                <w:lang w:val="fr-FR"/>
              </w:rPr>
              <w:t xml:space="preserve">s placent ensuite ces deux enveloppes dans une même enveloppe extérieure </w:t>
            </w:r>
            <w:r>
              <w:rPr>
                <w:lang w:val="fr-FR"/>
              </w:rPr>
              <w:t xml:space="preserve">scellée </w:t>
            </w:r>
            <w:r w:rsidRPr="00863540">
              <w:rPr>
                <w:lang w:val="fr-FR"/>
              </w:rPr>
              <w:t>portant l’adresse de soumission, le numéro de référence, ainsi que la mention «</w:t>
            </w:r>
            <w:r w:rsidRPr="00863540">
              <w:rPr>
                <w:caps/>
                <w:lang w:val="fr-FR"/>
              </w:rPr>
              <w:t> </w:t>
            </w:r>
            <w:r w:rsidRPr="00863540">
              <w:rPr>
                <w:rFonts w:ascii="Times New Roman Bold" w:hAnsi="Times New Roman Bold"/>
                <w:b/>
                <w:smallCaps/>
                <w:lang w:val="fr-FR"/>
              </w:rPr>
              <w:t xml:space="preserve">À ouvrir uniquement </w:t>
            </w:r>
            <w:r>
              <w:rPr>
                <w:rFonts w:ascii="Times New Roman Bold" w:hAnsi="Times New Roman Bold"/>
                <w:b/>
                <w:smallCaps/>
                <w:lang w:val="fr-FR"/>
              </w:rPr>
              <w:t>par la commission de passation des marchés publics de l’autorité contractante</w:t>
            </w:r>
            <w:r w:rsidRPr="00863540">
              <w:rPr>
                <w:rFonts w:ascii="Times New Roman Bold" w:hAnsi="Times New Roman Bold"/>
                <w:i/>
                <w:smallCaps/>
                <w:lang w:val="fr-FR"/>
              </w:rPr>
              <w:t xml:space="preserve">». </w:t>
            </w:r>
            <w:r>
              <w:rPr>
                <w:lang w:val="fr-FR"/>
              </w:rPr>
              <w:t>L’Autorité contractante</w:t>
            </w:r>
            <w:r w:rsidRPr="00863540">
              <w:rPr>
                <w:lang w:val="fr-FR"/>
              </w:rPr>
              <w:t xml:space="preserv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w:t>
            </w:r>
            <w:r w:rsidRPr="001E2F8C">
              <w:rPr>
                <w:lang w:val="fr-FR"/>
              </w:rPr>
              <w:t xml:space="preserve">doit être rejetée sauf décision contraire de la Commission compte tenu </w:t>
            </w:r>
            <w:r w:rsidRPr="001E2F8C">
              <w:rPr>
                <w:lang w:val="fr-FR"/>
              </w:rPr>
              <w:lastRenderedPageBreak/>
              <w:t>de circonstances bien précises.</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8D38AC" w:rsidRDefault="004C6182" w:rsidP="004C6182">
            <w:pPr>
              <w:pStyle w:val="Header3-Paragraph"/>
              <w:numPr>
                <w:ilvl w:val="1"/>
                <w:numId w:val="6"/>
              </w:numPr>
              <w:overflowPunct/>
              <w:autoSpaceDE/>
              <w:autoSpaceDN/>
              <w:adjustRightInd/>
              <w:spacing w:after="220"/>
              <w:textAlignment w:val="auto"/>
              <w:rPr>
                <w:lang w:val="fr-FR"/>
              </w:rPr>
            </w:pPr>
            <w:r w:rsidRPr="008D38AC">
              <w:rPr>
                <w:lang w:val="fr-FR"/>
              </w:rPr>
              <w:t xml:space="preserve">Les Propositions doivent être envoyées à l’adresse indiquée dans les </w:t>
            </w:r>
            <w:r w:rsidRPr="008D38AC">
              <w:rPr>
                <w:b/>
                <w:lang w:val="fr-FR"/>
              </w:rPr>
              <w:t>Données particulières</w:t>
            </w:r>
            <w:r w:rsidRPr="008D38AC">
              <w:rPr>
                <w:lang w:val="fr-FR"/>
              </w:rPr>
              <w:t xml:space="preserve"> et doivent être reçues par l’Autorité contractante au plus tard à la date et à l’heure indiquées dans les </w:t>
            </w:r>
            <w:r w:rsidRPr="008D38AC">
              <w:rPr>
                <w:b/>
                <w:lang w:val="fr-FR"/>
              </w:rPr>
              <w:t>Données particulières</w:t>
            </w:r>
            <w:r w:rsidRPr="008D38AC">
              <w:rPr>
                <w:lang w:val="fr-FR"/>
              </w:rPr>
              <w:t xml:space="preserve"> ou modifiées par prorogation conformément au paragraphe 8.2 ci-dessus. Toute proposition reçue par l’Autorité contractante après le délai de soumission sera retournée sans avoir été ouverte.</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8D38AC" w:rsidRDefault="004C6182" w:rsidP="004C6182">
            <w:pPr>
              <w:pStyle w:val="Header3-Paragraph"/>
              <w:numPr>
                <w:ilvl w:val="1"/>
                <w:numId w:val="6"/>
              </w:numPr>
              <w:overflowPunct/>
              <w:autoSpaceDE/>
              <w:autoSpaceDN/>
              <w:adjustRightInd/>
              <w:spacing w:after="220"/>
              <w:textAlignment w:val="auto"/>
              <w:rPr>
                <w:lang w:val="fr-FR"/>
              </w:rPr>
            </w:pPr>
            <w:r w:rsidRPr="008D38AC">
              <w:rPr>
                <w:lang w:val="fr-FR"/>
              </w:rPr>
              <w:t xml:space="preserve">A la date, à l’heure et à l’adresse indiquées dans les </w:t>
            </w:r>
            <w:r w:rsidRPr="001A08E4">
              <w:rPr>
                <w:b/>
                <w:lang w:val="fr-FR"/>
              </w:rPr>
              <w:t>Données Particulières</w:t>
            </w:r>
            <w:r w:rsidRPr="008D38AC">
              <w:rPr>
                <w:lang w:val="fr-FR"/>
              </w:rPr>
              <w:t>, les propositions techniques seront ouvertes par la Commission d</w:t>
            </w:r>
            <w:r>
              <w:rPr>
                <w:lang w:val="fr-FR"/>
              </w:rPr>
              <w:t xml:space="preserve">e Passation des Marchés publics </w:t>
            </w:r>
            <w:r w:rsidRPr="008D38AC">
              <w:rPr>
                <w:lang w:val="fr-FR"/>
              </w:rPr>
              <w:t>de l’Autorité contractante.</w:t>
            </w:r>
            <w:r>
              <w:rPr>
                <w:lang w:val="fr-FR"/>
              </w:rPr>
              <w:t xml:space="preserve"> </w:t>
            </w:r>
            <w:r w:rsidRPr="008D38AC">
              <w:rPr>
                <w:lang w:val="fr-FR"/>
              </w:rPr>
              <w:t>La Proposition financière restée cachetée sera déposée en lieu sûr.</w:t>
            </w:r>
            <w:r>
              <w:rPr>
                <w:lang w:val="fr-FR"/>
              </w:rPr>
              <w:t xml:space="preserve"> </w:t>
            </w:r>
            <w:r w:rsidRPr="008D38AC">
              <w:rPr>
                <w:lang w:val="fr-FR"/>
              </w:rPr>
              <w:t>Le procès-verbal d’ouverture des offres techniques est publié et remis sans délai à tous les soumissionnaires qui en font la demande.</w:t>
            </w:r>
          </w:p>
        </w:tc>
      </w:tr>
      <w:tr w:rsidR="004C6182" w:rsidTr="007C5949">
        <w:tc>
          <w:tcPr>
            <w:tcW w:w="2160" w:type="dxa"/>
          </w:tcPr>
          <w:p w:rsidR="004C6182" w:rsidRDefault="004C6182" w:rsidP="004C6182">
            <w:pPr>
              <w:numPr>
                <w:ilvl w:val="0"/>
                <w:numId w:val="6"/>
              </w:numPr>
              <w:tabs>
                <w:tab w:val="left" w:pos="259"/>
              </w:tabs>
              <w:rPr>
                <w:rFonts w:ascii="Times New Roman Bold" w:hAnsi="Times New Roman Bold"/>
                <w:b/>
              </w:rPr>
            </w:pPr>
            <w:r>
              <w:rPr>
                <w:rFonts w:ascii="Times New Roman Bold" w:hAnsi="Times New Roman Bold"/>
                <w:b/>
              </w:rPr>
              <w:t xml:space="preserve"> Évaluation des propositions</w:t>
            </w:r>
          </w:p>
          <w:p w:rsidR="004C6182" w:rsidRDefault="004C6182" w:rsidP="007C5949">
            <w:pPr>
              <w:tabs>
                <w:tab w:val="left" w:pos="259"/>
              </w:tabs>
              <w:ind w:left="259" w:hanging="259"/>
              <w:jc w:val="center"/>
            </w:pPr>
          </w:p>
        </w:tc>
        <w:tc>
          <w:tcPr>
            <w:tcW w:w="7110" w:type="dxa"/>
          </w:tcPr>
          <w:p w:rsidR="004C6182" w:rsidRDefault="004C6182" w:rsidP="007C5949">
            <w:pPr>
              <w:spacing w:after="200"/>
              <w:ind w:left="720"/>
              <w:jc w:val="both"/>
            </w:pPr>
            <w:r>
              <w:t>Pendant la période allant de l’ouverture des propositions à l’attribution du marché, les Candidats 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tc>
      </w:tr>
      <w:tr w:rsidR="004C6182" w:rsidTr="007C5949">
        <w:tc>
          <w:tcPr>
            <w:tcW w:w="2160" w:type="dxa"/>
          </w:tcPr>
          <w:p w:rsidR="004C6182" w:rsidRDefault="004C6182" w:rsidP="004C6182">
            <w:pPr>
              <w:numPr>
                <w:ilvl w:val="0"/>
                <w:numId w:val="6"/>
              </w:numPr>
              <w:tabs>
                <w:tab w:val="left" w:pos="259"/>
              </w:tabs>
            </w:pPr>
            <w:r>
              <w:rPr>
                <w:b/>
              </w:rPr>
              <w:t>Évaluation des Propositions techniques</w:t>
            </w:r>
          </w:p>
        </w:tc>
        <w:tc>
          <w:tcPr>
            <w:tcW w:w="7110" w:type="dxa"/>
          </w:tcPr>
          <w:p w:rsidR="004C6182" w:rsidRDefault="004C6182" w:rsidP="007C5949">
            <w:pPr>
              <w:pStyle w:val="BodyTextIndent2"/>
              <w:spacing w:after="200"/>
              <w:ind w:firstLine="0"/>
              <w:jc w:val="both"/>
            </w:pPr>
            <w:r w:rsidRPr="008D38AC">
              <w:t>La sous-commission d’évaluation des offres évaluera les Propositions te</w:t>
            </w:r>
            <w:r w:rsidRPr="00A40C89">
              <w:t xml:space="preserve">chniques sur la base de leur conformité aux Termes de référence, à l’aide des critères et sous-critères </w:t>
            </w:r>
            <w:r>
              <w:t xml:space="preserve">d’évaluation pondérés, comme indiqué dans les </w:t>
            </w:r>
            <w:r w:rsidRPr="003E6F08">
              <w:rPr>
                <w:b/>
              </w:rPr>
              <w:t>Données particulières</w:t>
            </w:r>
            <w:r>
              <w:t xml:space="preserve">. Chaque proposition conforme se verra attribuer une note technique (St). Une proposition sera rejetée à ce stade si elle ne satisfait pas à des aspects importants de la DP, et particulièrement aux Termes de référence, ou n’atteint pas la note technique minimum spécifiée dans les </w:t>
            </w:r>
            <w:r w:rsidRPr="003E6F08">
              <w:rPr>
                <w:b/>
              </w:rPr>
              <w:t>Données particulières</w:t>
            </w:r>
            <w:r>
              <w:t>.</w:t>
            </w:r>
          </w:p>
        </w:tc>
      </w:tr>
      <w:tr w:rsidR="004C6182" w:rsidTr="007C5949">
        <w:tc>
          <w:tcPr>
            <w:tcW w:w="2160" w:type="dxa"/>
          </w:tcPr>
          <w:p w:rsidR="004C6182" w:rsidRDefault="004C6182" w:rsidP="004C6182">
            <w:pPr>
              <w:numPr>
                <w:ilvl w:val="0"/>
                <w:numId w:val="6"/>
              </w:numPr>
              <w:tabs>
                <w:tab w:val="left" w:pos="259"/>
              </w:tabs>
              <w:rPr>
                <w:b/>
              </w:rPr>
            </w:pPr>
            <w:r>
              <w:rPr>
                <w:b/>
              </w:rPr>
              <w:t>Propositions</w:t>
            </w:r>
          </w:p>
          <w:p w:rsidR="004C6182" w:rsidRDefault="004C6182" w:rsidP="007C5949">
            <w:pPr>
              <w:tabs>
                <w:tab w:val="left" w:pos="259"/>
              </w:tabs>
              <w:ind w:left="259" w:hanging="259"/>
              <w:rPr>
                <w:b/>
              </w:rPr>
            </w:pPr>
            <w:r>
              <w:rPr>
                <w:b/>
              </w:rPr>
              <w:t>financières des</w:t>
            </w:r>
          </w:p>
          <w:p w:rsidR="004C6182" w:rsidRDefault="004C6182" w:rsidP="007C5949">
            <w:pPr>
              <w:tabs>
                <w:tab w:val="left" w:pos="259"/>
              </w:tabs>
              <w:ind w:left="259" w:hanging="259"/>
              <w:rPr>
                <w:b/>
              </w:rPr>
            </w:pPr>
            <w:r>
              <w:rPr>
                <w:b/>
              </w:rPr>
              <w:t>propositions</w:t>
            </w:r>
          </w:p>
          <w:p w:rsidR="004C6182" w:rsidRDefault="004C6182" w:rsidP="007C5949">
            <w:pPr>
              <w:tabs>
                <w:tab w:val="left" w:pos="259"/>
              </w:tabs>
              <w:ind w:left="259" w:hanging="259"/>
              <w:rPr>
                <w:b/>
              </w:rPr>
            </w:pPr>
            <w:r>
              <w:rPr>
                <w:b/>
              </w:rPr>
              <w:t>fondées sur la</w:t>
            </w:r>
          </w:p>
          <w:p w:rsidR="004C6182" w:rsidRDefault="004C6182" w:rsidP="007C5949">
            <w:pPr>
              <w:tabs>
                <w:tab w:val="left" w:pos="259"/>
              </w:tabs>
              <w:ind w:left="259" w:hanging="259"/>
              <w:rPr>
                <w:b/>
              </w:rPr>
            </w:pPr>
            <w:r>
              <w:rPr>
                <w:b/>
              </w:rPr>
              <w:t>qualité</w:t>
            </w:r>
          </w:p>
          <w:p w:rsidR="004C6182" w:rsidRDefault="004C6182" w:rsidP="007C5949">
            <w:pPr>
              <w:tabs>
                <w:tab w:val="left" w:pos="259"/>
              </w:tabs>
              <w:spacing w:after="200"/>
              <w:ind w:left="259" w:hanging="259"/>
              <w:rPr>
                <w:b/>
              </w:rPr>
            </w:pPr>
            <w:r>
              <w:rPr>
                <w:b/>
              </w:rPr>
              <w:t>uniquement</w:t>
            </w:r>
          </w:p>
        </w:tc>
        <w:tc>
          <w:tcPr>
            <w:tcW w:w="7110" w:type="dxa"/>
          </w:tcPr>
          <w:p w:rsidR="004C6182" w:rsidRPr="00086236" w:rsidRDefault="004C6182" w:rsidP="007C5949">
            <w:pPr>
              <w:spacing w:after="200"/>
              <w:ind w:left="720"/>
              <w:jc w:val="both"/>
            </w:pPr>
            <w:r w:rsidRPr="00086236">
              <w:t xml:space="preserve">En cas de Sélection fondée sur la qualité technique de la proposition </w:t>
            </w:r>
            <w:r w:rsidRPr="008D38AC">
              <w:t xml:space="preserve">uniquement (Sélection qualité), et </w:t>
            </w:r>
            <w:r w:rsidRPr="00086236">
              <w:t>après classement des Propositions, le Candidat ayant obtenu la note la plus élevée sera invité à négocier un Marché conformément aux instructions figurant au paragraphe 19.1 des présentes Instructions.</w:t>
            </w:r>
          </w:p>
        </w:tc>
      </w:tr>
      <w:tr w:rsidR="004C6182" w:rsidTr="007C5949">
        <w:tc>
          <w:tcPr>
            <w:tcW w:w="2160" w:type="dxa"/>
          </w:tcPr>
          <w:p w:rsidR="004C6182" w:rsidRPr="008F25A7" w:rsidRDefault="004C6182" w:rsidP="004C6182">
            <w:pPr>
              <w:numPr>
                <w:ilvl w:val="0"/>
                <w:numId w:val="6"/>
              </w:numPr>
              <w:tabs>
                <w:tab w:val="left" w:pos="259"/>
              </w:tabs>
              <w:rPr>
                <w:i/>
              </w:rPr>
            </w:pPr>
            <w:r>
              <w:rPr>
                <w:b/>
              </w:rPr>
              <w:t xml:space="preserve">Ouverture en séance publique et évaluation des Propositions financières ; </w:t>
            </w:r>
          </w:p>
          <w:p w:rsidR="004C6182" w:rsidRPr="008D38AC" w:rsidRDefault="004C6182" w:rsidP="007C5949">
            <w:pPr>
              <w:tabs>
                <w:tab w:val="left" w:pos="259"/>
              </w:tabs>
              <w:rPr>
                <w:i/>
              </w:rPr>
            </w:pPr>
          </w:p>
          <w:p w:rsidR="004C6182" w:rsidRDefault="004C6182" w:rsidP="007C5949">
            <w:pPr>
              <w:tabs>
                <w:tab w:val="left" w:pos="259"/>
              </w:tabs>
              <w:ind w:left="259" w:hanging="259"/>
            </w:pPr>
          </w:p>
        </w:tc>
        <w:tc>
          <w:tcPr>
            <w:tcW w:w="7110" w:type="dxa"/>
          </w:tcPr>
          <w:p w:rsidR="004C6182" w:rsidRPr="002379DD" w:rsidRDefault="004C6182" w:rsidP="004C6182">
            <w:pPr>
              <w:pStyle w:val="Header3-Paragraph"/>
              <w:numPr>
                <w:ilvl w:val="1"/>
                <w:numId w:val="6"/>
              </w:numPr>
              <w:overflowPunct/>
              <w:autoSpaceDE/>
              <w:autoSpaceDN/>
              <w:adjustRightInd/>
              <w:spacing w:after="220"/>
              <w:textAlignment w:val="auto"/>
              <w:rPr>
                <w:lang w:val="fr-FR"/>
              </w:rPr>
            </w:pPr>
            <w:r w:rsidRPr="002379DD">
              <w:rPr>
                <w:lang w:val="fr-FR"/>
              </w:rPr>
              <w:lastRenderedPageBreak/>
              <w:t xml:space="preserve">A l’issue de l’évaluation de la qualité technique, </w:t>
            </w:r>
            <w:r>
              <w:rPr>
                <w:lang w:val="fr-FR"/>
              </w:rPr>
              <w:t>l’Autorité contractante tiendra informés</w:t>
            </w:r>
            <w:r w:rsidRPr="002379DD">
              <w:rPr>
                <w:lang w:val="fr-FR"/>
              </w:rPr>
              <w:t xml:space="preserve"> les </w:t>
            </w:r>
            <w:r>
              <w:rPr>
                <w:lang w:val="fr-FR"/>
              </w:rPr>
              <w:t>Candidat</w:t>
            </w:r>
            <w:r w:rsidRPr="002379DD">
              <w:rPr>
                <w:lang w:val="fr-FR"/>
              </w:rPr>
              <w:t xml:space="preserve">s des </w:t>
            </w:r>
            <w:r>
              <w:rPr>
                <w:lang w:val="fr-FR"/>
              </w:rPr>
              <w:t>note</w:t>
            </w:r>
            <w:r w:rsidRPr="002379DD">
              <w:rPr>
                <w:lang w:val="fr-FR"/>
              </w:rPr>
              <w:t>s techniques obtenu</w:t>
            </w:r>
            <w:r>
              <w:rPr>
                <w:lang w:val="fr-FR"/>
              </w:rPr>
              <w:t>e</w:t>
            </w:r>
            <w:r w:rsidRPr="002379DD">
              <w:rPr>
                <w:lang w:val="fr-FR"/>
              </w:rPr>
              <w:t>s par leurs Propositions</w:t>
            </w:r>
            <w:r>
              <w:rPr>
                <w:lang w:val="fr-FR"/>
              </w:rPr>
              <w:t xml:space="preserve"> techniques</w:t>
            </w:r>
            <w:r w:rsidRPr="002379DD">
              <w:rPr>
                <w:lang w:val="fr-FR"/>
              </w:rPr>
              <w:t xml:space="preserve">. Dans le même temps, </w:t>
            </w:r>
            <w:r>
              <w:rPr>
                <w:lang w:val="fr-FR"/>
              </w:rPr>
              <w:t>l’Autorité contractante</w:t>
            </w:r>
            <w:r w:rsidRPr="002379DD">
              <w:rPr>
                <w:lang w:val="fr-FR"/>
              </w:rPr>
              <w:t xml:space="preserve"> (a) notifie</w:t>
            </w:r>
            <w:r>
              <w:rPr>
                <w:lang w:val="fr-FR"/>
              </w:rPr>
              <w:t>ra aux Candidat</w:t>
            </w:r>
            <w:r w:rsidRPr="002379DD">
              <w:rPr>
                <w:lang w:val="fr-FR"/>
              </w:rPr>
              <w:t xml:space="preserve">s dont les propositions n’ont pas obtenu la note de qualification minimum, </w:t>
            </w:r>
            <w:r w:rsidRPr="002379DD">
              <w:rPr>
                <w:lang w:val="fr-FR"/>
              </w:rPr>
              <w:lastRenderedPageBreak/>
              <w:t xml:space="preserve">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w:t>
            </w:r>
            <w:r>
              <w:rPr>
                <w:lang w:val="fr-FR"/>
              </w:rPr>
              <w:t>Candidat</w:t>
            </w:r>
            <w:r w:rsidRPr="002379DD">
              <w:rPr>
                <w:lang w:val="fr-FR"/>
              </w:rPr>
              <w:t>s dont les propositions techniques ont obtenu une note supérieure à la note de qualification minimum</w:t>
            </w:r>
            <w:r>
              <w:rPr>
                <w:lang w:val="fr-FR"/>
              </w:rPr>
              <w:t xml:space="preserve">. </w:t>
            </w:r>
            <w:r w:rsidRPr="002379DD">
              <w:rPr>
                <w:lang w:val="fr-FR"/>
              </w:rPr>
              <w:t xml:space="preserve">La date d’ouverture des propositions financières doit être déterminée de manière à donner aux </w:t>
            </w:r>
            <w:r>
              <w:rPr>
                <w:lang w:val="fr-FR"/>
              </w:rPr>
              <w:t>Candidat</w:t>
            </w:r>
            <w:r w:rsidRPr="002379DD">
              <w:rPr>
                <w:lang w:val="fr-FR"/>
              </w:rPr>
              <w:t xml:space="preserve">s le temps suffisant  pour assister à l’ouverture s’ils choisissent d’y assister. </w:t>
            </w:r>
          </w:p>
          <w:p w:rsidR="004C6182" w:rsidRPr="002379DD" w:rsidRDefault="004C6182" w:rsidP="004C6182">
            <w:pPr>
              <w:pStyle w:val="Header3-Paragraph"/>
              <w:numPr>
                <w:ilvl w:val="1"/>
                <w:numId w:val="6"/>
              </w:numPr>
              <w:overflowPunct/>
              <w:autoSpaceDE/>
              <w:autoSpaceDN/>
              <w:adjustRightInd/>
              <w:spacing w:after="220"/>
              <w:textAlignment w:val="auto"/>
              <w:rPr>
                <w:lang w:val="fr-FR"/>
              </w:rPr>
            </w:pPr>
            <w:r w:rsidRPr="002379DD">
              <w:rPr>
                <w:lang w:val="fr-FR"/>
              </w:rPr>
              <w:t>Les Propositions financières s</w:t>
            </w:r>
            <w:r>
              <w:rPr>
                <w:lang w:val="fr-FR"/>
              </w:rPr>
              <w:t>er</w:t>
            </w:r>
            <w:r w:rsidRPr="002379DD">
              <w:rPr>
                <w:lang w:val="fr-FR"/>
              </w:rPr>
              <w:t xml:space="preserve">ont ouvertes en séance publique par la </w:t>
            </w:r>
            <w:r w:rsidRPr="00F12B7F">
              <w:rPr>
                <w:lang w:val="fr-FR"/>
              </w:rPr>
              <w:t xml:space="preserve">Commission </w:t>
            </w:r>
            <w:r>
              <w:rPr>
                <w:lang w:val="fr-FR"/>
              </w:rPr>
              <w:t xml:space="preserve">de Passation des Marchés </w:t>
            </w:r>
            <w:r w:rsidRPr="002379DD">
              <w:rPr>
                <w:lang w:val="fr-FR"/>
              </w:rPr>
              <w:t xml:space="preserve">de l’Autorité contractante, en présence des représentants des </w:t>
            </w:r>
            <w:r>
              <w:rPr>
                <w:lang w:val="fr-FR"/>
              </w:rPr>
              <w:t>Candidat</w:t>
            </w:r>
            <w:r w:rsidRPr="002379DD">
              <w:rPr>
                <w:lang w:val="fr-FR"/>
              </w:rPr>
              <w:t xml:space="preserve">s qui désirent y assister. </w:t>
            </w:r>
            <w:r w:rsidRPr="00863540">
              <w:rPr>
                <w:lang w:val="fr-FR"/>
              </w:rPr>
              <w:t xml:space="preserve">Les noms des </w:t>
            </w:r>
            <w:r>
              <w:rPr>
                <w:lang w:val="fr-FR"/>
              </w:rPr>
              <w:t>Candidat</w:t>
            </w:r>
            <w:r w:rsidRPr="00863540">
              <w:rPr>
                <w:lang w:val="fr-FR"/>
              </w:rPr>
              <w:t xml:space="preserve">s et les </w:t>
            </w:r>
            <w:r>
              <w:rPr>
                <w:lang w:val="fr-FR"/>
              </w:rPr>
              <w:t>note</w:t>
            </w:r>
            <w:r w:rsidRPr="00863540">
              <w:rPr>
                <w:lang w:val="fr-FR"/>
              </w:rPr>
              <w:t xml:space="preserve">s techniques sont lus à haute voix. Les Propositions financières des </w:t>
            </w:r>
            <w:r>
              <w:rPr>
                <w:lang w:val="fr-FR"/>
              </w:rPr>
              <w:t>Candidat</w:t>
            </w:r>
            <w:r w:rsidRPr="00863540">
              <w:rPr>
                <w:lang w:val="fr-FR"/>
              </w:rPr>
              <w:t xml:space="preserve">s ayant atteint ou dépassé la note </w:t>
            </w:r>
            <w:r>
              <w:rPr>
                <w:lang w:val="fr-FR"/>
              </w:rPr>
              <w:t xml:space="preserve">minimale </w:t>
            </w:r>
            <w:r w:rsidRPr="00863540">
              <w:rPr>
                <w:lang w:val="fr-FR"/>
              </w:rPr>
              <w:t>de qualification s</w:t>
            </w:r>
            <w:r>
              <w:rPr>
                <w:lang w:val="fr-FR"/>
              </w:rPr>
              <w:t>er</w:t>
            </w:r>
            <w:r w:rsidRPr="00863540">
              <w:rPr>
                <w:lang w:val="fr-FR"/>
              </w:rPr>
              <w:t xml:space="preserve">ont examinées pour vérifier qu’elles n’ont pas été décachetées ni ouvertes. Ces </w:t>
            </w:r>
            <w:r>
              <w:rPr>
                <w:lang w:val="fr-FR"/>
              </w:rPr>
              <w:t>enveloppes contenant les p</w:t>
            </w:r>
            <w:r w:rsidRPr="00863540">
              <w:rPr>
                <w:lang w:val="fr-FR"/>
              </w:rPr>
              <w:t xml:space="preserve">ropositions </w:t>
            </w:r>
            <w:r>
              <w:rPr>
                <w:lang w:val="fr-FR"/>
              </w:rPr>
              <w:t xml:space="preserve">financières </w:t>
            </w:r>
            <w:r w:rsidRPr="00863540">
              <w:rPr>
                <w:lang w:val="fr-FR"/>
              </w:rPr>
              <w:t>s</w:t>
            </w:r>
            <w:r>
              <w:rPr>
                <w:lang w:val="fr-FR"/>
              </w:rPr>
              <w:t>er</w:t>
            </w:r>
            <w:r w:rsidRPr="00863540">
              <w:rPr>
                <w:lang w:val="fr-FR"/>
              </w:rPr>
              <w:t>ont ouvertes ensuite et les prix s</w:t>
            </w:r>
            <w:r>
              <w:rPr>
                <w:lang w:val="fr-FR"/>
              </w:rPr>
              <w:t>er</w:t>
            </w:r>
            <w:r w:rsidRPr="00863540">
              <w:rPr>
                <w:lang w:val="fr-FR"/>
              </w:rPr>
              <w:t xml:space="preserve">ont lus à haute voix et consignés par écrit. </w:t>
            </w:r>
            <w:r w:rsidRPr="008D38AC">
              <w:rPr>
                <w:lang w:val="fr-FR"/>
              </w:rPr>
              <w:t xml:space="preserve">Le procès-verbal d’ouverture des offres </w:t>
            </w:r>
            <w:r>
              <w:rPr>
                <w:lang w:val="fr-FR"/>
              </w:rPr>
              <w:t>financières</w:t>
            </w:r>
            <w:r w:rsidRPr="008D38AC">
              <w:rPr>
                <w:lang w:val="fr-FR"/>
              </w:rPr>
              <w:t xml:space="preserve"> est publié et remis sans délai à tous les soumissionnaires qui en font la demande</w:t>
            </w:r>
            <w:r w:rsidRPr="002379DD">
              <w:rPr>
                <w:lang w:val="fr-FR"/>
              </w:rPr>
              <w:t>.</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863540" w:rsidRDefault="004C6182" w:rsidP="004C6182">
            <w:pPr>
              <w:pStyle w:val="Header3-Paragraph"/>
              <w:numPr>
                <w:ilvl w:val="1"/>
                <w:numId w:val="6"/>
              </w:numPr>
              <w:overflowPunct/>
              <w:autoSpaceDE/>
              <w:autoSpaceDN/>
              <w:adjustRightInd/>
              <w:spacing w:after="220"/>
              <w:textAlignment w:val="auto"/>
              <w:rPr>
                <w:lang w:val="fr-FR"/>
              </w:rPr>
            </w:pPr>
            <w:r w:rsidRPr="00863540">
              <w:rPr>
                <w:lang w:val="fr-FR"/>
              </w:rPr>
              <w:t xml:space="preserve">La </w:t>
            </w:r>
            <w:r>
              <w:rPr>
                <w:lang w:val="fr-FR"/>
              </w:rPr>
              <w:t>Sous-</w:t>
            </w:r>
            <w:r w:rsidRPr="00232693">
              <w:rPr>
                <w:lang w:val="fr-FR"/>
              </w:rPr>
              <w:t>commission</w:t>
            </w:r>
            <w:r>
              <w:rPr>
                <w:lang w:val="fr-FR"/>
              </w:rPr>
              <w:t xml:space="preserve"> d’évaluation </w:t>
            </w:r>
            <w:r w:rsidRPr="00232693">
              <w:rPr>
                <w:lang w:val="fr-FR"/>
              </w:rPr>
              <w:t xml:space="preserve">des </w:t>
            </w:r>
            <w:r>
              <w:rPr>
                <w:lang w:val="fr-FR"/>
              </w:rPr>
              <w:t xml:space="preserve">offres </w:t>
            </w:r>
            <w:r w:rsidRPr="00863540">
              <w:rPr>
                <w:lang w:val="fr-FR"/>
              </w:rPr>
              <w:t>corrige</w:t>
            </w:r>
            <w:r>
              <w:rPr>
                <w:lang w:val="fr-FR"/>
              </w:rPr>
              <w:t>ra</w:t>
            </w:r>
            <w:r w:rsidRPr="00863540">
              <w:rPr>
                <w:lang w:val="fr-FR"/>
              </w:rPr>
              <w:t xml:space="preserve"> toute erreur de calcul et, en cas de différence entre le montant partiel et le montant total, ou entre </w:t>
            </w:r>
            <w:r>
              <w:rPr>
                <w:lang w:val="fr-FR"/>
              </w:rPr>
              <w:t>lettre</w:t>
            </w:r>
            <w:r w:rsidRPr="00863540">
              <w:rPr>
                <w:lang w:val="fr-FR"/>
              </w:rPr>
              <w:t xml:space="preserve">s et chiffres, les premiers prévalent. </w:t>
            </w:r>
            <w:r w:rsidRPr="002379DD">
              <w:rPr>
                <w:lang w:val="fr-FR"/>
              </w:rPr>
              <w:t>Outre les corrections ci-dessus, et comme indiqué au paragraphe 12.</w:t>
            </w:r>
            <w:r>
              <w:rPr>
                <w:lang w:val="fr-FR"/>
              </w:rPr>
              <w:t>1</w:t>
            </w:r>
            <w:r w:rsidRPr="002379DD">
              <w:rPr>
                <w:lang w:val="fr-FR"/>
              </w:rPr>
              <w:t xml:space="preserve">, les activités et intrants décrits dans la Proposition technique sans qu’un prix leur ait été attribué, sont supposés être inclus dans le prix des autres activités et intrants. </w:t>
            </w:r>
            <w:r w:rsidRPr="00863540">
              <w:rPr>
                <w:lang w:val="fr-FR"/>
              </w:rPr>
              <w:t xml:space="preserve">Au cas où une activité ou un poste comptable est différent dans la Proposition technique et dans la Proposition financière, i) en cas de </w:t>
            </w:r>
            <w:r>
              <w:rPr>
                <w:lang w:val="fr-FR"/>
              </w:rPr>
              <w:t xml:space="preserve">Marché rémunéré </w:t>
            </w:r>
            <w:r w:rsidRPr="00863540">
              <w:rPr>
                <w:lang w:val="fr-FR"/>
              </w:rPr>
              <w:t xml:space="preserve">au temps passé, </w:t>
            </w:r>
            <w:r>
              <w:rPr>
                <w:lang w:val="fr-FR"/>
              </w:rPr>
              <w:t>la Sous-</w:t>
            </w:r>
            <w:r w:rsidRPr="00232693">
              <w:rPr>
                <w:lang w:val="fr-FR"/>
              </w:rPr>
              <w:t xml:space="preserve">commission </w:t>
            </w:r>
            <w:r>
              <w:rPr>
                <w:lang w:val="fr-FR"/>
              </w:rPr>
              <w:t>d’évaluation</w:t>
            </w:r>
            <w:r w:rsidRPr="00232693">
              <w:rPr>
                <w:lang w:val="fr-FR"/>
              </w:rPr>
              <w:t xml:space="preserve"> des </w:t>
            </w:r>
            <w:r>
              <w:rPr>
                <w:lang w:val="fr-FR"/>
              </w:rPr>
              <w:t>offres</w:t>
            </w:r>
            <w:r w:rsidRPr="00863540">
              <w:rPr>
                <w:lang w:val="fr-FR"/>
              </w:rPr>
              <w:t xml:space="preserve"> corrige</w:t>
            </w:r>
            <w:r>
              <w:rPr>
                <w:lang w:val="fr-FR"/>
              </w:rPr>
              <w:t>ra</w:t>
            </w:r>
            <w:r w:rsidRPr="00863540">
              <w:rPr>
                <w:lang w:val="fr-FR"/>
              </w:rPr>
              <w:t xml:space="preserve"> le(s) montant(s) figurant dans la Proposition financière de façon à rendre cette dernière cohérente avec la proposition technique, applique</w:t>
            </w:r>
            <w:r>
              <w:rPr>
                <w:lang w:val="fr-FR"/>
              </w:rPr>
              <w:t>ra</w:t>
            </w:r>
            <w:r w:rsidRPr="00863540">
              <w:rPr>
                <w:lang w:val="fr-FR"/>
              </w:rPr>
              <w:t xml:space="preserve"> les prix unitaires de la proposition financière à la quantité corrigée et corrige</w:t>
            </w:r>
            <w:r>
              <w:rPr>
                <w:lang w:val="fr-FR"/>
              </w:rPr>
              <w:t>ra</w:t>
            </w:r>
            <w:r w:rsidRPr="00863540">
              <w:rPr>
                <w:lang w:val="fr-FR"/>
              </w:rPr>
              <w:t xml:space="preserve"> le prix total, ou ii) en cas de </w:t>
            </w:r>
            <w:r>
              <w:rPr>
                <w:lang w:val="fr-FR"/>
              </w:rPr>
              <w:t>Marché</w:t>
            </w:r>
            <w:r w:rsidRPr="00863540">
              <w:rPr>
                <w:lang w:val="fr-FR"/>
              </w:rPr>
              <w:t xml:space="preserve"> à rémunération forfaitaire, aucune correction ne sera apportée à la proposition financière.  </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Default="004C6182" w:rsidP="004C6182">
            <w:pPr>
              <w:pStyle w:val="Header3-Paragraph"/>
              <w:numPr>
                <w:ilvl w:val="1"/>
                <w:numId w:val="6"/>
              </w:numPr>
              <w:overflowPunct/>
              <w:autoSpaceDE/>
              <w:autoSpaceDN/>
              <w:adjustRightInd/>
              <w:spacing w:after="220"/>
              <w:textAlignment w:val="auto"/>
              <w:rPr>
                <w:lang w:val="fr-FR"/>
              </w:rPr>
            </w:pPr>
            <w:r w:rsidRPr="002379DD">
              <w:rPr>
                <w:lang w:val="fr-FR"/>
              </w:rPr>
              <w:t xml:space="preserve">En cas de Sélection </w:t>
            </w:r>
            <w:r>
              <w:rPr>
                <w:lang w:val="fr-FR"/>
              </w:rPr>
              <w:t xml:space="preserve">fondée sur la </w:t>
            </w:r>
            <w:r w:rsidRPr="002379DD">
              <w:rPr>
                <w:lang w:val="fr-FR"/>
              </w:rPr>
              <w:t>qualité</w:t>
            </w:r>
            <w:r>
              <w:rPr>
                <w:lang w:val="fr-FR"/>
              </w:rPr>
              <w:t xml:space="preserve"> et le </w:t>
            </w:r>
            <w:r w:rsidRPr="002379DD">
              <w:rPr>
                <w:lang w:val="fr-FR"/>
              </w:rPr>
              <w:t>coût, la Proposition financi</w:t>
            </w:r>
            <w:r>
              <w:rPr>
                <w:lang w:val="fr-FR"/>
              </w:rPr>
              <w:t xml:space="preserve">ère la moins </w:t>
            </w:r>
            <w:proofErr w:type="spellStart"/>
            <w:r>
              <w:rPr>
                <w:lang w:val="fr-FR"/>
              </w:rPr>
              <w:t>disante</w:t>
            </w:r>
            <w:proofErr w:type="spellEnd"/>
            <w:r>
              <w:rPr>
                <w:lang w:val="fr-FR"/>
              </w:rPr>
              <w:t xml:space="preserve"> (Fm) recevra une note financière</w:t>
            </w:r>
            <w:r w:rsidRPr="002379DD">
              <w:rPr>
                <w:lang w:val="fr-FR"/>
              </w:rPr>
              <w:t xml:space="preserve"> maximum (</w:t>
            </w:r>
            <w:proofErr w:type="spellStart"/>
            <w:r w:rsidRPr="002379DD">
              <w:rPr>
                <w:lang w:val="fr-FR"/>
              </w:rPr>
              <w:t>Sf</w:t>
            </w:r>
            <w:proofErr w:type="spellEnd"/>
            <w:r w:rsidRPr="002379DD">
              <w:rPr>
                <w:lang w:val="fr-FR"/>
              </w:rPr>
              <w:t xml:space="preserve">) de 100 points. </w:t>
            </w:r>
            <w:r w:rsidRPr="00863540">
              <w:rPr>
                <w:lang w:val="fr-FR"/>
              </w:rPr>
              <w:t xml:space="preserve">Les </w:t>
            </w:r>
            <w:r>
              <w:rPr>
                <w:lang w:val="fr-FR"/>
              </w:rPr>
              <w:t>notes financière</w:t>
            </w:r>
            <w:r w:rsidRPr="00863540">
              <w:rPr>
                <w:lang w:val="fr-FR"/>
              </w:rPr>
              <w:t>s (</w:t>
            </w:r>
            <w:proofErr w:type="spellStart"/>
            <w:r w:rsidRPr="00863540">
              <w:rPr>
                <w:i/>
                <w:lang w:val="fr-FR"/>
              </w:rPr>
              <w:t>Sf</w:t>
            </w:r>
            <w:proofErr w:type="spellEnd"/>
            <w:r w:rsidRPr="00863540">
              <w:rPr>
                <w:lang w:val="fr-FR"/>
              </w:rPr>
              <w:t>) des autres Propositions financières s</w:t>
            </w:r>
            <w:r>
              <w:rPr>
                <w:lang w:val="fr-FR"/>
              </w:rPr>
              <w:t>er</w:t>
            </w:r>
            <w:r w:rsidRPr="00863540">
              <w:rPr>
                <w:lang w:val="fr-FR"/>
              </w:rPr>
              <w:t>ont calculé</w:t>
            </w:r>
            <w:r>
              <w:rPr>
                <w:lang w:val="fr-FR"/>
              </w:rPr>
              <w:t>e</w:t>
            </w:r>
            <w:r w:rsidRPr="00863540">
              <w:rPr>
                <w:lang w:val="fr-FR"/>
              </w:rPr>
              <w:t xml:space="preserve">s comme indiqué dans les </w:t>
            </w:r>
            <w:r w:rsidRPr="002F3860">
              <w:rPr>
                <w:b/>
                <w:lang w:val="fr-FR"/>
              </w:rPr>
              <w:t>Données particulières</w:t>
            </w:r>
            <w:r w:rsidRPr="00863540">
              <w:rPr>
                <w:lang w:val="fr-FR"/>
              </w:rPr>
              <w:t>. Les Propositions s</w:t>
            </w:r>
            <w:r>
              <w:rPr>
                <w:lang w:val="fr-FR"/>
              </w:rPr>
              <w:t>er</w:t>
            </w:r>
            <w:r w:rsidRPr="00863540">
              <w:rPr>
                <w:lang w:val="fr-FR"/>
              </w:rPr>
              <w:t xml:space="preserve">ont classées en fonction de leurs </w:t>
            </w:r>
            <w:r>
              <w:rPr>
                <w:lang w:val="fr-FR"/>
              </w:rPr>
              <w:t>note</w:t>
            </w:r>
            <w:r w:rsidRPr="00863540">
              <w:rPr>
                <w:lang w:val="fr-FR"/>
              </w:rPr>
              <w:t>s technique (</w:t>
            </w:r>
            <w:r w:rsidRPr="00863540">
              <w:rPr>
                <w:i/>
                <w:lang w:val="fr-FR"/>
              </w:rPr>
              <w:t>St</w:t>
            </w:r>
            <w:r w:rsidRPr="00863540">
              <w:rPr>
                <w:lang w:val="fr-FR"/>
              </w:rPr>
              <w:t>) et financi</w:t>
            </w:r>
            <w:r>
              <w:rPr>
                <w:lang w:val="fr-FR"/>
              </w:rPr>
              <w:t>ère</w:t>
            </w:r>
            <w:r w:rsidRPr="00863540">
              <w:rPr>
                <w:lang w:val="fr-FR"/>
              </w:rPr>
              <w:t xml:space="preserve"> (</w:t>
            </w:r>
            <w:proofErr w:type="spellStart"/>
            <w:r w:rsidRPr="00863540">
              <w:rPr>
                <w:i/>
                <w:lang w:val="fr-FR"/>
              </w:rPr>
              <w:t>Sf</w:t>
            </w:r>
            <w:proofErr w:type="spellEnd"/>
            <w:r w:rsidRPr="00863540">
              <w:rPr>
                <w:lang w:val="fr-FR"/>
              </w:rPr>
              <w:t>) pondérés (</w:t>
            </w:r>
            <w:r w:rsidRPr="00863540">
              <w:rPr>
                <w:i/>
                <w:lang w:val="fr-FR"/>
              </w:rPr>
              <w:t>T</w:t>
            </w:r>
            <w:r w:rsidRPr="00863540">
              <w:rPr>
                <w:lang w:val="fr-FR"/>
              </w:rPr>
              <w:t xml:space="preserve"> étant le poids attribué à la Proposition technique et </w:t>
            </w:r>
            <w:r w:rsidRPr="00863540">
              <w:rPr>
                <w:i/>
                <w:lang w:val="fr-FR"/>
              </w:rPr>
              <w:t>P</w:t>
            </w:r>
            <w:r w:rsidRPr="00863540">
              <w:rPr>
                <w:lang w:val="fr-FR"/>
              </w:rPr>
              <w:t xml:space="preserve"> le poids accordé à la Proposition financière ; </w:t>
            </w:r>
            <w:r w:rsidRPr="00863540">
              <w:rPr>
                <w:i/>
                <w:lang w:val="fr-FR"/>
              </w:rPr>
              <w:t>T</w:t>
            </w:r>
            <w:r w:rsidRPr="00863540">
              <w:rPr>
                <w:lang w:val="fr-FR"/>
              </w:rPr>
              <w:t xml:space="preserve"> + </w:t>
            </w:r>
            <w:r w:rsidRPr="00863540">
              <w:rPr>
                <w:i/>
                <w:lang w:val="fr-FR"/>
              </w:rPr>
              <w:t>P</w:t>
            </w:r>
            <w:r>
              <w:rPr>
                <w:lang w:val="fr-FR"/>
              </w:rPr>
              <w:t xml:space="preserve"> étant égal à </w:t>
            </w:r>
            <w:r w:rsidRPr="00F44158">
              <w:rPr>
                <w:b/>
                <w:sz w:val="28"/>
                <w:szCs w:val="28"/>
                <w:lang w:val="fr-FR"/>
              </w:rPr>
              <w:t>1</w:t>
            </w:r>
            <w:r w:rsidRPr="00863540">
              <w:rPr>
                <w:lang w:val="fr-FR"/>
              </w:rPr>
              <w:t xml:space="preserve">, comme indiqué dans les </w:t>
            </w:r>
            <w:r w:rsidRPr="002F3860">
              <w:rPr>
                <w:b/>
                <w:lang w:val="fr-FR"/>
              </w:rPr>
              <w:t>Données particulières</w:t>
            </w:r>
            <w:r w:rsidRPr="00863540">
              <w:rPr>
                <w:lang w:val="fr-FR"/>
              </w:rPr>
              <w:t xml:space="preserve"> : </w:t>
            </w:r>
          </w:p>
          <w:p w:rsidR="004C6182" w:rsidRPr="00F954B3" w:rsidRDefault="004C6182" w:rsidP="007C5949">
            <w:pPr>
              <w:pStyle w:val="Header3-Paragraph"/>
              <w:overflowPunct/>
              <w:autoSpaceDE/>
              <w:autoSpaceDN/>
              <w:adjustRightInd/>
              <w:spacing w:after="220"/>
              <w:ind w:left="720" w:firstLine="0"/>
              <w:textAlignment w:val="auto"/>
              <w:rPr>
                <w:sz w:val="28"/>
                <w:szCs w:val="28"/>
                <w:lang w:val="fr-FR"/>
              </w:rPr>
            </w:pPr>
            <w:r w:rsidRPr="00F954B3">
              <w:rPr>
                <w:b/>
                <w:sz w:val="28"/>
                <w:szCs w:val="28"/>
                <w:lang w:val="fr-FR"/>
              </w:rPr>
              <w:lastRenderedPageBreak/>
              <w:t>S= (St x T%) + (</w:t>
            </w:r>
            <w:proofErr w:type="spellStart"/>
            <w:r w:rsidRPr="00F954B3">
              <w:rPr>
                <w:b/>
                <w:sz w:val="28"/>
                <w:szCs w:val="28"/>
                <w:lang w:val="fr-FR"/>
              </w:rPr>
              <w:t>Sf</w:t>
            </w:r>
            <w:proofErr w:type="spellEnd"/>
            <w:r w:rsidRPr="00F954B3">
              <w:rPr>
                <w:b/>
                <w:sz w:val="28"/>
                <w:szCs w:val="28"/>
                <w:lang w:val="fr-FR"/>
              </w:rPr>
              <w:t xml:space="preserve"> x P%)</w:t>
            </w:r>
          </w:p>
          <w:p w:rsidR="004C6182" w:rsidRPr="00863540" w:rsidRDefault="004C6182" w:rsidP="007C5949">
            <w:pPr>
              <w:pStyle w:val="Header3-Paragraph"/>
              <w:overflowPunct/>
              <w:autoSpaceDE/>
              <w:autoSpaceDN/>
              <w:adjustRightInd/>
              <w:spacing w:after="220"/>
              <w:ind w:left="720" w:firstLine="0"/>
              <w:textAlignment w:val="auto"/>
              <w:rPr>
                <w:lang w:val="fr-FR"/>
              </w:rPr>
            </w:pPr>
            <w:r w:rsidRPr="00863540">
              <w:rPr>
                <w:lang w:val="fr-FR"/>
              </w:rPr>
              <w:t xml:space="preserve">Le </w:t>
            </w:r>
            <w:r>
              <w:rPr>
                <w:lang w:val="fr-FR"/>
              </w:rPr>
              <w:t>Candidat</w:t>
            </w:r>
            <w:r w:rsidRPr="00863540">
              <w:rPr>
                <w:lang w:val="fr-FR"/>
              </w:rPr>
              <w:t xml:space="preserve"> ayant obtenu </w:t>
            </w:r>
            <w:r>
              <w:rPr>
                <w:lang w:val="fr-FR"/>
              </w:rPr>
              <w:t>la note</w:t>
            </w:r>
            <w:r w:rsidRPr="00863540">
              <w:rPr>
                <w:lang w:val="fr-FR"/>
              </w:rPr>
              <w:t xml:space="preserve"> technique et financi</w:t>
            </w:r>
            <w:r>
              <w:rPr>
                <w:lang w:val="fr-FR"/>
              </w:rPr>
              <w:t>ère</w:t>
            </w:r>
            <w:r w:rsidRPr="00863540">
              <w:rPr>
                <w:lang w:val="fr-FR"/>
              </w:rPr>
              <w:t xml:space="preserve"> combiné</w:t>
            </w:r>
            <w:r>
              <w:rPr>
                <w:lang w:val="fr-FR"/>
              </w:rPr>
              <w:t>e</w:t>
            </w:r>
            <w:r w:rsidRPr="00863540">
              <w:rPr>
                <w:lang w:val="fr-FR"/>
              </w:rPr>
              <w:t xml:space="preserve"> l</w:t>
            </w:r>
            <w:r>
              <w:rPr>
                <w:lang w:val="fr-FR"/>
              </w:rPr>
              <w:t>a</w:t>
            </w:r>
            <w:r w:rsidRPr="00863540">
              <w:rPr>
                <w:lang w:val="fr-FR"/>
              </w:rPr>
              <w:t xml:space="preserve"> plus élevé</w:t>
            </w:r>
            <w:r>
              <w:rPr>
                <w:lang w:val="fr-FR"/>
              </w:rPr>
              <w:t xml:space="preserve">e sera </w:t>
            </w:r>
            <w:r w:rsidRPr="00863540">
              <w:rPr>
                <w:lang w:val="fr-FR"/>
              </w:rPr>
              <w:t>invité à des négociations.</w:t>
            </w:r>
          </w:p>
        </w:tc>
      </w:tr>
      <w:tr w:rsidR="004C6182" w:rsidTr="007C5949">
        <w:tc>
          <w:tcPr>
            <w:tcW w:w="2160" w:type="dxa"/>
          </w:tcPr>
          <w:p w:rsidR="004C6182" w:rsidRDefault="004C6182" w:rsidP="007C5949">
            <w:pPr>
              <w:tabs>
                <w:tab w:val="left" w:pos="259"/>
              </w:tabs>
              <w:ind w:left="259" w:hanging="259"/>
            </w:pPr>
          </w:p>
        </w:tc>
        <w:tc>
          <w:tcPr>
            <w:tcW w:w="7110" w:type="dxa"/>
          </w:tcPr>
          <w:p w:rsidR="004C6182" w:rsidRPr="002379DD" w:rsidRDefault="004C6182" w:rsidP="004C6182">
            <w:pPr>
              <w:pStyle w:val="Header3-Paragraph"/>
              <w:numPr>
                <w:ilvl w:val="1"/>
                <w:numId w:val="6"/>
              </w:numPr>
              <w:overflowPunct/>
              <w:autoSpaceDE/>
              <w:autoSpaceDN/>
              <w:adjustRightInd/>
              <w:spacing w:after="220"/>
              <w:textAlignment w:val="auto"/>
              <w:rPr>
                <w:lang w:val="fr-FR"/>
              </w:rPr>
            </w:pPr>
            <w:r w:rsidRPr="002379DD">
              <w:rPr>
                <w:lang w:val="fr-FR"/>
              </w:rPr>
              <w:t xml:space="preserve">En cas de Sélection dans le cadre d’un budget </w:t>
            </w:r>
            <w:r>
              <w:rPr>
                <w:lang w:val="fr-FR"/>
              </w:rPr>
              <w:t>prédéterminé</w:t>
            </w:r>
            <w:r w:rsidRPr="002379DD">
              <w:rPr>
                <w:lang w:val="fr-FR"/>
              </w:rPr>
              <w:t xml:space="preserve">, </w:t>
            </w:r>
            <w:r>
              <w:rPr>
                <w:lang w:val="fr-FR"/>
              </w:rPr>
              <w:t>l’Autorité contractante retiendra</w:t>
            </w:r>
            <w:r w:rsidRPr="002379DD">
              <w:rPr>
                <w:lang w:val="fr-FR"/>
              </w:rPr>
              <w:t xml:space="preserve"> le </w:t>
            </w:r>
            <w:r>
              <w:rPr>
                <w:lang w:val="fr-FR"/>
              </w:rPr>
              <w:t>Candidat</w:t>
            </w:r>
            <w:r w:rsidRPr="002379DD">
              <w:rPr>
                <w:lang w:val="fr-FR"/>
              </w:rPr>
              <w:t xml:space="preserve"> ayant remis la Proposition technique la mieux classée dans les limites du budget. </w:t>
            </w:r>
            <w:r w:rsidRPr="00863540">
              <w:rPr>
                <w:lang w:val="fr-FR"/>
              </w:rPr>
              <w:t>Les Propositions dépassant ce budget s</w:t>
            </w:r>
            <w:r>
              <w:rPr>
                <w:lang w:val="fr-FR"/>
              </w:rPr>
              <w:t>er</w:t>
            </w:r>
            <w:r w:rsidRPr="00863540">
              <w:rPr>
                <w:lang w:val="fr-FR"/>
              </w:rPr>
              <w:t xml:space="preserve">ont rejetées. En cas de Sélection </w:t>
            </w:r>
            <w:r w:rsidRPr="008D38AC">
              <w:rPr>
                <w:lang w:val="fr-FR"/>
              </w:rPr>
              <w:t>au prix le plus bas, l’Autorité contractante retiendra</w:t>
            </w:r>
            <w:r w:rsidRPr="00A40C89">
              <w:rPr>
                <w:lang w:val="fr-FR"/>
              </w:rPr>
              <w:t xml:space="preserve"> la proposition la moins </w:t>
            </w:r>
            <w:proofErr w:type="spellStart"/>
            <w:r w:rsidRPr="00A40C89">
              <w:rPr>
                <w:lang w:val="fr-FR"/>
              </w:rPr>
              <w:t>disante</w:t>
            </w:r>
            <w:proofErr w:type="spellEnd"/>
            <w:r w:rsidRPr="00A40C89">
              <w:rPr>
                <w:lang w:val="fr-FR"/>
              </w:rPr>
              <w:t xml:space="preserve"> </w:t>
            </w:r>
            <w:r w:rsidRPr="00863540">
              <w:rPr>
                <w:lang w:val="fr-FR"/>
              </w:rPr>
              <w:t xml:space="preserve">parmi celles qui </w:t>
            </w:r>
            <w:r>
              <w:rPr>
                <w:lang w:val="fr-FR"/>
              </w:rPr>
              <w:t>aur</w:t>
            </w:r>
            <w:r w:rsidRPr="00863540">
              <w:rPr>
                <w:lang w:val="fr-FR"/>
              </w:rPr>
              <w:t xml:space="preserve">ont obtenu </w:t>
            </w:r>
            <w:r>
              <w:rPr>
                <w:lang w:val="fr-FR"/>
              </w:rPr>
              <w:t>la note</w:t>
            </w:r>
            <w:r w:rsidRPr="00863540">
              <w:rPr>
                <w:lang w:val="fr-FR"/>
              </w:rPr>
              <w:t xml:space="preserve"> technique minimum requis. </w:t>
            </w:r>
            <w:r w:rsidRPr="002379DD">
              <w:rPr>
                <w:lang w:val="fr-FR"/>
              </w:rPr>
              <w:t>Dans les deux cas, le prix de la proposition évaluée conformément au paragraphe 17.</w:t>
            </w:r>
            <w:r>
              <w:rPr>
                <w:lang w:val="fr-FR"/>
              </w:rPr>
              <w:t>3sera</w:t>
            </w:r>
            <w:r w:rsidRPr="002379DD">
              <w:rPr>
                <w:lang w:val="fr-FR"/>
              </w:rPr>
              <w:t xml:space="preserve"> pris en compte et le candidat sélectionné </w:t>
            </w:r>
            <w:r>
              <w:rPr>
                <w:lang w:val="fr-FR"/>
              </w:rPr>
              <w:t>sera</w:t>
            </w:r>
            <w:r w:rsidRPr="002379DD">
              <w:rPr>
                <w:lang w:val="fr-FR"/>
              </w:rPr>
              <w:t xml:space="preserve"> invité à des négociations.</w:t>
            </w:r>
          </w:p>
        </w:tc>
      </w:tr>
      <w:tr w:rsidR="004C6182" w:rsidTr="007C5949">
        <w:tc>
          <w:tcPr>
            <w:tcW w:w="2160" w:type="dxa"/>
          </w:tcPr>
          <w:p w:rsidR="004C6182" w:rsidRPr="001352D5" w:rsidRDefault="004C6182" w:rsidP="004C6182">
            <w:pPr>
              <w:numPr>
                <w:ilvl w:val="0"/>
                <w:numId w:val="6"/>
              </w:numPr>
              <w:tabs>
                <w:tab w:val="left" w:pos="259"/>
              </w:tabs>
              <w:jc w:val="center"/>
              <w:rPr>
                <w:b/>
              </w:rPr>
            </w:pPr>
            <w:r w:rsidRPr="001352D5">
              <w:rPr>
                <w:rFonts w:ascii="Times New Roman Bold" w:hAnsi="Times New Roman Bold"/>
                <w:b/>
              </w:rPr>
              <w:t>Confidentialité</w:t>
            </w:r>
          </w:p>
        </w:tc>
        <w:tc>
          <w:tcPr>
            <w:tcW w:w="7110" w:type="dxa"/>
          </w:tcPr>
          <w:p w:rsidR="004C6182" w:rsidRPr="002379DD" w:rsidRDefault="004C6182" w:rsidP="007C5949">
            <w:pPr>
              <w:pStyle w:val="Header3-Paragraph"/>
              <w:overflowPunct/>
              <w:autoSpaceDE/>
              <w:autoSpaceDN/>
              <w:adjustRightInd/>
              <w:spacing w:after="220"/>
              <w:ind w:firstLine="0"/>
              <w:textAlignment w:val="auto"/>
              <w:rPr>
                <w:lang w:val="fr-FR"/>
              </w:rPr>
            </w:pPr>
            <w:r w:rsidRPr="00D97CF2">
              <w:rPr>
                <w:lang w:val="fr-FR"/>
              </w:rPr>
              <w:t>Aucun renseignement concernant l’évaluation des Propositions et les recommandations d’attribution ne doit être communiqué aux Candidats ayant soumis une proposition ou à toute autre personne n’ayant pas qualité pour participer à la procédure de sélection, tant que l’attribution du marché n’a pas été publiée. Toute utilisation indue de la part d’un quelconque Candidat d’informations confidentielles liées au processus de sélection peut entraîner le rejet de sa Proposition, et peut le rendre passible de l’application des sanctions au paragraphe 3.2</w:t>
            </w:r>
            <w:r>
              <w:rPr>
                <w:lang w:val="fr-FR"/>
              </w:rPr>
              <w:t>ci-dessus</w:t>
            </w:r>
            <w:r w:rsidRPr="00D97CF2">
              <w:rPr>
                <w:lang w:val="fr-FR"/>
              </w:rPr>
              <w:t>.</w:t>
            </w:r>
          </w:p>
        </w:tc>
      </w:tr>
      <w:tr w:rsidR="004C6182" w:rsidTr="007C5949">
        <w:tc>
          <w:tcPr>
            <w:tcW w:w="2160" w:type="dxa"/>
          </w:tcPr>
          <w:p w:rsidR="004C6182" w:rsidRPr="001352D5" w:rsidRDefault="004C6182" w:rsidP="004C6182">
            <w:pPr>
              <w:numPr>
                <w:ilvl w:val="0"/>
                <w:numId w:val="6"/>
              </w:numPr>
              <w:tabs>
                <w:tab w:val="left" w:pos="259"/>
              </w:tabs>
              <w:jc w:val="center"/>
              <w:rPr>
                <w:b/>
              </w:rPr>
            </w:pPr>
            <w:r w:rsidRPr="001352D5">
              <w:rPr>
                <w:rFonts w:ascii="Times New Roman Bold" w:hAnsi="Times New Roman Bold"/>
                <w:b/>
              </w:rPr>
              <w:t>Négociations</w:t>
            </w:r>
          </w:p>
        </w:tc>
        <w:tc>
          <w:tcPr>
            <w:tcW w:w="7110" w:type="dxa"/>
          </w:tcPr>
          <w:p w:rsidR="004C6182" w:rsidRPr="00863540" w:rsidRDefault="004C6182" w:rsidP="007C5949">
            <w:pPr>
              <w:pStyle w:val="Header3-Paragraph"/>
              <w:overflowPunct/>
              <w:autoSpaceDE/>
              <w:autoSpaceDN/>
              <w:adjustRightInd/>
              <w:spacing w:after="220"/>
              <w:textAlignment w:val="auto"/>
              <w:rPr>
                <w:lang w:val="fr-FR"/>
              </w:rPr>
            </w:pPr>
            <w:r>
              <w:rPr>
                <w:lang w:val="fr-FR"/>
              </w:rPr>
              <w:t xml:space="preserve">19.1 </w:t>
            </w:r>
            <w:r w:rsidRPr="002379DD">
              <w:rPr>
                <w:lang w:val="fr-FR"/>
              </w:rPr>
              <w:t xml:space="preserve">Les négociations </w:t>
            </w:r>
            <w:r>
              <w:rPr>
                <w:lang w:val="fr-FR"/>
              </w:rPr>
              <w:t>aur</w:t>
            </w:r>
            <w:r w:rsidRPr="002379DD">
              <w:rPr>
                <w:lang w:val="fr-FR"/>
              </w:rPr>
              <w:t xml:space="preserve">ont lieu à l’adresse indiquée dans les </w:t>
            </w:r>
            <w:r w:rsidRPr="002F3860">
              <w:rPr>
                <w:b/>
                <w:lang w:val="fr-FR"/>
              </w:rPr>
              <w:t>Données particulières</w:t>
            </w:r>
            <w:r w:rsidRPr="002379DD">
              <w:rPr>
                <w:lang w:val="fr-FR"/>
              </w:rPr>
              <w:t xml:space="preserve">. </w:t>
            </w:r>
            <w:r w:rsidRPr="00863540">
              <w:rPr>
                <w:lang w:val="fr-FR"/>
              </w:rPr>
              <w:t xml:space="preserve">Le </w:t>
            </w:r>
            <w:r>
              <w:rPr>
                <w:lang w:val="fr-FR"/>
              </w:rPr>
              <w:t>Candidat</w:t>
            </w:r>
            <w:r w:rsidRPr="00863540">
              <w:rPr>
                <w:lang w:val="fr-FR"/>
              </w:rPr>
              <w:t xml:space="preserve"> invité confirme</w:t>
            </w:r>
            <w:r>
              <w:rPr>
                <w:lang w:val="fr-FR"/>
              </w:rPr>
              <w:t>ra</w:t>
            </w:r>
            <w:r w:rsidRPr="00863540">
              <w:rPr>
                <w:lang w:val="fr-FR"/>
              </w:rPr>
              <w:t xml:space="preserve">, à titre de condition préalable au début des négociations, la disponibilité de tout son personnel clé. Si cette condition n’est pas remplie, </w:t>
            </w:r>
            <w:r>
              <w:rPr>
                <w:lang w:val="fr-FR"/>
              </w:rPr>
              <w:t>l’Autorité contractante</w:t>
            </w:r>
            <w:r w:rsidRPr="00863540">
              <w:rPr>
                <w:lang w:val="fr-FR"/>
              </w:rPr>
              <w:t xml:space="preserve"> a</w:t>
            </w:r>
            <w:r>
              <w:rPr>
                <w:lang w:val="fr-FR"/>
              </w:rPr>
              <w:t>ura</w:t>
            </w:r>
            <w:r w:rsidRPr="00863540">
              <w:rPr>
                <w:lang w:val="fr-FR"/>
              </w:rPr>
              <w:t xml:space="preserve"> le droit de rejeter ce candidat et d’entamer de</w:t>
            </w:r>
            <w:r>
              <w:rPr>
                <w:lang w:val="fr-FR"/>
              </w:rPr>
              <w:t>s</w:t>
            </w:r>
            <w:r w:rsidRPr="00863540">
              <w:rPr>
                <w:lang w:val="fr-FR"/>
              </w:rPr>
              <w:t xml:space="preserve"> négociations avec le </w:t>
            </w:r>
            <w:r>
              <w:rPr>
                <w:lang w:val="fr-FR"/>
              </w:rPr>
              <w:t>Candidat</w:t>
            </w:r>
            <w:r w:rsidRPr="00863540">
              <w:rPr>
                <w:lang w:val="fr-FR"/>
              </w:rPr>
              <w:t xml:space="preserve"> sélectionné en deuxième position. Les représentants qui mène</w:t>
            </w:r>
            <w:r>
              <w:rPr>
                <w:lang w:val="fr-FR"/>
              </w:rPr>
              <w:t>ro</w:t>
            </w:r>
            <w:r w:rsidRPr="00863540">
              <w:rPr>
                <w:lang w:val="fr-FR"/>
              </w:rPr>
              <w:t xml:space="preserve">nt les négociations au nom du </w:t>
            </w:r>
            <w:r>
              <w:rPr>
                <w:lang w:val="fr-FR"/>
              </w:rPr>
              <w:t>Candidat devro</w:t>
            </w:r>
            <w:r w:rsidRPr="00863540">
              <w:rPr>
                <w:lang w:val="fr-FR"/>
              </w:rPr>
              <w:t xml:space="preserve">nt être pourvus d’une autorisation écrite les habilitant à négocier et à conclure un </w:t>
            </w:r>
            <w:r>
              <w:rPr>
                <w:lang w:val="fr-FR"/>
              </w:rPr>
              <w:t>marché</w:t>
            </w:r>
            <w:r w:rsidRPr="00863540">
              <w:rPr>
                <w:lang w:val="fr-FR"/>
              </w:rPr>
              <w:t>.</w:t>
            </w:r>
          </w:p>
        </w:tc>
      </w:tr>
      <w:tr w:rsidR="004C6182" w:rsidTr="007C5949">
        <w:tc>
          <w:tcPr>
            <w:tcW w:w="2160" w:type="dxa"/>
          </w:tcPr>
          <w:p w:rsidR="004C6182" w:rsidRPr="001352D5" w:rsidRDefault="004C6182" w:rsidP="007C5949">
            <w:pPr>
              <w:tabs>
                <w:tab w:val="left" w:pos="259"/>
              </w:tabs>
              <w:jc w:val="center"/>
              <w:rPr>
                <w:b/>
              </w:rPr>
            </w:pPr>
            <w:r w:rsidRPr="001352D5">
              <w:rPr>
                <w:b/>
              </w:rPr>
              <w:t>Négociations techniques</w:t>
            </w:r>
          </w:p>
          <w:p w:rsidR="004C6182" w:rsidRPr="001352D5" w:rsidRDefault="004C6182" w:rsidP="007C5949">
            <w:pPr>
              <w:tabs>
                <w:tab w:val="left" w:pos="259"/>
              </w:tabs>
              <w:ind w:left="259" w:hanging="259"/>
              <w:jc w:val="center"/>
              <w:rPr>
                <w:b/>
              </w:rPr>
            </w:pPr>
          </w:p>
        </w:tc>
        <w:tc>
          <w:tcPr>
            <w:tcW w:w="7110" w:type="dxa"/>
          </w:tcPr>
          <w:p w:rsidR="004C6182" w:rsidRPr="00863540" w:rsidRDefault="004C6182" w:rsidP="004C6182">
            <w:pPr>
              <w:pStyle w:val="Header3-Paragraph"/>
              <w:numPr>
                <w:ilvl w:val="1"/>
                <w:numId w:val="19"/>
              </w:numPr>
              <w:overflowPunct/>
              <w:autoSpaceDE/>
              <w:autoSpaceDN/>
              <w:adjustRightInd/>
              <w:spacing w:after="220"/>
              <w:textAlignment w:val="auto"/>
              <w:rPr>
                <w:lang w:val="fr-FR"/>
              </w:rPr>
            </w:pPr>
            <w:r>
              <w:rPr>
                <w:lang w:val="fr-FR"/>
              </w:rPr>
              <w:t xml:space="preserve"> </w:t>
            </w:r>
            <w:r w:rsidRPr="002379DD">
              <w:rPr>
                <w:lang w:val="fr-FR"/>
              </w:rPr>
              <w:t>Les négociations comporte</w:t>
            </w:r>
            <w:r>
              <w:rPr>
                <w:lang w:val="fr-FR"/>
              </w:rPr>
              <w:t>ro</w:t>
            </w:r>
            <w:r w:rsidRPr="002379DD">
              <w:rPr>
                <w:lang w:val="fr-FR"/>
              </w:rPr>
              <w:t xml:space="preserve">nt une discussion de la Proposition technique, de la conception et de la méthodologie proposées, du plan de travail, de la dotation en personnel clé et de toute suggestion faite par le </w:t>
            </w:r>
            <w:r>
              <w:rPr>
                <w:lang w:val="fr-FR"/>
              </w:rPr>
              <w:t>Candidat</w:t>
            </w:r>
            <w:r w:rsidRPr="002379DD">
              <w:rPr>
                <w:lang w:val="fr-FR"/>
              </w:rPr>
              <w:t xml:space="preserve"> pour améliorer les Termes de référence. </w:t>
            </w:r>
            <w:r>
              <w:rPr>
                <w:lang w:val="fr-FR"/>
              </w:rPr>
              <w:t>L’Autorité contractante</w:t>
            </w:r>
            <w:r w:rsidRPr="00863540">
              <w:rPr>
                <w:lang w:val="fr-FR"/>
              </w:rPr>
              <w:t xml:space="preserve"> et le </w:t>
            </w:r>
            <w:r>
              <w:rPr>
                <w:lang w:val="fr-FR"/>
              </w:rPr>
              <w:t>Candidat mettro</w:t>
            </w:r>
            <w:r w:rsidRPr="00863540">
              <w:rPr>
                <w:lang w:val="fr-FR"/>
              </w:rPr>
              <w:t>nt ensuite au point les Termes de référence finalisés, la dotation en personnel clé, le calendrier de travail, les aspects logistiques et les conditions d’établissement des rapports. Ces documents s</w:t>
            </w:r>
            <w:r>
              <w:rPr>
                <w:lang w:val="fr-FR"/>
              </w:rPr>
              <w:t>er</w:t>
            </w:r>
            <w:r w:rsidRPr="00863540">
              <w:rPr>
                <w:lang w:val="fr-FR"/>
              </w:rPr>
              <w:t>ont ensuite intégrés à la « Descrip</w:t>
            </w:r>
            <w:r>
              <w:rPr>
                <w:lang w:val="fr-FR"/>
              </w:rPr>
              <w:t>tion des Prestations », qui fera</w:t>
            </w:r>
            <w:r w:rsidRPr="00863540">
              <w:rPr>
                <w:lang w:val="fr-FR"/>
              </w:rPr>
              <w:t xml:space="preserve"> partie du </w:t>
            </w:r>
            <w:r>
              <w:rPr>
                <w:lang w:val="fr-FR"/>
              </w:rPr>
              <w:t>marché. Il faudra</w:t>
            </w:r>
            <w:r w:rsidRPr="00863540">
              <w:rPr>
                <w:lang w:val="fr-FR"/>
              </w:rPr>
              <w:t xml:space="preserve"> veiller tout particulièrement à préciser la contribution </w:t>
            </w:r>
            <w:r>
              <w:rPr>
                <w:lang w:val="fr-FR"/>
              </w:rPr>
              <w:t>de l’Autorité contractante</w:t>
            </w:r>
            <w:r w:rsidRPr="00863540">
              <w:rPr>
                <w:lang w:val="fr-FR"/>
              </w:rPr>
              <w:t xml:space="preserve"> en matière d’intrants et de moyens matériels visant à assurer la bonne exécution de la mission. </w:t>
            </w:r>
            <w:r>
              <w:rPr>
                <w:lang w:val="fr-FR"/>
              </w:rPr>
              <w:t>L’Autorité contractante</w:t>
            </w:r>
            <w:r w:rsidRPr="00863540">
              <w:rPr>
                <w:lang w:val="fr-FR"/>
              </w:rPr>
              <w:t xml:space="preserve"> prépare</w:t>
            </w:r>
            <w:r>
              <w:rPr>
                <w:lang w:val="fr-FR"/>
              </w:rPr>
              <w:t xml:space="preserve">ra un procès-verbal </w:t>
            </w:r>
            <w:r w:rsidRPr="00863540">
              <w:rPr>
                <w:lang w:val="fr-FR"/>
              </w:rPr>
              <w:t xml:space="preserve">des négociations qui </w:t>
            </w:r>
            <w:r>
              <w:rPr>
                <w:lang w:val="fr-FR"/>
              </w:rPr>
              <w:t>sera</w:t>
            </w:r>
            <w:r w:rsidRPr="00863540">
              <w:rPr>
                <w:lang w:val="fr-FR"/>
              </w:rPr>
              <w:t xml:space="preserve"> signé par </w:t>
            </w:r>
            <w:r>
              <w:rPr>
                <w:lang w:val="fr-FR"/>
              </w:rPr>
              <w:t>l’Autorité contractante</w:t>
            </w:r>
            <w:r w:rsidRPr="00863540">
              <w:rPr>
                <w:lang w:val="fr-FR"/>
              </w:rPr>
              <w:t xml:space="preserve"> et par le </w:t>
            </w:r>
            <w:r>
              <w:rPr>
                <w:lang w:val="fr-FR"/>
              </w:rPr>
              <w:lastRenderedPageBreak/>
              <w:t>Candidat</w:t>
            </w:r>
            <w:r w:rsidRPr="00863540">
              <w:rPr>
                <w:lang w:val="fr-FR"/>
              </w:rPr>
              <w:t>.</w:t>
            </w:r>
          </w:p>
        </w:tc>
      </w:tr>
      <w:tr w:rsidR="004C6182" w:rsidTr="007C5949">
        <w:tc>
          <w:tcPr>
            <w:tcW w:w="2160" w:type="dxa"/>
          </w:tcPr>
          <w:p w:rsidR="004C6182" w:rsidRPr="001352D5" w:rsidRDefault="004C6182" w:rsidP="007C5949">
            <w:pPr>
              <w:tabs>
                <w:tab w:val="left" w:pos="259"/>
              </w:tabs>
              <w:ind w:left="259" w:hanging="259"/>
              <w:jc w:val="center"/>
              <w:rPr>
                <w:b/>
              </w:rPr>
            </w:pPr>
            <w:r w:rsidRPr="001352D5">
              <w:rPr>
                <w:b/>
              </w:rPr>
              <w:lastRenderedPageBreak/>
              <w:t>Négociations financières</w:t>
            </w:r>
          </w:p>
        </w:tc>
        <w:tc>
          <w:tcPr>
            <w:tcW w:w="7110" w:type="dxa"/>
          </w:tcPr>
          <w:p w:rsidR="004C6182" w:rsidRPr="002379DD" w:rsidRDefault="004C6182" w:rsidP="004C6182">
            <w:pPr>
              <w:pStyle w:val="Header3-Paragraph"/>
              <w:numPr>
                <w:ilvl w:val="1"/>
                <w:numId w:val="19"/>
              </w:numPr>
              <w:overflowPunct/>
              <w:autoSpaceDE/>
              <w:autoSpaceDN/>
              <w:adjustRightInd/>
              <w:spacing w:after="220"/>
              <w:textAlignment w:val="auto"/>
              <w:rPr>
                <w:lang w:val="fr-FR"/>
              </w:rPr>
            </w:pPr>
            <w:r>
              <w:rPr>
                <w:lang w:val="fr-FR"/>
              </w:rPr>
              <w:t xml:space="preserve"> </w:t>
            </w:r>
            <w:r w:rsidRPr="002379DD">
              <w:rPr>
                <w:lang w:val="fr-FR"/>
              </w:rPr>
              <w:t>Les négociations reflète</w:t>
            </w:r>
            <w:r>
              <w:rPr>
                <w:lang w:val="fr-FR"/>
              </w:rPr>
              <w:t>ro</w:t>
            </w:r>
            <w:r w:rsidRPr="002379DD">
              <w:rPr>
                <w:lang w:val="fr-FR"/>
              </w:rPr>
              <w:t xml:space="preserve">nt l’impact des modifications techniques convenues sur le coût des </w:t>
            </w:r>
            <w:r>
              <w:rPr>
                <w:lang w:val="fr-FR"/>
              </w:rPr>
              <w:t xml:space="preserve">prestations de </w:t>
            </w:r>
            <w:r w:rsidRPr="002379DD">
              <w:rPr>
                <w:lang w:val="fr-FR"/>
              </w:rPr>
              <w:t>services. Sauf</w:t>
            </w:r>
            <w:r>
              <w:rPr>
                <w:lang w:val="fr-FR"/>
              </w:rPr>
              <w:t xml:space="preserve"> circonstances exceptionnelles, </w:t>
            </w:r>
            <w:r w:rsidRPr="002379DD">
              <w:rPr>
                <w:lang w:val="fr-FR"/>
              </w:rPr>
              <w:t>en cas de Sélection qualité</w:t>
            </w:r>
            <w:r w:rsidRPr="002379DD">
              <w:rPr>
                <w:lang w:val="fr-FR"/>
              </w:rPr>
              <w:noBreakHyphen/>
              <w:t>coût, de Sélection</w:t>
            </w:r>
            <w:r>
              <w:rPr>
                <w:lang w:val="fr-FR"/>
              </w:rPr>
              <w:t xml:space="preserve"> dans le cadre d’un budget prédéterminé </w:t>
            </w:r>
            <w:r w:rsidRPr="002379DD">
              <w:rPr>
                <w:lang w:val="fr-FR"/>
              </w:rPr>
              <w:t>ou de Sélection au moindre coût</w:t>
            </w:r>
            <w:r>
              <w:rPr>
                <w:lang w:val="fr-FR"/>
              </w:rPr>
              <w:t>,</w:t>
            </w:r>
            <w:r w:rsidRPr="002379DD">
              <w:rPr>
                <w:lang w:val="fr-FR"/>
              </w:rPr>
              <w:t xml:space="preserve"> les négociations financières ne porte</w:t>
            </w:r>
            <w:r>
              <w:rPr>
                <w:lang w:val="fr-FR"/>
              </w:rPr>
              <w:t>ro</w:t>
            </w:r>
            <w:r w:rsidRPr="002379DD">
              <w:rPr>
                <w:lang w:val="fr-FR"/>
              </w:rPr>
              <w:t xml:space="preserve">nt ni sur les taux de rémunération du personnel, ni sur les autres taux unitaires. En cas de sélection sur la base de la qualité seule, le </w:t>
            </w:r>
            <w:r>
              <w:rPr>
                <w:lang w:val="fr-FR"/>
              </w:rPr>
              <w:t>Candidat fournira à l’Autorité contractante</w:t>
            </w:r>
            <w:r w:rsidRPr="002379DD">
              <w:rPr>
                <w:lang w:val="fr-FR"/>
              </w:rPr>
              <w:t xml:space="preserve"> les renseignements sur les taux de rémunération et autres coûts qui sont demandés dans l’Annexe à la </w:t>
            </w:r>
            <w:r>
              <w:rPr>
                <w:lang w:val="fr-FR"/>
              </w:rPr>
              <w:t>Section 5</w:t>
            </w:r>
            <w:r w:rsidRPr="002379DD">
              <w:rPr>
                <w:lang w:val="fr-FR"/>
              </w:rPr>
              <w:t xml:space="preserve"> – Proposition financière – Formulaire </w:t>
            </w:r>
            <w:r>
              <w:rPr>
                <w:lang w:val="fr-FR"/>
              </w:rPr>
              <w:t>type</w:t>
            </w:r>
            <w:r w:rsidRPr="002379DD">
              <w:rPr>
                <w:lang w:val="fr-FR"/>
              </w:rPr>
              <w:t xml:space="preserve"> de cette </w:t>
            </w:r>
            <w:r>
              <w:rPr>
                <w:lang w:val="fr-FR"/>
              </w:rPr>
              <w:t>DDP</w:t>
            </w:r>
            <w:r w:rsidRPr="002379DD">
              <w:rPr>
                <w:lang w:val="fr-FR"/>
              </w:rPr>
              <w:t>.</w:t>
            </w:r>
          </w:p>
        </w:tc>
      </w:tr>
      <w:tr w:rsidR="004C6182" w:rsidTr="007C5949">
        <w:tc>
          <w:tcPr>
            <w:tcW w:w="2160" w:type="dxa"/>
          </w:tcPr>
          <w:p w:rsidR="004C6182" w:rsidRPr="001352D5" w:rsidRDefault="004C6182" w:rsidP="007C5949">
            <w:pPr>
              <w:tabs>
                <w:tab w:val="left" w:pos="259"/>
              </w:tabs>
              <w:ind w:left="259" w:hanging="259"/>
              <w:jc w:val="center"/>
              <w:rPr>
                <w:b/>
              </w:rPr>
            </w:pPr>
            <w:r w:rsidRPr="001352D5">
              <w:rPr>
                <w:b/>
              </w:rPr>
              <w:t>Disponibilité du personnel clé</w:t>
            </w:r>
          </w:p>
        </w:tc>
        <w:tc>
          <w:tcPr>
            <w:tcW w:w="7110" w:type="dxa"/>
          </w:tcPr>
          <w:p w:rsidR="004C6182" w:rsidRPr="00863540" w:rsidRDefault="004C6182" w:rsidP="004C6182">
            <w:pPr>
              <w:pStyle w:val="Header3-Paragraph"/>
              <w:numPr>
                <w:ilvl w:val="1"/>
                <w:numId w:val="19"/>
              </w:numPr>
              <w:overflowPunct/>
              <w:autoSpaceDE/>
              <w:autoSpaceDN/>
              <w:adjustRightInd/>
              <w:spacing w:after="220"/>
              <w:textAlignment w:val="auto"/>
              <w:rPr>
                <w:lang w:val="fr-FR"/>
              </w:rPr>
            </w:pPr>
            <w:r>
              <w:rPr>
                <w:lang w:val="fr-FR"/>
              </w:rPr>
              <w:t xml:space="preserve"> </w:t>
            </w:r>
            <w:r w:rsidRPr="00705843">
              <w:rPr>
                <w:lang w:val="fr-FR"/>
              </w:rPr>
              <w:t xml:space="preserve">Ayant fondé son choix du </w:t>
            </w:r>
            <w:r>
              <w:rPr>
                <w:lang w:val="fr-FR"/>
              </w:rPr>
              <w:t>Candidat, entre autre</w:t>
            </w:r>
            <w:r w:rsidRPr="00705843">
              <w:rPr>
                <w:lang w:val="fr-FR"/>
              </w:rPr>
              <w:t xml:space="preserve">, sur une évaluation du personnel clé proposé, </w:t>
            </w:r>
            <w:r>
              <w:rPr>
                <w:lang w:val="fr-FR"/>
              </w:rPr>
              <w:t>l’Autorité contractante</w:t>
            </w:r>
            <w:r w:rsidRPr="00705843">
              <w:rPr>
                <w:lang w:val="fr-FR"/>
              </w:rPr>
              <w:t xml:space="preserve"> entend négocier le </w:t>
            </w:r>
            <w:r>
              <w:rPr>
                <w:lang w:val="fr-FR"/>
              </w:rPr>
              <w:t>marché</w:t>
            </w:r>
            <w:r w:rsidRPr="00705843">
              <w:rPr>
                <w:lang w:val="fr-FR"/>
              </w:rPr>
              <w:t xml:space="preserve"> sur la base des experts dont les noms figurent dans la Proposition. </w:t>
            </w:r>
            <w:r w:rsidRPr="00863540">
              <w:rPr>
                <w:lang w:val="fr-FR"/>
              </w:rPr>
              <w:t xml:space="preserve">Préalablement à la négociation du </w:t>
            </w:r>
            <w:r>
              <w:rPr>
                <w:lang w:val="fr-FR"/>
              </w:rPr>
              <w:t>marché</w:t>
            </w:r>
            <w:r w:rsidRPr="00863540">
              <w:rPr>
                <w:lang w:val="fr-FR"/>
              </w:rPr>
              <w:t xml:space="preserve">, </w:t>
            </w:r>
            <w:r>
              <w:rPr>
                <w:lang w:val="fr-FR"/>
              </w:rPr>
              <w:t>l’Autorité contractante</w:t>
            </w:r>
            <w:r w:rsidRPr="00863540">
              <w:rPr>
                <w:lang w:val="fr-FR"/>
              </w:rPr>
              <w:t xml:space="preserve"> demande l’assurance que ces experts sont effectivement disponibles. Il ne prend</w:t>
            </w:r>
            <w:r>
              <w:rPr>
                <w:lang w:val="fr-FR"/>
              </w:rPr>
              <w:t>ra</w:t>
            </w:r>
            <w:r w:rsidRPr="00863540">
              <w:rPr>
                <w:lang w:val="fr-FR"/>
              </w:rPr>
              <w:t xml:space="preserve">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Pr>
                <w:lang w:val="fr-FR"/>
              </w:rPr>
              <w:t>Candidat</w:t>
            </w:r>
            <w:r w:rsidRPr="00863540">
              <w:rPr>
                <w:lang w:val="fr-FR"/>
              </w:rPr>
              <w:t xml:space="preserve"> a proposé une personne clé sans s’être assuré de sa disponibilité, le </w:t>
            </w:r>
            <w:r>
              <w:rPr>
                <w:lang w:val="fr-FR"/>
              </w:rPr>
              <w:t>Candidat</w:t>
            </w:r>
            <w:r w:rsidRPr="00863540">
              <w:rPr>
                <w:lang w:val="fr-FR"/>
              </w:rPr>
              <w:t xml:space="preserve"> peut être disqualif</w:t>
            </w:r>
            <w:r>
              <w:rPr>
                <w:lang w:val="fr-FR"/>
              </w:rPr>
              <w:t>ié. Tout remplaçant proposé devra</w:t>
            </w:r>
            <w:r w:rsidRPr="00863540">
              <w:rPr>
                <w:lang w:val="fr-FR"/>
              </w:rPr>
              <w:t xml:space="preserve"> avoir des compétences égales ou supérieures et une expérience équivalente à celle</w:t>
            </w:r>
            <w:r>
              <w:rPr>
                <w:lang w:val="fr-FR"/>
              </w:rPr>
              <w:t xml:space="preserve"> du candidat original, et devra</w:t>
            </w:r>
            <w:r w:rsidRPr="00863540">
              <w:rPr>
                <w:lang w:val="fr-FR"/>
              </w:rPr>
              <w:t xml:space="preserve"> être présenté par le </w:t>
            </w:r>
            <w:r>
              <w:rPr>
                <w:lang w:val="fr-FR"/>
              </w:rPr>
              <w:t>Candidat</w:t>
            </w:r>
            <w:r w:rsidRPr="00863540">
              <w:rPr>
                <w:lang w:val="fr-FR"/>
              </w:rPr>
              <w:t xml:space="preserve"> dans les délais spécifiés dans la lettre d’invitation à négocier ; le prix de</w:t>
            </w:r>
            <w:r>
              <w:rPr>
                <w:lang w:val="fr-FR"/>
              </w:rPr>
              <w:t>mandé pour un remplaçant ne pourra</w:t>
            </w:r>
            <w:r w:rsidRPr="00863540">
              <w:rPr>
                <w:lang w:val="fr-FR"/>
              </w:rPr>
              <w:t xml:space="preserve"> être supérieur au prix demandé pour le personnel remplacé.</w:t>
            </w:r>
          </w:p>
        </w:tc>
      </w:tr>
      <w:tr w:rsidR="004C6182" w:rsidTr="007C5949">
        <w:tc>
          <w:tcPr>
            <w:tcW w:w="2160" w:type="dxa"/>
          </w:tcPr>
          <w:p w:rsidR="004C6182" w:rsidRPr="001352D5" w:rsidRDefault="004C6182" w:rsidP="007C5949">
            <w:pPr>
              <w:tabs>
                <w:tab w:val="left" w:pos="259"/>
              </w:tabs>
              <w:jc w:val="center"/>
              <w:rPr>
                <w:b/>
              </w:rPr>
            </w:pPr>
            <w:r w:rsidRPr="001352D5">
              <w:rPr>
                <w:b/>
              </w:rPr>
              <w:t>Conclusion des négociations</w:t>
            </w:r>
          </w:p>
        </w:tc>
        <w:tc>
          <w:tcPr>
            <w:tcW w:w="7110" w:type="dxa"/>
          </w:tcPr>
          <w:p w:rsidR="004C6182" w:rsidRPr="00863540" w:rsidRDefault="004C6182" w:rsidP="004C6182">
            <w:pPr>
              <w:pStyle w:val="Header3-Paragraph"/>
              <w:numPr>
                <w:ilvl w:val="1"/>
                <w:numId w:val="19"/>
              </w:numPr>
              <w:overflowPunct/>
              <w:autoSpaceDE/>
              <w:autoSpaceDN/>
              <w:adjustRightInd/>
              <w:spacing w:after="220"/>
              <w:textAlignment w:val="auto"/>
              <w:rPr>
                <w:lang w:val="fr-FR"/>
              </w:rPr>
            </w:pPr>
            <w:r>
              <w:rPr>
                <w:lang w:val="fr-FR"/>
              </w:rPr>
              <w:t xml:space="preserve"> </w:t>
            </w:r>
            <w:r w:rsidRPr="00705843">
              <w:rPr>
                <w:lang w:val="fr-FR"/>
              </w:rPr>
              <w:t>Les négociations s’achève</w:t>
            </w:r>
            <w:r>
              <w:rPr>
                <w:lang w:val="fr-FR"/>
              </w:rPr>
              <w:t>ro</w:t>
            </w:r>
            <w:r w:rsidRPr="00705843">
              <w:rPr>
                <w:lang w:val="fr-FR"/>
              </w:rPr>
              <w:t xml:space="preserve">nt par un examen du projet de </w:t>
            </w:r>
            <w:r>
              <w:rPr>
                <w:lang w:val="fr-FR"/>
              </w:rPr>
              <w:t>Marché</w:t>
            </w:r>
            <w:r w:rsidRPr="00705843">
              <w:rPr>
                <w:lang w:val="fr-FR"/>
              </w:rPr>
              <w:t xml:space="preserve">. </w:t>
            </w:r>
            <w:r w:rsidRPr="00863540">
              <w:rPr>
                <w:lang w:val="fr-FR"/>
              </w:rPr>
              <w:t xml:space="preserve">En conclusion des négociations, </w:t>
            </w:r>
            <w:r>
              <w:rPr>
                <w:lang w:val="fr-FR"/>
              </w:rPr>
              <w:t>l’Autorité contractante</w:t>
            </w:r>
            <w:r w:rsidRPr="00863540">
              <w:rPr>
                <w:lang w:val="fr-FR"/>
              </w:rPr>
              <w:t xml:space="preserve"> et le </w:t>
            </w:r>
            <w:r>
              <w:rPr>
                <w:lang w:val="fr-FR"/>
              </w:rPr>
              <w:t>Candidat</w:t>
            </w:r>
            <w:r w:rsidRPr="00863540">
              <w:rPr>
                <w:lang w:val="fr-FR"/>
              </w:rPr>
              <w:t xml:space="preserve"> paraphe</w:t>
            </w:r>
            <w:r>
              <w:rPr>
                <w:lang w:val="fr-FR"/>
              </w:rPr>
              <w:t>ro</w:t>
            </w:r>
            <w:r w:rsidRPr="00863540">
              <w:rPr>
                <w:lang w:val="fr-FR"/>
              </w:rPr>
              <w:t xml:space="preserve">nt le </w:t>
            </w:r>
            <w:r>
              <w:rPr>
                <w:lang w:val="fr-FR"/>
              </w:rPr>
              <w:t>marché</w:t>
            </w:r>
            <w:r w:rsidRPr="00863540">
              <w:rPr>
                <w:lang w:val="fr-FR"/>
              </w:rPr>
              <w:t xml:space="preserve"> convenu. Si les négociations échouent, </w:t>
            </w:r>
            <w:r>
              <w:rPr>
                <w:lang w:val="fr-FR"/>
              </w:rPr>
              <w:t>l’Autorité contractante</w:t>
            </w:r>
            <w:r w:rsidRPr="00863540">
              <w:rPr>
                <w:lang w:val="fr-FR"/>
              </w:rPr>
              <w:t xml:space="preserve"> invite</w:t>
            </w:r>
            <w:r>
              <w:rPr>
                <w:lang w:val="fr-FR"/>
              </w:rPr>
              <w:t>ra</w:t>
            </w:r>
            <w:r w:rsidRPr="00863540">
              <w:rPr>
                <w:lang w:val="fr-FR"/>
              </w:rPr>
              <w:t xml:space="preserve"> le </w:t>
            </w:r>
            <w:r>
              <w:rPr>
                <w:lang w:val="fr-FR"/>
              </w:rPr>
              <w:t>Candidat</w:t>
            </w:r>
            <w:r w:rsidRPr="00863540">
              <w:rPr>
                <w:lang w:val="fr-FR"/>
              </w:rPr>
              <w:t xml:space="preserve"> dont la proposition a été classée en deuxième position à des négociations.</w:t>
            </w:r>
          </w:p>
        </w:tc>
      </w:tr>
      <w:tr w:rsidR="004C6182" w:rsidTr="007C5949">
        <w:tc>
          <w:tcPr>
            <w:tcW w:w="2160" w:type="dxa"/>
          </w:tcPr>
          <w:p w:rsidR="004C6182" w:rsidRPr="001352D5" w:rsidRDefault="004C6182" w:rsidP="004C6182">
            <w:pPr>
              <w:numPr>
                <w:ilvl w:val="0"/>
                <w:numId w:val="19"/>
              </w:numPr>
              <w:tabs>
                <w:tab w:val="left" w:pos="259"/>
              </w:tabs>
              <w:jc w:val="center"/>
              <w:rPr>
                <w:b/>
              </w:rPr>
            </w:pPr>
            <w:bookmarkStart w:id="15" w:name="_Toc190767454"/>
            <w:r w:rsidRPr="001352D5">
              <w:rPr>
                <w:b/>
              </w:rPr>
              <w:t>Signature du Marché</w:t>
            </w:r>
            <w:bookmarkEnd w:id="15"/>
          </w:p>
        </w:tc>
        <w:tc>
          <w:tcPr>
            <w:tcW w:w="7110" w:type="dxa"/>
          </w:tcPr>
          <w:p w:rsidR="004C6182" w:rsidRDefault="004C6182" w:rsidP="007C5949">
            <w:pPr>
              <w:pStyle w:val="Header3-Paragraph"/>
              <w:tabs>
                <w:tab w:val="clear" w:pos="504"/>
              </w:tabs>
              <w:overflowPunct/>
              <w:autoSpaceDE/>
              <w:autoSpaceDN/>
              <w:adjustRightInd/>
              <w:spacing w:after="220"/>
              <w:ind w:left="420" w:firstLine="0"/>
              <w:textAlignment w:val="auto"/>
              <w:rPr>
                <w:lang w:val="fr-FR"/>
              </w:rPr>
            </w:pPr>
            <w:r w:rsidRPr="00D97CF2">
              <w:rPr>
                <w:lang w:val="fr-FR"/>
              </w:rPr>
              <w:t>L’Autorité contractante enverra au Candidat retenu le Marché</w:t>
            </w:r>
            <w:r>
              <w:rPr>
                <w:lang w:val="fr-FR"/>
              </w:rPr>
              <w:t xml:space="preserve"> paraphé</w:t>
            </w:r>
            <w:r w:rsidRPr="00D97CF2">
              <w:rPr>
                <w:lang w:val="fr-FR"/>
              </w:rPr>
              <w:t>.</w:t>
            </w:r>
            <w:r>
              <w:rPr>
                <w:lang w:val="fr-FR"/>
              </w:rPr>
              <w:t xml:space="preserve"> </w:t>
            </w:r>
            <w:r w:rsidRPr="00D97CF2">
              <w:rPr>
                <w:lang w:val="fr-FR"/>
              </w:rPr>
              <w:t>Dans les quatorze (14) jours suivant la réception du Marché</w:t>
            </w:r>
            <w:r>
              <w:rPr>
                <w:lang w:val="fr-FR"/>
              </w:rPr>
              <w:t xml:space="preserve"> paraphé</w:t>
            </w:r>
            <w:r w:rsidRPr="00D97CF2">
              <w:rPr>
                <w:lang w:val="fr-FR"/>
              </w:rPr>
              <w:t xml:space="preserve"> le Candidat retenu le signera, le datera et le renverra à l’Autorité contractante.</w:t>
            </w:r>
            <w:r>
              <w:rPr>
                <w:lang w:val="fr-FR"/>
              </w:rPr>
              <w:t xml:space="preserve"> </w:t>
            </w:r>
            <w:r w:rsidRPr="00636746">
              <w:rPr>
                <w:lang w:val="fr-FR"/>
              </w:rPr>
              <w:t>Avant la signature de tout marché, les services compétents des autorités contractantes doivent fournir à leurs co-contractants la preuve que le crédit est disponible et a été réservé.</w:t>
            </w:r>
          </w:p>
        </w:tc>
      </w:tr>
      <w:tr w:rsidR="004C6182" w:rsidTr="007C5949">
        <w:tc>
          <w:tcPr>
            <w:tcW w:w="2160" w:type="dxa"/>
          </w:tcPr>
          <w:p w:rsidR="004C6182" w:rsidRPr="001352D5" w:rsidRDefault="004C6182" w:rsidP="004C6182">
            <w:pPr>
              <w:numPr>
                <w:ilvl w:val="0"/>
                <w:numId w:val="19"/>
              </w:numPr>
              <w:tabs>
                <w:tab w:val="left" w:pos="259"/>
              </w:tabs>
              <w:jc w:val="center"/>
              <w:rPr>
                <w:b/>
              </w:rPr>
            </w:pPr>
            <w:bookmarkStart w:id="16" w:name="_Toc438438866"/>
            <w:bookmarkStart w:id="17" w:name="_Toc438532660"/>
            <w:bookmarkStart w:id="18" w:name="_Toc438734010"/>
            <w:bookmarkStart w:id="19" w:name="_Toc438907046"/>
            <w:bookmarkStart w:id="20" w:name="_Toc438907245"/>
            <w:bookmarkStart w:id="21" w:name="_Toc156373323"/>
            <w:bookmarkStart w:id="22" w:name="_Toc188954955"/>
            <w:r w:rsidRPr="001352D5">
              <w:rPr>
                <w:b/>
              </w:rPr>
              <w:t>Notification de l’attribution du Marché</w:t>
            </w:r>
            <w:bookmarkEnd w:id="16"/>
            <w:bookmarkEnd w:id="17"/>
            <w:bookmarkEnd w:id="18"/>
            <w:bookmarkEnd w:id="19"/>
            <w:bookmarkEnd w:id="20"/>
            <w:bookmarkEnd w:id="21"/>
            <w:bookmarkEnd w:id="22"/>
          </w:p>
        </w:tc>
        <w:tc>
          <w:tcPr>
            <w:tcW w:w="7110" w:type="dxa"/>
          </w:tcPr>
          <w:p w:rsidR="004C6182" w:rsidRDefault="004C6182" w:rsidP="004C6182">
            <w:pPr>
              <w:pStyle w:val="Header3-Paragraph"/>
              <w:numPr>
                <w:ilvl w:val="1"/>
                <w:numId w:val="20"/>
              </w:numPr>
              <w:tabs>
                <w:tab w:val="clear" w:pos="504"/>
              </w:tabs>
              <w:overflowPunct/>
              <w:autoSpaceDE/>
              <w:autoSpaceDN/>
              <w:adjustRightInd/>
              <w:spacing w:after="220"/>
              <w:textAlignment w:val="auto"/>
              <w:rPr>
                <w:lang w:val="fr-FR"/>
              </w:rPr>
            </w:pPr>
            <w:r>
              <w:rPr>
                <w:lang w:val="fr-FR"/>
              </w:rPr>
              <w:t xml:space="preserve"> L’Autorité contractante</w:t>
            </w:r>
            <w:r w:rsidRPr="00F164B3">
              <w:rPr>
                <w:lang w:val="fr-FR"/>
              </w:rPr>
              <w:t xml:space="preserve"> attribue</w:t>
            </w:r>
            <w:r>
              <w:rPr>
                <w:lang w:val="fr-FR"/>
              </w:rPr>
              <w:t>ra</w:t>
            </w:r>
            <w:r w:rsidRPr="00F164B3">
              <w:rPr>
                <w:lang w:val="fr-FR"/>
              </w:rPr>
              <w:t xml:space="preserve"> le </w:t>
            </w:r>
            <w:r>
              <w:rPr>
                <w:lang w:val="fr-FR"/>
              </w:rPr>
              <w:t>Marché</w:t>
            </w:r>
            <w:r w:rsidRPr="00F164B3">
              <w:rPr>
                <w:lang w:val="fr-FR"/>
              </w:rPr>
              <w:t xml:space="preserve"> une </w:t>
            </w:r>
            <w:r>
              <w:rPr>
                <w:lang w:val="fr-FR"/>
              </w:rPr>
              <w:t xml:space="preserve">fois les négociations terminées.  </w:t>
            </w:r>
            <w:r w:rsidRPr="003F0D96">
              <w:rPr>
                <w:lang w:val="fr-FR"/>
              </w:rPr>
              <w:t xml:space="preserve">Dans les meilleurs délais après son approbation par l’autorité compétente, le marché sera notifié par l'autorité contractante à l'attributaire du marché par la remise au </w:t>
            </w:r>
            <w:r w:rsidRPr="003F0D96">
              <w:rPr>
                <w:lang w:val="fr-FR"/>
              </w:rPr>
              <w:lastRenderedPageBreak/>
              <w:t>titulaire contre récépissé ou par en</w:t>
            </w:r>
            <w:r w:rsidRPr="009E3ADF">
              <w:rPr>
                <w:lang w:val="fr-FR"/>
              </w:rPr>
              <w:t xml:space="preserve">voi par lettre recommandée avec accusé de réception ou par tout moyen permettant de donner date certaine à cet envoi. La date de notification </w:t>
            </w:r>
            <w:r>
              <w:rPr>
                <w:lang w:val="fr-FR"/>
              </w:rPr>
              <w:t>sera</w:t>
            </w:r>
            <w:r w:rsidRPr="009E3ADF">
              <w:rPr>
                <w:lang w:val="fr-FR"/>
              </w:rPr>
              <w:t xml:space="preserve"> celle du récépissé ou de l'avis de réception.</w:t>
            </w:r>
          </w:p>
          <w:p w:rsidR="004C6182" w:rsidRPr="009E3ADF" w:rsidRDefault="004C6182" w:rsidP="004C6182">
            <w:pPr>
              <w:pStyle w:val="Header3-Paragraph"/>
              <w:numPr>
                <w:ilvl w:val="1"/>
                <w:numId w:val="20"/>
              </w:numPr>
              <w:tabs>
                <w:tab w:val="clear" w:pos="504"/>
              </w:tabs>
              <w:overflowPunct/>
              <w:autoSpaceDE/>
              <w:autoSpaceDN/>
              <w:adjustRightInd/>
              <w:spacing w:after="220"/>
              <w:textAlignment w:val="auto"/>
              <w:rPr>
                <w:lang w:val="fr-FR"/>
              </w:rPr>
            </w:pPr>
            <w:r>
              <w:rPr>
                <w:lang w:val="fr-FR"/>
              </w:rPr>
              <w:t xml:space="preserve"> </w:t>
            </w:r>
            <w:r w:rsidRPr="009E3ADF">
              <w:rPr>
                <w:lang w:val="fr-FR"/>
              </w:rPr>
              <w:t>Sauf dispositions contraires dans le marché, la date de notification constitue</w:t>
            </w:r>
            <w:r>
              <w:rPr>
                <w:lang w:val="fr-FR"/>
              </w:rPr>
              <w:t>ra</w:t>
            </w:r>
            <w:r w:rsidRPr="009E3ADF">
              <w:rPr>
                <w:lang w:val="fr-FR"/>
              </w:rPr>
              <w:t xml:space="preserve"> le point de départ des délais contractuels d'exécution</w:t>
            </w:r>
            <w:r>
              <w:rPr>
                <w:lang w:val="fr-FR"/>
              </w:rPr>
              <w:t xml:space="preserve"> du marché. Le marché ne produira</w:t>
            </w:r>
            <w:r w:rsidRPr="009E3ADF">
              <w:rPr>
                <w:lang w:val="fr-FR"/>
              </w:rPr>
              <w:t xml:space="preserve"> d'effet à l'égard de l'attributaire qu'à compter de la date de sa notification.</w:t>
            </w:r>
          </w:p>
        </w:tc>
      </w:tr>
      <w:tr w:rsidR="004C6182" w:rsidTr="007C5949">
        <w:tc>
          <w:tcPr>
            <w:tcW w:w="2160" w:type="dxa"/>
          </w:tcPr>
          <w:p w:rsidR="004C6182" w:rsidRPr="001352D5" w:rsidRDefault="004C6182" w:rsidP="004C6182">
            <w:pPr>
              <w:numPr>
                <w:ilvl w:val="0"/>
                <w:numId w:val="20"/>
              </w:numPr>
              <w:tabs>
                <w:tab w:val="left" w:pos="259"/>
              </w:tabs>
              <w:jc w:val="center"/>
              <w:rPr>
                <w:b/>
              </w:rPr>
            </w:pPr>
            <w:bookmarkStart w:id="23" w:name="_Toc438438868"/>
            <w:bookmarkStart w:id="24" w:name="_Toc438532662"/>
            <w:bookmarkStart w:id="25" w:name="_Toc438734012"/>
            <w:bookmarkStart w:id="26" w:name="_Toc438907048"/>
            <w:bookmarkStart w:id="27" w:name="_Toc438907247"/>
            <w:bookmarkStart w:id="28" w:name="_Toc190767460"/>
            <w:r w:rsidRPr="001352D5">
              <w:rPr>
                <w:b/>
              </w:rPr>
              <w:lastRenderedPageBreak/>
              <w:t>Garantie de bonne exécution</w:t>
            </w:r>
            <w:bookmarkEnd w:id="23"/>
            <w:bookmarkEnd w:id="24"/>
            <w:bookmarkEnd w:id="25"/>
            <w:bookmarkEnd w:id="26"/>
            <w:bookmarkEnd w:id="27"/>
            <w:bookmarkEnd w:id="28"/>
          </w:p>
        </w:tc>
        <w:tc>
          <w:tcPr>
            <w:tcW w:w="7110" w:type="dxa"/>
          </w:tcPr>
          <w:p w:rsidR="004C6182" w:rsidRDefault="004C6182" w:rsidP="007C5949">
            <w:pPr>
              <w:keepNext/>
              <w:keepLines/>
              <w:pageBreakBefore/>
              <w:spacing w:after="200"/>
              <w:jc w:val="both"/>
            </w:pPr>
            <w:r>
              <w:t xml:space="preserve">       Les titulaires des marchés de prestations intellectuelles ne sont pas soumis à l’obligation de fournir à l’Autorité contractante une garantie de bonne exécution de leur prestation conformément </w:t>
            </w:r>
            <w:r w:rsidRPr="008D38AC">
              <w:t>à l’article 88du Code des marchés publics.</w:t>
            </w:r>
          </w:p>
        </w:tc>
      </w:tr>
      <w:tr w:rsidR="004C6182" w:rsidTr="007C5949">
        <w:tc>
          <w:tcPr>
            <w:tcW w:w="2160" w:type="dxa"/>
          </w:tcPr>
          <w:p w:rsidR="004C6182" w:rsidRDefault="004C6182" w:rsidP="004C6182">
            <w:pPr>
              <w:numPr>
                <w:ilvl w:val="0"/>
                <w:numId w:val="20"/>
              </w:numPr>
              <w:tabs>
                <w:tab w:val="left" w:pos="259"/>
              </w:tabs>
            </w:pPr>
            <w:bookmarkStart w:id="29" w:name="_Toc188501982"/>
            <w:bookmarkStart w:id="30" w:name="_Toc188954958"/>
            <w:r w:rsidRPr="004356CE">
              <w:rPr>
                <w:b/>
              </w:rPr>
              <w:t>Information des candidats</w:t>
            </w:r>
            <w:bookmarkEnd w:id="29"/>
            <w:bookmarkEnd w:id="30"/>
          </w:p>
        </w:tc>
        <w:tc>
          <w:tcPr>
            <w:tcW w:w="7110" w:type="dxa"/>
          </w:tcPr>
          <w:p w:rsidR="004C6182" w:rsidRPr="00A40C89" w:rsidRDefault="004C6182" w:rsidP="007C5949">
            <w:pPr>
              <w:pStyle w:val="Header3-Paragraph"/>
              <w:overflowPunct/>
              <w:autoSpaceDE/>
              <w:autoSpaceDN/>
              <w:adjustRightInd/>
              <w:spacing w:after="220"/>
              <w:textAlignment w:val="auto"/>
              <w:rPr>
                <w:lang w:val="fr-FR"/>
              </w:rPr>
            </w:pPr>
            <w:r>
              <w:rPr>
                <w:lang w:val="fr-FR"/>
              </w:rPr>
              <w:t xml:space="preserve">23.1 </w:t>
            </w:r>
            <w:r w:rsidRPr="008D38AC">
              <w:rPr>
                <w:lang w:val="fr-FR"/>
              </w:rPr>
              <w:t xml:space="preserve">Dès qu'elle a approuvé la proposition d'attribution, l’Autorité contractante avise immédiatement les autres candidats du rejet de leurs propositions, et publie </w:t>
            </w:r>
            <w:r w:rsidRPr="00A40C89">
              <w:rPr>
                <w:lang w:val="fr-FR"/>
              </w:rPr>
              <w:t xml:space="preserve">le procès-verbal d’attribution provisoire. </w:t>
            </w:r>
          </w:p>
          <w:p w:rsidR="004C6182" w:rsidRDefault="004C6182" w:rsidP="004C6182">
            <w:pPr>
              <w:pStyle w:val="Header3-Paragraph"/>
              <w:numPr>
                <w:ilvl w:val="1"/>
                <w:numId w:val="21"/>
              </w:numPr>
              <w:overflowPunct/>
              <w:autoSpaceDE/>
              <w:autoSpaceDN/>
              <w:adjustRightInd/>
              <w:spacing w:after="220"/>
              <w:textAlignment w:val="auto"/>
              <w:rPr>
                <w:lang w:val="fr-FR"/>
              </w:rPr>
            </w:pPr>
            <w:r>
              <w:rPr>
                <w:lang w:val="fr-FR"/>
              </w:rPr>
              <w:t xml:space="preserve"> </w:t>
            </w:r>
            <w:r w:rsidRPr="008D38AC">
              <w:rPr>
                <w:lang w:val="fr-FR"/>
              </w:rPr>
              <w:t>Le procès-verbal d’attribution provisoire mentionnera : (i) le ou les soumissionnaires retenus, (ii) les noms des soumissionnaires exclus et les motifs de rejet de leurs propositions, (iii)les principales dispositions permettant l’établissement du marché, et, en particulier, son objet, les conditions financières, les délais, la part du marché que le soumissionnaire a l’intention de sous-traiter à des tiers, (iv) le nom de l’attributaire et le montant évalué de son offres, et (v) le cas échéant, les raisons pour lesquelles l’autorité contractante a renoncé à passer un marché.</w:t>
            </w:r>
            <w:r w:rsidRPr="00A57593">
              <w:rPr>
                <w:lang w:val="fr-FR"/>
              </w:rPr>
              <w:t xml:space="preserve"> Tout Candidat ayant présenté une proposition non retenue pourra demander par écrit à l’Autorité contractante une explication quant aux motifs pour lesquels sa proposition n’a pas été retenue. L’Autorité contractante répondra par écrit au Candidat dans un délai de cinq (5) jours ouvrables à compter de la date de réception de sa demande.</w:t>
            </w:r>
          </w:p>
          <w:p w:rsidR="004C6182" w:rsidRPr="00380D41" w:rsidRDefault="004C6182" w:rsidP="004C6182">
            <w:pPr>
              <w:pStyle w:val="Header3-Paragraph"/>
              <w:numPr>
                <w:ilvl w:val="1"/>
                <w:numId w:val="21"/>
              </w:numPr>
              <w:overflowPunct/>
              <w:autoSpaceDE/>
              <w:autoSpaceDN/>
              <w:adjustRightInd/>
              <w:spacing w:after="220"/>
              <w:textAlignment w:val="auto"/>
              <w:rPr>
                <w:lang w:val="fr-FR"/>
              </w:rPr>
            </w:pPr>
            <w:r w:rsidRPr="00380D41">
              <w:rPr>
                <w:lang w:val="fr-FR"/>
              </w:rPr>
              <w:t xml:space="preserve"> Dans les quinze (15) jours calendaires de l’entrée en vigueur du marché, l’autorité contractante publie un avis d’attribution définitive.</w:t>
            </w:r>
          </w:p>
        </w:tc>
      </w:tr>
      <w:tr w:rsidR="004C6182" w:rsidRPr="00A4172D" w:rsidTr="007C5949">
        <w:tc>
          <w:tcPr>
            <w:tcW w:w="2160" w:type="dxa"/>
          </w:tcPr>
          <w:p w:rsidR="004C6182" w:rsidRPr="00A57593" w:rsidRDefault="004C6182" w:rsidP="004C6182">
            <w:pPr>
              <w:pStyle w:val="Header3-Paragraph"/>
              <w:numPr>
                <w:ilvl w:val="0"/>
                <w:numId w:val="18"/>
              </w:numPr>
              <w:tabs>
                <w:tab w:val="left" w:pos="708"/>
              </w:tabs>
              <w:overflowPunct/>
              <w:autoSpaceDE/>
              <w:adjustRightInd/>
              <w:spacing w:after="220"/>
              <w:textAlignment w:val="auto"/>
              <w:rPr>
                <w:b/>
                <w:lang w:val="fr-FR"/>
              </w:rPr>
            </w:pPr>
            <w:bookmarkStart w:id="31" w:name="_Toc188501983"/>
            <w:bookmarkStart w:id="32" w:name="_Toc188954959"/>
            <w:r w:rsidRPr="00A57593">
              <w:rPr>
                <w:b/>
                <w:lang w:val="fr-FR"/>
              </w:rPr>
              <w:t xml:space="preserve"> Recours</w:t>
            </w:r>
            <w:bookmarkEnd w:id="31"/>
            <w:bookmarkEnd w:id="32"/>
          </w:p>
        </w:tc>
        <w:tc>
          <w:tcPr>
            <w:tcW w:w="7110" w:type="dxa"/>
          </w:tcPr>
          <w:p w:rsidR="004C6182" w:rsidRPr="008D38AC" w:rsidRDefault="004C6182" w:rsidP="004C6182">
            <w:pPr>
              <w:pStyle w:val="Header3-Paragraph"/>
              <w:numPr>
                <w:ilvl w:val="1"/>
                <w:numId w:val="18"/>
              </w:numPr>
              <w:tabs>
                <w:tab w:val="clear" w:pos="504"/>
                <w:tab w:val="left" w:pos="708"/>
              </w:tabs>
              <w:overflowPunct/>
              <w:autoSpaceDE/>
              <w:adjustRightInd/>
              <w:spacing w:after="220"/>
              <w:textAlignment w:val="auto"/>
              <w:rPr>
                <w:lang w:val="fr-FR"/>
              </w:rPr>
            </w:pPr>
            <w:r w:rsidRPr="008D38AC">
              <w:rPr>
                <w:lang w:val="fr-FR"/>
              </w:rPr>
              <w:t xml:space="preserve">Tout candidat ou soumissionnaire s’estimant injustement évincé des procédures de passation des marchés peut introduire un recours effectif préalable à l’encontre des procédures et décisions rendues à l’occasion de la procédure de passation leur causant préjudice, devant la personne responsable des marchés publics. Une copie de ce recours est adressée à l’autorité de régulation des marchés publics. Ce recours est exercé soit par lettre recommandée avec accusé de réception, soit par tout moyen de communication électronique selon les modalités définies par le Code des marchés publics et ses décrets d’application. Ce recours peut porter sur la décision prise en matière de pré qualification ou d’établissement de la liste restreinte, la décision d’attribuer ou de ne pas attribuer le marché, les conditions de publication des avis, les règles relatives à </w:t>
            </w:r>
            <w:r w:rsidRPr="008D38AC">
              <w:rPr>
                <w:lang w:val="fr-FR"/>
              </w:rPr>
              <w:lastRenderedPageBreak/>
              <w:t>la participation des candidats et aux capacités et garanties exigées, la procédure de passation et de sélection retenue, les spécifications techniques retenues, les critères d’évaluation. Il doit invoquer une infraction caractérisée de la réglementation des marchés publics. Il doit être exercé au plus tard dix (10) jours ouvrables à compter de la date de  la publication de la décision incriminée.</w:t>
            </w:r>
          </w:p>
          <w:p w:rsidR="004C6182" w:rsidRPr="008D38AC" w:rsidRDefault="004C6182" w:rsidP="004C6182">
            <w:pPr>
              <w:pStyle w:val="Header3-Paragraph"/>
              <w:numPr>
                <w:ilvl w:val="1"/>
                <w:numId w:val="18"/>
              </w:numPr>
              <w:tabs>
                <w:tab w:val="clear" w:pos="504"/>
                <w:tab w:val="left" w:pos="708"/>
              </w:tabs>
              <w:overflowPunct/>
              <w:autoSpaceDE/>
              <w:adjustRightInd/>
              <w:spacing w:after="220"/>
              <w:textAlignment w:val="auto"/>
              <w:rPr>
                <w:lang w:val="fr-FR"/>
              </w:rPr>
            </w:pPr>
            <w:r w:rsidRPr="008D38AC">
              <w:rPr>
                <w:lang w:val="fr-FR"/>
              </w:rPr>
              <w:t xml:space="preserve">La personne responsable du marché est tenue de répondre à cette réclamation dans un délai de cinq (5) jours ouvrables. Les décisions rendues par la personne responsable des marchés publics peuvent faire l’objet de recours devant l’autorité de régulation des marchés publics dans un délai maximum de cinq (5) jours ouvrables à compter de la date de notification de la décision faisant grief. </w:t>
            </w:r>
          </w:p>
          <w:p w:rsidR="004C6182" w:rsidRPr="008D38AC" w:rsidRDefault="004C6182" w:rsidP="004C6182">
            <w:pPr>
              <w:pStyle w:val="Header3-Paragraph"/>
              <w:numPr>
                <w:ilvl w:val="1"/>
                <w:numId w:val="18"/>
              </w:numPr>
              <w:tabs>
                <w:tab w:val="clear" w:pos="504"/>
                <w:tab w:val="left" w:pos="708"/>
              </w:tabs>
              <w:overflowPunct/>
              <w:autoSpaceDE/>
              <w:adjustRightInd/>
              <w:spacing w:after="220"/>
              <w:textAlignment w:val="auto"/>
              <w:rPr>
                <w:lang w:val="fr-FR"/>
              </w:rPr>
            </w:pPr>
            <w:r w:rsidRPr="008D38AC">
              <w:rPr>
                <w:lang w:val="fr-FR"/>
              </w:rPr>
              <w:t>En l’absence de décision rendue par la personne responsable des marchés publics dans les cinq (5) jours ouvrables à compter de la date de la saisine, le requérant peut également saisir l’autorité de régulation des marchés publics qui rend sa décision dans les sept (7) jours ouvrables de la date la saisine, faute de quoi l’attribution du marché ne peut plus être suspendu.</w:t>
            </w:r>
          </w:p>
        </w:tc>
      </w:tr>
    </w:tbl>
    <w:p w:rsidR="0072638E" w:rsidRDefault="0072638E"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4C6182" w:rsidRDefault="004C6182" w:rsidP="0072638E">
      <w:pPr>
        <w:tabs>
          <w:tab w:val="left" w:pos="720"/>
          <w:tab w:val="right" w:leader="dot" w:pos="8640"/>
        </w:tabs>
      </w:pPr>
    </w:p>
    <w:p w:rsidR="00C276F3" w:rsidRPr="00C951C0" w:rsidRDefault="00C276F3" w:rsidP="00C276F3">
      <w:pPr>
        <w:pStyle w:val="Heading1"/>
      </w:pPr>
      <w:bookmarkStart w:id="33" w:name="_Toc72513659"/>
      <w:bookmarkStart w:id="34" w:name="_Toc72514639"/>
      <w:bookmarkStart w:id="35" w:name="_Toc72514818"/>
      <w:bookmarkStart w:id="36" w:name="_Toc72515053"/>
      <w:bookmarkStart w:id="37" w:name="_Toc189450392"/>
      <w:r>
        <w:lastRenderedPageBreak/>
        <w:t xml:space="preserve">Section 3. </w:t>
      </w:r>
      <w:r w:rsidRPr="007C7642">
        <w:t>Données</w:t>
      </w:r>
      <w:r>
        <w:t xml:space="preserve"> particulières</w:t>
      </w:r>
      <w:bookmarkEnd w:id="33"/>
      <w:bookmarkEnd w:id="34"/>
      <w:bookmarkEnd w:id="35"/>
      <w:bookmarkEnd w:id="36"/>
      <w:bookmarkEnd w:id="37"/>
      <w:r>
        <w:t xml:space="preserve"> de la DDP</w:t>
      </w:r>
    </w:p>
    <w:p w:rsidR="00C276F3" w:rsidRDefault="00C276F3" w:rsidP="00C276F3"/>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73"/>
      </w:tblGrid>
      <w:tr w:rsidR="00C276F3" w:rsidTr="007C5949">
        <w:tc>
          <w:tcPr>
            <w:tcW w:w="1773" w:type="dxa"/>
            <w:tcBorders>
              <w:top w:val="single" w:sz="6" w:space="0" w:color="auto"/>
            </w:tcBorders>
            <w:vAlign w:val="center"/>
          </w:tcPr>
          <w:p w:rsidR="00C276F3" w:rsidRDefault="00C276F3" w:rsidP="007C5949">
            <w:pPr>
              <w:jc w:val="center"/>
            </w:pPr>
            <w:r>
              <w:rPr>
                <w:b/>
              </w:rPr>
              <w:t>Clause des IC</w:t>
            </w:r>
          </w:p>
        </w:tc>
        <w:tc>
          <w:tcPr>
            <w:tcW w:w="7373" w:type="dxa"/>
            <w:tcBorders>
              <w:top w:val="single" w:sz="6" w:space="0" w:color="auto"/>
            </w:tcBorders>
          </w:tcPr>
          <w:p w:rsidR="00C276F3" w:rsidRDefault="00C276F3" w:rsidP="007C5949">
            <w:pPr>
              <w:pStyle w:val="BankNormal"/>
              <w:tabs>
                <w:tab w:val="right" w:pos="7218"/>
              </w:tabs>
              <w:spacing w:after="160"/>
              <w:jc w:val="both"/>
              <w:rPr>
                <w:lang w:eastAsia="it-IT"/>
              </w:rPr>
            </w:pPr>
          </w:p>
        </w:tc>
      </w:tr>
      <w:tr w:rsidR="00C276F3" w:rsidTr="007C5949">
        <w:tc>
          <w:tcPr>
            <w:tcW w:w="1773" w:type="dxa"/>
          </w:tcPr>
          <w:p w:rsidR="00C276F3" w:rsidRDefault="00C276F3" w:rsidP="007C5949">
            <w:pPr>
              <w:rPr>
                <w:b/>
              </w:rPr>
            </w:pPr>
            <w:bookmarkStart w:id="38" w:name="_Toc64435216"/>
            <w:bookmarkStart w:id="39" w:name="_Toc64435406"/>
            <w:bookmarkStart w:id="40" w:name="_Toc64435596"/>
            <w:r>
              <w:rPr>
                <w:b/>
              </w:rPr>
              <w:t>1.1</w:t>
            </w:r>
            <w:bookmarkEnd w:id="38"/>
            <w:bookmarkEnd w:id="39"/>
            <w:bookmarkEnd w:id="40"/>
          </w:p>
          <w:p w:rsidR="00C276F3" w:rsidRDefault="00C276F3" w:rsidP="007C5949">
            <w:pPr>
              <w:pStyle w:val="BankNormal"/>
              <w:spacing w:after="0"/>
              <w:rPr>
                <w:b/>
                <w:sz w:val="20"/>
                <w:lang w:eastAsia="it-IT"/>
              </w:rPr>
            </w:pPr>
          </w:p>
        </w:tc>
        <w:tc>
          <w:tcPr>
            <w:tcW w:w="7373" w:type="dxa"/>
          </w:tcPr>
          <w:p w:rsidR="00C276F3" w:rsidRPr="008D38AC" w:rsidRDefault="00C276F3" w:rsidP="007C5949">
            <w:pPr>
              <w:tabs>
                <w:tab w:val="left" w:pos="567"/>
                <w:tab w:val="right" w:pos="7306"/>
              </w:tabs>
              <w:spacing w:after="160"/>
              <w:ind w:left="567" w:hanging="567"/>
              <w:jc w:val="both"/>
              <w:rPr>
                <w:u w:val="single"/>
              </w:rPr>
            </w:pPr>
            <w:r w:rsidRPr="008D38AC">
              <w:t xml:space="preserve">Nom de l’Autorité contractante: </w:t>
            </w:r>
            <w:r>
              <w:t>INITIATIVE POUR LA TRANSPARENCE DANS LES INDUSTRIES EXTRACTIVES ITIE-TOGO</w:t>
            </w:r>
          </w:p>
          <w:p w:rsidR="00C276F3" w:rsidRPr="00A40C89" w:rsidRDefault="00C276F3" w:rsidP="007C5949">
            <w:pPr>
              <w:jc w:val="both"/>
            </w:pPr>
          </w:p>
          <w:p w:rsidR="00C276F3" w:rsidRDefault="00C276F3" w:rsidP="007C5949">
            <w:pPr>
              <w:jc w:val="both"/>
            </w:pPr>
            <w:r w:rsidRPr="00A40C89">
              <w:t xml:space="preserve">Méthode de sélection: </w:t>
            </w:r>
            <w:r w:rsidRPr="001C3C53">
              <w:rPr>
                <w:u w:val="single"/>
              </w:rPr>
              <w:t>Sélection Fondée sur la Qualité Coût</w:t>
            </w:r>
            <w:r>
              <w:t>.</w:t>
            </w:r>
          </w:p>
          <w:p w:rsidR="00C276F3" w:rsidRPr="008D38AC" w:rsidRDefault="00C276F3" w:rsidP="007C5949">
            <w:pPr>
              <w:jc w:val="both"/>
              <w:rPr>
                <w:i/>
              </w:rPr>
            </w:pPr>
          </w:p>
        </w:tc>
      </w:tr>
      <w:tr w:rsidR="00C276F3" w:rsidTr="007C5949">
        <w:tc>
          <w:tcPr>
            <w:tcW w:w="1773" w:type="dxa"/>
          </w:tcPr>
          <w:p w:rsidR="00C276F3" w:rsidRDefault="00C276F3" w:rsidP="007C5949">
            <w:pPr>
              <w:rPr>
                <w:b/>
              </w:rPr>
            </w:pPr>
            <w:r>
              <w:rPr>
                <w:b/>
              </w:rPr>
              <w:t>1.2</w:t>
            </w:r>
          </w:p>
        </w:tc>
        <w:tc>
          <w:tcPr>
            <w:tcW w:w="7373" w:type="dxa"/>
          </w:tcPr>
          <w:p w:rsidR="00C276F3" w:rsidRDefault="00C276F3" w:rsidP="007C5949">
            <w:pPr>
              <w:tabs>
                <w:tab w:val="left" w:pos="567"/>
                <w:tab w:val="right" w:pos="7306"/>
              </w:tabs>
              <w:spacing w:after="160"/>
              <w:ind w:left="567" w:hanging="567"/>
              <w:jc w:val="both"/>
            </w:pPr>
            <w:r>
              <w:t xml:space="preserve">Description de la mission: </w:t>
            </w:r>
            <w:r>
              <w:rPr>
                <w:b/>
              </w:rPr>
              <w:t>C</w:t>
            </w:r>
            <w:r w:rsidRPr="008D5FD5">
              <w:rPr>
                <w:b/>
              </w:rPr>
              <w:t xml:space="preserve">ollecte et </w:t>
            </w:r>
            <w:r>
              <w:rPr>
                <w:b/>
              </w:rPr>
              <w:t>R</w:t>
            </w:r>
            <w:r w:rsidRPr="008D5FD5">
              <w:rPr>
                <w:b/>
              </w:rPr>
              <w:t>éconciliation des paiements effectués par les sociétés extractives à l’Etat et les recettes  perçues par l’Etat des dites sociétés</w:t>
            </w:r>
            <w:r>
              <w:rPr>
                <w:b/>
              </w:rPr>
              <w:t xml:space="preserve"> pour les exercices 2012 et 2013</w:t>
            </w:r>
            <w:r w:rsidRPr="008D5FD5">
              <w:rPr>
                <w:b/>
              </w:rPr>
              <w:t>.</w:t>
            </w:r>
          </w:p>
        </w:tc>
      </w:tr>
      <w:tr w:rsidR="00C276F3" w:rsidRPr="00041FB5" w:rsidTr="007C5949">
        <w:tc>
          <w:tcPr>
            <w:tcW w:w="1773" w:type="dxa"/>
          </w:tcPr>
          <w:p w:rsidR="00C276F3" w:rsidRDefault="00C276F3" w:rsidP="007C5949">
            <w:pPr>
              <w:rPr>
                <w:b/>
              </w:rPr>
            </w:pPr>
            <w:r>
              <w:br w:type="page"/>
            </w:r>
            <w:r>
              <w:rPr>
                <w:b/>
              </w:rPr>
              <w:t>1.3</w:t>
            </w:r>
          </w:p>
          <w:p w:rsidR="00C276F3" w:rsidRDefault="00C276F3" w:rsidP="007C5949">
            <w:pPr>
              <w:pStyle w:val="Heading3"/>
            </w:pPr>
          </w:p>
        </w:tc>
        <w:tc>
          <w:tcPr>
            <w:tcW w:w="7373" w:type="dxa"/>
          </w:tcPr>
          <w:p w:rsidR="00C276F3" w:rsidRDefault="00C276F3" w:rsidP="007C5949">
            <w:pPr>
              <w:tabs>
                <w:tab w:val="left" w:pos="567"/>
                <w:tab w:val="left" w:pos="4786"/>
                <w:tab w:val="left" w:pos="5686"/>
                <w:tab w:val="right" w:pos="7306"/>
              </w:tabs>
              <w:spacing w:after="160"/>
              <w:jc w:val="both"/>
            </w:pPr>
            <w:r>
              <w:t xml:space="preserve">Réunion (s) préalable (s) à l’établissement des propositions : </w:t>
            </w:r>
            <w:r w:rsidRPr="009B23F9">
              <w:rPr>
                <w:b/>
              </w:rPr>
              <w:t>Non</w:t>
            </w:r>
            <w:r>
              <w:t xml:space="preserve"> </w:t>
            </w:r>
          </w:p>
          <w:p w:rsidR="00C276F3" w:rsidRPr="00362B0D" w:rsidRDefault="00C276F3" w:rsidP="007C5949">
            <w:pPr>
              <w:tabs>
                <w:tab w:val="left" w:pos="567"/>
                <w:tab w:val="left" w:pos="4786"/>
                <w:tab w:val="left" w:pos="5686"/>
                <w:tab w:val="right" w:pos="7306"/>
              </w:tabs>
              <w:spacing w:after="160"/>
              <w:jc w:val="both"/>
              <w:rPr>
                <w:b/>
              </w:rPr>
            </w:pPr>
            <w:r>
              <w:t xml:space="preserve">Le représentant de l’Autorité contractante est: </w:t>
            </w:r>
            <w:r>
              <w:rPr>
                <w:b/>
              </w:rPr>
              <w:t>M. AGBEMADON Kokou Didier</w:t>
            </w:r>
            <w:r w:rsidRPr="00362B0D">
              <w:rPr>
                <w:b/>
              </w:rPr>
              <w:t>, Coordonnateur National de l’ITIE- TOGO.</w:t>
            </w:r>
          </w:p>
          <w:p w:rsidR="00C276F3" w:rsidRPr="00362B0D" w:rsidRDefault="00C276F3" w:rsidP="007C5949">
            <w:pPr>
              <w:tabs>
                <w:tab w:val="left" w:pos="567"/>
                <w:tab w:val="left" w:pos="4786"/>
                <w:tab w:val="left" w:pos="5686"/>
                <w:tab w:val="right" w:pos="7306"/>
              </w:tabs>
              <w:spacing w:after="160"/>
              <w:jc w:val="both"/>
              <w:rPr>
                <w:b/>
              </w:rPr>
            </w:pPr>
            <w:r>
              <w:t xml:space="preserve">Adresse(s): </w:t>
            </w:r>
            <w:r w:rsidRPr="00362B0D">
              <w:rPr>
                <w:b/>
              </w:rPr>
              <w:t xml:space="preserve">4412 Boulevard Jean Paul II  08 B.P. 82 88 Lomé. </w:t>
            </w:r>
          </w:p>
          <w:p w:rsidR="00C276F3" w:rsidRDefault="00C276F3" w:rsidP="007C5949">
            <w:pPr>
              <w:pStyle w:val="BodyText"/>
              <w:tabs>
                <w:tab w:val="right" w:pos="7306"/>
              </w:tabs>
              <w:spacing w:after="160"/>
            </w:pPr>
            <w:r>
              <w:t xml:space="preserve">No. De téléphone: </w:t>
            </w:r>
            <w:r w:rsidRPr="00362B0D">
              <w:rPr>
                <w:b/>
              </w:rPr>
              <w:t xml:space="preserve">Tél : 22 42 08 86 ; 90 02 36 </w:t>
            </w:r>
            <w:proofErr w:type="spellStart"/>
            <w:r w:rsidRPr="00362B0D">
              <w:rPr>
                <w:b/>
              </w:rPr>
              <w:t>36</w:t>
            </w:r>
            <w:proofErr w:type="spellEnd"/>
            <w:r w:rsidRPr="00362B0D">
              <w:rPr>
                <w:b/>
              </w:rPr>
              <w:t>.</w:t>
            </w:r>
            <w:r>
              <w:rPr>
                <w:b/>
              </w:rPr>
              <w:t xml:space="preserve"> 22 26 89 90</w:t>
            </w:r>
            <w:r>
              <w:t xml:space="preserve">                            </w:t>
            </w:r>
          </w:p>
          <w:p w:rsidR="00C276F3" w:rsidRPr="00041FB5" w:rsidRDefault="00C276F3" w:rsidP="007C5949">
            <w:pPr>
              <w:pStyle w:val="BodyText"/>
              <w:tabs>
                <w:tab w:val="right" w:pos="7306"/>
              </w:tabs>
              <w:spacing w:after="160"/>
            </w:pPr>
            <w:r w:rsidRPr="00041FB5">
              <w:t xml:space="preserve">E-mail </w:t>
            </w:r>
            <w:r w:rsidRPr="00041FB5">
              <w:rPr>
                <w:b/>
              </w:rPr>
              <w:t xml:space="preserve">: </w:t>
            </w:r>
            <w:hyperlink r:id="rId20" w:history="1">
              <w:r w:rsidRPr="00041FB5">
                <w:rPr>
                  <w:rStyle w:val="Hyperlink"/>
                  <w:b/>
                </w:rPr>
                <w:t>ico.kodiera@yahoo.fr</w:t>
              </w:r>
            </w:hyperlink>
            <w:r w:rsidRPr="00041FB5">
              <w:rPr>
                <w:b/>
              </w:rPr>
              <w:t xml:space="preserve">, </w:t>
            </w:r>
            <w:hyperlink r:id="rId21" w:history="1">
              <w:r w:rsidRPr="00041FB5">
                <w:rPr>
                  <w:rStyle w:val="Hyperlink"/>
                  <w:b/>
                </w:rPr>
                <w:t>itietogo@yahoo.fr</w:t>
              </w:r>
            </w:hyperlink>
            <w:r>
              <w:t>.</w:t>
            </w:r>
          </w:p>
        </w:tc>
      </w:tr>
      <w:tr w:rsidR="00C276F3" w:rsidTr="007C5949">
        <w:tblPrEx>
          <w:tblBorders>
            <w:top w:val="single" w:sz="6" w:space="0" w:color="auto"/>
          </w:tblBorders>
        </w:tblPrEx>
        <w:tc>
          <w:tcPr>
            <w:tcW w:w="1773" w:type="dxa"/>
          </w:tcPr>
          <w:p w:rsidR="00C276F3" w:rsidRDefault="00C276F3" w:rsidP="007C5949">
            <w:pPr>
              <w:rPr>
                <w:b/>
              </w:rPr>
            </w:pPr>
            <w:r>
              <w:rPr>
                <w:b/>
              </w:rPr>
              <w:t>1.4</w:t>
            </w:r>
          </w:p>
        </w:tc>
        <w:tc>
          <w:tcPr>
            <w:tcW w:w="7373" w:type="dxa"/>
          </w:tcPr>
          <w:p w:rsidR="00C276F3" w:rsidRPr="00170B69" w:rsidRDefault="00C276F3" w:rsidP="007C5949">
            <w:pPr>
              <w:tabs>
                <w:tab w:val="left" w:pos="567"/>
                <w:tab w:val="right" w:pos="7306"/>
              </w:tabs>
              <w:spacing w:after="160"/>
              <w:jc w:val="both"/>
              <w:rPr>
                <w:u w:val="single"/>
              </w:rPr>
            </w:pPr>
            <w:r>
              <w:t>L’Autorité contractante fournit le personnel de contrepartie, et les services et installations suivants : toute la documentation nécessaire à la mission.</w:t>
            </w:r>
          </w:p>
        </w:tc>
      </w:tr>
      <w:tr w:rsidR="00C276F3" w:rsidTr="007C5949">
        <w:tblPrEx>
          <w:tblBorders>
            <w:top w:val="single" w:sz="6" w:space="0" w:color="auto"/>
          </w:tblBorders>
        </w:tblPrEx>
        <w:tc>
          <w:tcPr>
            <w:tcW w:w="1773" w:type="dxa"/>
          </w:tcPr>
          <w:p w:rsidR="00C276F3" w:rsidRDefault="00C276F3" w:rsidP="007C5949">
            <w:pPr>
              <w:rPr>
                <w:b/>
              </w:rPr>
            </w:pPr>
            <w:r>
              <w:rPr>
                <w:b/>
              </w:rPr>
              <w:t>6.</w:t>
            </w:r>
          </w:p>
          <w:p w:rsidR="00C276F3" w:rsidRDefault="00C276F3" w:rsidP="007C5949"/>
        </w:tc>
        <w:tc>
          <w:tcPr>
            <w:tcW w:w="7373" w:type="dxa"/>
          </w:tcPr>
          <w:p w:rsidR="00C276F3" w:rsidRDefault="00C276F3" w:rsidP="007C5949">
            <w:pPr>
              <w:pStyle w:val="BodyText"/>
              <w:tabs>
                <w:tab w:val="left" w:pos="3346"/>
                <w:tab w:val="right" w:pos="7486"/>
              </w:tabs>
              <w:spacing w:after="160"/>
              <w:rPr>
                <w:lang w:eastAsia="it-IT"/>
              </w:rPr>
            </w:pPr>
            <w:r>
              <w:t xml:space="preserve">La Proposition doit rester valable pendant </w:t>
            </w:r>
            <w:r w:rsidRPr="00364D71">
              <w:rPr>
                <w:b/>
              </w:rPr>
              <w:t>90 Jours</w:t>
            </w:r>
            <w:r>
              <w:t>,  à compter de la date de soumission.</w:t>
            </w:r>
          </w:p>
        </w:tc>
      </w:tr>
      <w:tr w:rsidR="00C276F3" w:rsidTr="007C5949">
        <w:tblPrEx>
          <w:tblBorders>
            <w:top w:val="single" w:sz="6" w:space="0" w:color="auto"/>
          </w:tblBorders>
        </w:tblPrEx>
        <w:tc>
          <w:tcPr>
            <w:tcW w:w="1773" w:type="dxa"/>
          </w:tcPr>
          <w:p w:rsidR="00C276F3" w:rsidRDefault="00C276F3" w:rsidP="007C5949">
            <w:pPr>
              <w:rPr>
                <w:b/>
              </w:rPr>
            </w:pPr>
            <w:r>
              <w:rPr>
                <w:b/>
              </w:rPr>
              <w:t>8.1</w:t>
            </w:r>
          </w:p>
        </w:tc>
        <w:tc>
          <w:tcPr>
            <w:tcW w:w="7373" w:type="dxa"/>
          </w:tcPr>
          <w:p w:rsidR="00C276F3" w:rsidRPr="00364D71" w:rsidRDefault="00C276F3" w:rsidP="007C5949">
            <w:pPr>
              <w:pStyle w:val="BodyText"/>
              <w:tabs>
                <w:tab w:val="right" w:pos="7306"/>
              </w:tabs>
              <w:spacing w:after="160"/>
              <w:rPr>
                <w:b/>
              </w:rPr>
            </w:pPr>
            <w:r>
              <w:t xml:space="preserve">Les demandes d’éclaircissement doivent être expédiées à l’adresse suivante: </w:t>
            </w:r>
            <w:r w:rsidRPr="00364D71">
              <w:rPr>
                <w:b/>
              </w:rPr>
              <w:t xml:space="preserve">Secrétariat Technique de l’ITIE-TOGO </w:t>
            </w:r>
          </w:p>
          <w:p w:rsidR="00C276F3" w:rsidRPr="00364D71" w:rsidRDefault="00C276F3" w:rsidP="007C5949">
            <w:pPr>
              <w:pStyle w:val="BodyText"/>
              <w:tabs>
                <w:tab w:val="right" w:pos="7306"/>
              </w:tabs>
              <w:spacing w:after="160"/>
              <w:rPr>
                <w:b/>
              </w:rPr>
            </w:pPr>
            <w:r>
              <w:rPr>
                <w:b/>
              </w:rPr>
              <w:t>08 B.P</w:t>
            </w:r>
            <w:r w:rsidRPr="00364D71">
              <w:rPr>
                <w:b/>
              </w:rPr>
              <w:t xml:space="preserve"> : 82 88 Lomé </w:t>
            </w:r>
          </w:p>
          <w:p w:rsidR="00C276F3" w:rsidRPr="00364D71" w:rsidRDefault="00C276F3" w:rsidP="007C5949">
            <w:pPr>
              <w:pStyle w:val="BodyText"/>
              <w:tabs>
                <w:tab w:val="right" w:pos="7306"/>
              </w:tabs>
              <w:spacing w:after="160"/>
              <w:rPr>
                <w:b/>
              </w:rPr>
            </w:pPr>
            <w:r>
              <w:rPr>
                <w:b/>
              </w:rPr>
              <w:t xml:space="preserve">4412 </w:t>
            </w:r>
            <w:proofErr w:type="spellStart"/>
            <w:r>
              <w:rPr>
                <w:b/>
              </w:rPr>
              <w:t>B</w:t>
            </w:r>
            <w:r w:rsidRPr="00364D71">
              <w:rPr>
                <w:b/>
              </w:rPr>
              <w:t>vd</w:t>
            </w:r>
            <w:proofErr w:type="spellEnd"/>
            <w:r w:rsidRPr="00364D71">
              <w:rPr>
                <w:b/>
              </w:rPr>
              <w:t xml:space="preserve"> Jean Paul II </w:t>
            </w:r>
          </w:p>
          <w:p w:rsidR="00C276F3" w:rsidRPr="00364D71" w:rsidRDefault="00C276F3" w:rsidP="007C5949">
            <w:pPr>
              <w:pStyle w:val="BodyText"/>
              <w:tabs>
                <w:tab w:val="right" w:pos="7306"/>
              </w:tabs>
              <w:spacing w:after="160"/>
              <w:rPr>
                <w:b/>
                <w:u w:val="single"/>
              </w:rPr>
            </w:pPr>
            <w:r w:rsidRPr="00364D71">
              <w:rPr>
                <w:b/>
              </w:rPr>
              <w:t>Tél : 22 26 8</w:t>
            </w:r>
            <w:r>
              <w:rPr>
                <w:b/>
              </w:rPr>
              <w:t>9 90 ; 22 42 08 86</w:t>
            </w:r>
            <w:r w:rsidRPr="00364D71">
              <w:rPr>
                <w:b/>
              </w:rPr>
              <w:t>.</w:t>
            </w:r>
          </w:p>
          <w:p w:rsidR="00C276F3" w:rsidRPr="00364D71" w:rsidRDefault="00C276F3" w:rsidP="007C5949">
            <w:pPr>
              <w:pStyle w:val="BodyText"/>
              <w:tabs>
                <w:tab w:val="right" w:pos="7306"/>
              </w:tabs>
              <w:spacing w:after="160"/>
              <w:rPr>
                <w:b/>
              </w:rPr>
            </w:pPr>
            <w:r w:rsidRPr="00364D71">
              <w:rPr>
                <w:b/>
                <w:u w:val="single"/>
              </w:rPr>
              <w:t>E-mail </w:t>
            </w:r>
            <w:r w:rsidRPr="00364D71">
              <w:rPr>
                <w:b/>
              </w:rPr>
              <w:t xml:space="preserve">: </w:t>
            </w:r>
            <w:hyperlink r:id="rId22" w:history="1">
              <w:r w:rsidRPr="00BB10C5">
                <w:rPr>
                  <w:rStyle w:val="Hyperlink"/>
                  <w:b/>
                </w:rPr>
                <w:t>itietogo@yahoo.fr</w:t>
              </w:r>
            </w:hyperlink>
            <w:r>
              <w:rPr>
                <w:b/>
              </w:rPr>
              <w:t xml:space="preserve">. </w:t>
            </w:r>
          </w:p>
        </w:tc>
      </w:tr>
      <w:tr w:rsidR="00C276F3" w:rsidTr="007C5949">
        <w:tblPrEx>
          <w:tblBorders>
            <w:top w:val="single" w:sz="6" w:space="0" w:color="auto"/>
          </w:tblBorders>
        </w:tblPrEx>
        <w:tc>
          <w:tcPr>
            <w:tcW w:w="1773" w:type="dxa"/>
          </w:tcPr>
          <w:p w:rsidR="00C276F3" w:rsidRDefault="00C276F3" w:rsidP="007C5949">
            <w:pPr>
              <w:rPr>
                <w:b/>
              </w:rPr>
            </w:pPr>
            <w:r>
              <w:rPr>
                <w:b/>
              </w:rPr>
              <w:t>9.3 (a)</w:t>
            </w:r>
          </w:p>
          <w:p w:rsidR="00C276F3" w:rsidRDefault="00C276F3" w:rsidP="007C5949">
            <w:pPr>
              <w:rPr>
                <w:b/>
                <w:sz w:val="20"/>
              </w:rPr>
            </w:pPr>
          </w:p>
        </w:tc>
        <w:tc>
          <w:tcPr>
            <w:tcW w:w="7373" w:type="dxa"/>
          </w:tcPr>
          <w:p w:rsidR="00C276F3" w:rsidRDefault="00C276F3" w:rsidP="007C5949">
            <w:pPr>
              <w:tabs>
                <w:tab w:val="left" w:pos="826"/>
                <w:tab w:val="left" w:pos="1726"/>
                <w:tab w:val="right" w:pos="7306"/>
              </w:tabs>
              <w:spacing w:after="160"/>
              <w:jc w:val="both"/>
              <w:rPr>
                <w:b/>
              </w:rPr>
            </w:pPr>
            <w:r>
              <w:t xml:space="preserve">Des Candidats présélectionnés peuvent s’associer avec un autre Candidat  </w:t>
            </w:r>
            <w:r w:rsidRPr="00364D71">
              <w:rPr>
                <w:b/>
              </w:rPr>
              <w:t>Non</w:t>
            </w:r>
          </w:p>
        </w:tc>
      </w:tr>
      <w:tr w:rsidR="00C276F3" w:rsidTr="007C5949">
        <w:tblPrEx>
          <w:tblBorders>
            <w:top w:val="single" w:sz="6" w:space="0" w:color="auto"/>
          </w:tblBorders>
        </w:tblPrEx>
        <w:tc>
          <w:tcPr>
            <w:tcW w:w="1773" w:type="dxa"/>
          </w:tcPr>
          <w:p w:rsidR="00C276F3" w:rsidRDefault="00C276F3" w:rsidP="007C5949">
            <w:pPr>
              <w:rPr>
                <w:b/>
              </w:rPr>
            </w:pPr>
            <w:r>
              <w:rPr>
                <w:b/>
              </w:rPr>
              <w:t>9.3 (b)</w:t>
            </w:r>
          </w:p>
          <w:p w:rsidR="00C276F3" w:rsidRDefault="00C276F3" w:rsidP="007C5949">
            <w:pPr>
              <w:pStyle w:val="Heading4"/>
              <w:rPr>
                <w:lang w:eastAsia="it-IT"/>
              </w:rPr>
            </w:pPr>
          </w:p>
        </w:tc>
        <w:tc>
          <w:tcPr>
            <w:tcW w:w="7373" w:type="dxa"/>
          </w:tcPr>
          <w:p w:rsidR="00C276F3" w:rsidRDefault="00C276F3" w:rsidP="007C5949">
            <w:pPr>
              <w:tabs>
                <w:tab w:val="right" w:pos="7306"/>
              </w:tabs>
              <w:spacing w:after="160"/>
              <w:jc w:val="both"/>
            </w:pPr>
            <w:r>
              <w:t>Le nombre de jours/mois de travail du personnel clé nécessaire à la mission est estimé à : Quatre (04) Hommes/ mois.</w:t>
            </w:r>
          </w:p>
        </w:tc>
      </w:tr>
      <w:tr w:rsidR="00C276F3" w:rsidTr="007C5949">
        <w:tblPrEx>
          <w:tblBorders>
            <w:top w:val="single" w:sz="6" w:space="0" w:color="auto"/>
          </w:tblBorders>
        </w:tblPrEx>
        <w:tc>
          <w:tcPr>
            <w:tcW w:w="1773" w:type="dxa"/>
          </w:tcPr>
          <w:p w:rsidR="00C276F3" w:rsidRDefault="00C276F3" w:rsidP="007C5949">
            <w:pPr>
              <w:rPr>
                <w:b/>
              </w:rPr>
            </w:pPr>
            <w:r>
              <w:rPr>
                <w:b/>
              </w:rPr>
              <w:t>13.3</w:t>
            </w:r>
          </w:p>
          <w:p w:rsidR="00C276F3" w:rsidRDefault="00C276F3" w:rsidP="007C5949">
            <w:pPr>
              <w:pStyle w:val="BankNormal"/>
              <w:tabs>
                <w:tab w:val="right" w:pos="7218"/>
              </w:tabs>
              <w:spacing w:after="0"/>
              <w:rPr>
                <w:b/>
                <w:sz w:val="20"/>
              </w:rPr>
            </w:pPr>
          </w:p>
        </w:tc>
        <w:tc>
          <w:tcPr>
            <w:tcW w:w="7373" w:type="dxa"/>
          </w:tcPr>
          <w:p w:rsidR="00C276F3" w:rsidRDefault="00C276F3" w:rsidP="007C5949">
            <w:pPr>
              <w:pStyle w:val="BankNormal"/>
              <w:tabs>
                <w:tab w:val="left" w:pos="4426"/>
                <w:tab w:val="right" w:pos="7218"/>
              </w:tabs>
              <w:spacing w:after="160"/>
              <w:jc w:val="both"/>
              <w:rPr>
                <w:lang w:eastAsia="it-IT"/>
              </w:rPr>
            </w:pPr>
            <w:r>
              <w:t xml:space="preserve">Le Candidat doit présenter l’original et </w:t>
            </w:r>
            <w:r w:rsidRPr="00DB3E03">
              <w:rPr>
                <w:b/>
              </w:rPr>
              <w:t>trois (03)</w:t>
            </w:r>
            <w:r>
              <w:t xml:space="preserve"> exemplaires de copies de la Proposition technique ainsi que l’original et </w:t>
            </w:r>
            <w:r w:rsidRPr="00DB3E03">
              <w:rPr>
                <w:b/>
              </w:rPr>
              <w:t>trois (03)</w:t>
            </w:r>
            <w:r>
              <w:t xml:space="preserve"> copies de la Proposition financière</w:t>
            </w:r>
          </w:p>
        </w:tc>
      </w:tr>
      <w:tr w:rsidR="00C276F3" w:rsidTr="007C5949">
        <w:tblPrEx>
          <w:tblBorders>
            <w:top w:val="single" w:sz="6" w:space="0" w:color="auto"/>
          </w:tblBorders>
        </w:tblPrEx>
        <w:tc>
          <w:tcPr>
            <w:tcW w:w="1773" w:type="dxa"/>
            <w:tcBorders>
              <w:bottom w:val="single" w:sz="6" w:space="0" w:color="auto"/>
            </w:tcBorders>
          </w:tcPr>
          <w:p w:rsidR="00C276F3" w:rsidRDefault="00C276F3" w:rsidP="007C5949">
            <w:pPr>
              <w:rPr>
                <w:b/>
              </w:rPr>
            </w:pPr>
            <w:r>
              <w:rPr>
                <w:b/>
              </w:rPr>
              <w:t>13.5</w:t>
            </w:r>
          </w:p>
          <w:p w:rsidR="00C276F3" w:rsidRDefault="00C276F3" w:rsidP="007C5949">
            <w:pPr>
              <w:pStyle w:val="BankNormal"/>
              <w:tabs>
                <w:tab w:val="right" w:pos="7218"/>
              </w:tabs>
              <w:spacing w:after="0"/>
              <w:rPr>
                <w:b/>
              </w:rPr>
            </w:pPr>
          </w:p>
        </w:tc>
        <w:tc>
          <w:tcPr>
            <w:tcW w:w="7373" w:type="dxa"/>
            <w:tcBorders>
              <w:bottom w:val="single" w:sz="6" w:space="0" w:color="auto"/>
            </w:tcBorders>
          </w:tcPr>
          <w:p w:rsidR="00C276F3" w:rsidRDefault="00C276F3" w:rsidP="007C5949">
            <w:pPr>
              <w:pStyle w:val="BodyText"/>
              <w:tabs>
                <w:tab w:val="right" w:pos="7306"/>
              </w:tabs>
              <w:spacing w:after="160"/>
            </w:pPr>
            <w:r>
              <w:t>La Proposition doit être envoyée à l’adresse suivante :</w:t>
            </w:r>
          </w:p>
          <w:p w:rsidR="00C276F3" w:rsidRPr="00364D71" w:rsidRDefault="00C276F3" w:rsidP="007C5949">
            <w:pPr>
              <w:pStyle w:val="BodyText"/>
              <w:tabs>
                <w:tab w:val="right" w:pos="7306"/>
              </w:tabs>
              <w:spacing w:after="160"/>
              <w:rPr>
                <w:b/>
              </w:rPr>
            </w:pPr>
            <w:r w:rsidRPr="00364D71">
              <w:rPr>
                <w:b/>
              </w:rPr>
              <w:lastRenderedPageBreak/>
              <w:t xml:space="preserve">Secrétariat Technique de l’ITIE-TOGO </w:t>
            </w:r>
          </w:p>
          <w:p w:rsidR="00C276F3" w:rsidRPr="00364D71" w:rsidRDefault="00C276F3" w:rsidP="007C5949">
            <w:pPr>
              <w:pStyle w:val="BodyText"/>
              <w:tabs>
                <w:tab w:val="right" w:pos="7306"/>
              </w:tabs>
              <w:spacing w:after="160"/>
              <w:rPr>
                <w:b/>
              </w:rPr>
            </w:pPr>
            <w:r w:rsidRPr="00364D71">
              <w:rPr>
                <w:b/>
              </w:rPr>
              <w:t xml:space="preserve">08 B.P. : 82 88 Lomé </w:t>
            </w:r>
          </w:p>
          <w:p w:rsidR="00C276F3" w:rsidRPr="00364D71" w:rsidRDefault="00C276F3" w:rsidP="007C5949">
            <w:pPr>
              <w:pStyle w:val="BodyText"/>
              <w:tabs>
                <w:tab w:val="right" w:pos="7306"/>
              </w:tabs>
              <w:spacing w:after="160"/>
              <w:rPr>
                <w:b/>
              </w:rPr>
            </w:pPr>
            <w:r w:rsidRPr="00364D71">
              <w:rPr>
                <w:b/>
              </w:rPr>
              <w:t xml:space="preserve">4412 Dvd Jean Paul II </w:t>
            </w:r>
          </w:p>
          <w:p w:rsidR="00C276F3" w:rsidRPr="00364D71" w:rsidRDefault="00C276F3" w:rsidP="007C5949">
            <w:pPr>
              <w:pStyle w:val="BodyText"/>
              <w:tabs>
                <w:tab w:val="right" w:pos="7306"/>
              </w:tabs>
              <w:spacing w:after="160"/>
              <w:rPr>
                <w:b/>
                <w:u w:val="single"/>
              </w:rPr>
            </w:pPr>
            <w:r w:rsidRPr="00364D71">
              <w:rPr>
                <w:b/>
              </w:rPr>
              <w:t>Tél : 22 26 8</w:t>
            </w:r>
            <w:r>
              <w:rPr>
                <w:b/>
              </w:rPr>
              <w:t>9 90 ; 22 42 08 86</w:t>
            </w:r>
            <w:r w:rsidRPr="00364D71">
              <w:rPr>
                <w:b/>
              </w:rPr>
              <w:t>.</w:t>
            </w:r>
          </w:p>
          <w:p w:rsidR="00C276F3" w:rsidRPr="00EC17EC" w:rsidRDefault="00C276F3" w:rsidP="007C5949">
            <w:pPr>
              <w:pStyle w:val="BankNormal"/>
              <w:tabs>
                <w:tab w:val="right" w:pos="7218"/>
              </w:tabs>
              <w:spacing w:after="160"/>
              <w:jc w:val="both"/>
            </w:pPr>
            <w:r w:rsidRPr="00364D71">
              <w:rPr>
                <w:b/>
                <w:u w:val="single"/>
              </w:rPr>
              <w:t>E-mail </w:t>
            </w:r>
            <w:r w:rsidRPr="00364D71">
              <w:rPr>
                <w:b/>
              </w:rPr>
              <w:t xml:space="preserve">: </w:t>
            </w:r>
            <w:hyperlink r:id="rId23" w:history="1">
              <w:r w:rsidRPr="00BB10C5">
                <w:rPr>
                  <w:rStyle w:val="Hyperlink"/>
                  <w:b/>
                </w:rPr>
                <w:t>itietogo@yahoo.fr</w:t>
              </w:r>
            </w:hyperlink>
            <w:r>
              <w:rPr>
                <w:b/>
              </w:rPr>
              <w:t xml:space="preserve">. </w:t>
            </w:r>
          </w:p>
          <w:p w:rsidR="00C276F3" w:rsidRDefault="00C276F3" w:rsidP="007C5949">
            <w:pPr>
              <w:pStyle w:val="BankNormal"/>
              <w:tabs>
                <w:tab w:val="right" w:pos="7218"/>
              </w:tabs>
              <w:spacing w:after="160"/>
              <w:jc w:val="both"/>
            </w:pPr>
            <w:r>
              <w:t xml:space="preserve">La Proposition doit être présentée </w:t>
            </w:r>
            <w:r w:rsidR="004C2009" w:rsidRPr="004C2009">
              <w:rPr>
                <w:b/>
              </w:rPr>
              <w:t>sous pli fermé</w:t>
            </w:r>
            <w:r w:rsidR="004C2009">
              <w:t xml:space="preserve"> </w:t>
            </w:r>
            <w:r>
              <w:t xml:space="preserve">à la date et à l’heure suivante, au plus tard : </w:t>
            </w:r>
            <w:r w:rsidR="00D17228">
              <w:t>10 juillet 2014</w:t>
            </w:r>
            <w:r w:rsidR="00D156A8">
              <w:t xml:space="preserve"> à 15 heures TU</w:t>
            </w:r>
          </w:p>
        </w:tc>
      </w:tr>
      <w:tr w:rsidR="00C276F3" w:rsidTr="007C5949">
        <w:tblPrEx>
          <w:tblBorders>
            <w:top w:val="single" w:sz="6" w:space="0" w:color="auto"/>
            <w:bottom w:val="single" w:sz="4" w:space="0" w:color="auto"/>
            <w:insideH w:val="single" w:sz="4" w:space="0" w:color="auto"/>
          </w:tblBorders>
        </w:tblPrEx>
        <w:tc>
          <w:tcPr>
            <w:tcW w:w="1773" w:type="dxa"/>
            <w:tcBorders>
              <w:top w:val="single" w:sz="6" w:space="0" w:color="auto"/>
              <w:bottom w:val="single" w:sz="4" w:space="0" w:color="auto"/>
            </w:tcBorders>
          </w:tcPr>
          <w:p w:rsidR="00C276F3" w:rsidRDefault="00C276F3" w:rsidP="007C5949">
            <w:pPr>
              <w:rPr>
                <w:b/>
              </w:rPr>
            </w:pPr>
            <w:r>
              <w:rPr>
                <w:b/>
              </w:rPr>
              <w:lastRenderedPageBreak/>
              <w:t>15</w:t>
            </w:r>
          </w:p>
          <w:p w:rsidR="00C276F3" w:rsidRDefault="00C276F3" w:rsidP="007C5949">
            <w:pPr>
              <w:pStyle w:val="BankNormal"/>
              <w:tabs>
                <w:tab w:val="right" w:pos="7218"/>
              </w:tabs>
              <w:spacing w:after="0"/>
              <w:rPr>
                <w:sz w:val="20"/>
              </w:rPr>
            </w:pPr>
          </w:p>
        </w:tc>
        <w:tc>
          <w:tcPr>
            <w:tcW w:w="7373" w:type="dxa"/>
            <w:tcBorders>
              <w:top w:val="single" w:sz="6" w:space="0" w:color="auto"/>
              <w:bottom w:val="single" w:sz="4" w:space="0" w:color="auto"/>
            </w:tcBorders>
          </w:tcPr>
          <w:p w:rsidR="00C276F3" w:rsidRDefault="00C276F3" w:rsidP="007C5949">
            <w:pPr>
              <w:pStyle w:val="BankNormal"/>
              <w:tabs>
                <w:tab w:val="right" w:pos="7218"/>
              </w:tabs>
              <w:spacing w:after="160"/>
              <w:jc w:val="both"/>
            </w:pPr>
            <w:r>
              <w:t xml:space="preserve">Les critères, sous-critères d’évaluation, et leurs poids respectifs sont les </w:t>
            </w:r>
          </w:p>
          <w:p w:rsidR="00C276F3" w:rsidRDefault="00C276F3" w:rsidP="007C5949">
            <w:pPr>
              <w:pStyle w:val="BankNormal"/>
              <w:tabs>
                <w:tab w:val="right" w:pos="7218"/>
              </w:tabs>
              <w:spacing w:after="160"/>
              <w:jc w:val="both"/>
            </w:pPr>
            <w:r>
              <w:t>suivants:</w:t>
            </w:r>
          </w:p>
          <w:p w:rsidR="00C276F3" w:rsidRDefault="00C276F3" w:rsidP="007C5949">
            <w:pPr>
              <w:pStyle w:val="BankNormal"/>
              <w:tabs>
                <w:tab w:val="right" w:pos="7218"/>
              </w:tabs>
              <w:spacing w:after="160"/>
              <w:jc w:val="both"/>
            </w:pPr>
            <w:r>
              <w:tab/>
              <w:t>Points</w:t>
            </w:r>
          </w:p>
          <w:p w:rsidR="00C276F3" w:rsidRDefault="00C276F3" w:rsidP="007C5949">
            <w:pPr>
              <w:tabs>
                <w:tab w:val="right" w:pos="7218"/>
              </w:tabs>
              <w:spacing w:after="160"/>
              <w:ind w:left="466" w:hanging="466"/>
              <w:jc w:val="both"/>
              <w:rPr>
                <w:sz w:val="20"/>
              </w:rPr>
            </w:pPr>
            <w:r>
              <w:rPr>
                <w:sz w:val="20"/>
              </w:rPr>
              <w:t>(i)</w:t>
            </w:r>
            <w:r>
              <w:rPr>
                <w:sz w:val="20"/>
              </w:rPr>
              <w:tab/>
              <w:t>Expérience des Candidats pertinente pour la mission:</w:t>
            </w:r>
            <w:r>
              <w:rPr>
                <w:sz w:val="20"/>
              </w:rPr>
              <w:tab/>
            </w:r>
            <w:r w:rsidRPr="00A50418">
              <w:rPr>
                <w:b/>
                <w:sz w:val="20"/>
                <w:u w:val="single"/>
              </w:rPr>
              <w:t>10 Points</w:t>
            </w:r>
            <w:r>
              <w:rPr>
                <w:sz w:val="20"/>
              </w:rPr>
              <w:t xml:space="preserve"> </w:t>
            </w:r>
          </w:p>
          <w:p w:rsidR="00C276F3" w:rsidRDefault="00C276F3" w:rsidP="007C5949">
            <w:pPr>
              <w:tabs>
                <w:tab w:val="right" w:pos="7218"/>
              </w:tabs>
              <w:spacing w:after="160"/>
              <w:ind w:left="466"/>
              <w:jc w:val="both"/>
              <w:rPr>
                <w:b/>
                <w:sz w:val="20"/>
              </w:rPr>
            </w:pPr>
            <w:r w:rsidRPr="00DF4B00">
              <w:rPr>
                <w:sz w:val="20"/>
              </w:rPr>
              <w:t>a</w:t>
            </w:r>
            <w:r w:rsidRPr="00DF4B00">
              <w:rPr>
                <w:b/>
                <w:sz w:val="20"/>
              </w:rPr>
              <w:t>)</w:t>
            </w:r>
            <w:r>
              <w:rPr>
                <w:b/>
                <w:sz w:val="20"/>
              </w:rPr>
              <w:t xml:space="preserve"> Dix (10)</w:t>
            </w:r>
            <w:r w:rsidRPr="00DF4B00">
              <w:rPr>
                <w:b/>
                <w:i/>
                <w:sz w:val="20"/>
              </w:rPr>
              <w:t xml:space="preserve"> </w:t>
            </w:r>
            <w:r w:rsidRPr="00DF4B00">
              <w:rPr>
                <w:b/>
                <w:sz w:val="20"/>
              </w:rPr>
              <w:t>mission</w:t>
            </w:r>
            <w:r>
              <w:rPr>
                <w:b/>
                <w:sz w:val="20"/>
              </w:rPr>
              <w:t>s</w:t>
            </w:r>
            <w:r w:rsidRPr="00DF4B00">
              <w:rPr>
                <w:b/>
                <w:sz w:val="20"/>
              </w:rPr>
              <w:t xml:space="preserve"> d’élaboration de rapport ITIE</w:t>
            </w:r>
            <w:r>
              <w:rPr>
                <w:b/>
                <w:sz w:val="20"/>
              </w:rPr>
              <w:t xml:space="preserve"> dont trois (03) avec la norme ITIE </w:t>
            </w:r>
            <w:r w:rsidRPr="00DF4B00">
              <w:rPr>
                <w:b/>
                <w:sz w:val="20"/>
              </w:rPr>
              <w:t xml:space="preserve">    </w:t>
            </w:r>
            <w:r>
              <w:rPr>
                <w:b/>
                <w:sz w:val="20"/>
              </w:rPr>
              <w:t xml:space="preserve">                                                                                             </w:t>
            </w:r>
            <w:r w:rsidRPr="00DF4B00">
              <w:rPr>
                <w:b/>
                <w:sz w:val="20"/>
              </w:rPr>
              <w:t xml:space="preserve"> 06 points </w:t>
            </w:r>
          </w:p>
          <w:p w:rsidR="00C276F3" w:rsidRPr="00DF4B00" w:rsidRDefault="00C276F3" w:rsidP="007C5949">
            <w:pPr>
              <w:tabs>
                <w:tab w:val="right" w:pos="7218"/>
              </w:tabs>
              <w:spacing w:after="160"/>
              <w:ind w:left="466"/>
              <w:jc w:val="both"/>
              <w:rPr>
                <w:b/>
                <w:sz w:val="20"/>
              </w:rPr>
            </w:pPr>
            <w:r>
              <w:rPr>
                <w:b/>
                <w:sz w:val="20"/>
              </w:rPr>
              <w:t>b) Cinq (05) missions d’élaboration de rapport ITIE en Afrique Francophone dont un (01) avec la norme ITIE                                                                04 Points</w:t>
            </w:r>
          </w:p>
          <w:p w:rsidR="00C276F3" w:rsidRDefault="00C276F3" w:rsidP="007C5949">
            <w:pPr>
              <w:tabs>
                <w:tab w:val="right" w:pos="7218"/>
              </w:tabs>
              <w:spacing w:after="160"/>
              <w:ind w:left="466" w:hanging="466"/>
              <w:jc w:val="both"/>
              <w:rPr>
                <w:sz w:val="20"/>
              </w:rPr>
            </w:pPr>
            <w:r>
              <w:rPr>
                <w:sz w:val="20"/>
              </w:rPr>
              <w:t>(ii)</w:t>
            </w:r>
            <w:r>
              <w:rPr>
                <w:sz w:val="20"/>
              </w:rPr>
              <w:tab/>
              <w:t>Conformité du plan de travail et de la méthode proposés aux Termes de référence:</w:t>
            </w:r>
          </w:p>
          <w:p w:rsidR="00C276F3" w:rsidRDefault="00C276F3" w:rsidP="007C5949">
            <w:pPr>
              <w:tabs>
                <w:tab w:val="left" w:pos="737"/>
                <w:tab w:val="right" w:pos="7218"/>
              </w:tabs>
              <w:spacing w:after="160"/>
              <w:ind w:left="466"/>
              <w:jc w:val="both"/>
              <w:rPr>
                <w:sz w:val="20"/>
              </w:rPr>
            </w:pPr>
            <w:r>
              <w:rPr>
                <w:sz w:val="20"/>
              </w:rPr>
              <w:t>a)</w:t>
            </w:r>
            <w:r>
              <w:rPr>
                <w:sz w:val="20"/>
              </w:rPr>
              <w:tab/>
              <w:t>Approche technique et méthodologie</w:t>
            </w:r>
            <w:r>
              <w:rPr>
                <w:sz w:val="20"/>
              </w:rPr>
              <w:tab/>
            </w:r>
            <w:r>
              <w:rPr>
                <w:b/>
                <w:sz w:val="20"/>
              </w:rPr>
              <w:t>15</w:t>
            </w:r>
            <w:r w:rsidRPr="00DC2F08">
              <w:rPr>
                <w:b/>
                <w:sz w:val="20"/>
              </w:rPr>
              <w:t xml:space="preserve"> points</w:t>
            </w:r>
            <w:r>
              <w:rPr>
                <w:sz w:val="20"/>
              </w:rPr>
              <w:t xml:space="preserve"> </w:t>
            </w:r>
          </w:p>
          <w:p w:rsidR="00C276F3" w:rsidRDefault="00C276F3" w:rsidP="007C5949">
            <w:pPr>
              <w:tabs>
                <w:tab w:val="left" w:pos="737"/>
                <w:tab w:val="right" w:pos="7218"/>
              </w:tabs>
              <w:spacing w:after="160"/>
              <w:ind w:left="466"/>
              <w:jc w:val="both"/>
              <w:rPr>
                <w:sz w:val="20"/>
              </w:rPr>
            </w:pPr>
            <w:r>
              <w:rPr>
                <w:sz w:val="20"/>
              </w:rPr>
              <w:t>b)</w:t>
            </w:r>
            <w:r>
              <w:rPr>
                <w:sz w:val="20"/>
              </w:rPr>
              <w:tab/>
              <w:t>Plan de travail</w:t>
            </w:r>
            <w:r>
              <w:rPr>
                <w:sz w:val="20"/>
              </w:rPr>
              <w:tab/>
            </w:r>
            <w:r w:rsidRPr="00DC2F08">
              <w:rPr>
                <w:b/>
                <w:sz w:val="20"/>
              </w:rPr>
              <w:t>1</w:t>
            </w:r>
            <w:r>
              <w:rPr>
                <w:b/>
                <w:sz w:val="20"/>
              </w:rPr>
              <w:t xml:space="preserve">0 </w:t>
            </w:r>
            <w:r w:rsidRPr="00DC2F08">
              <w:rPr>
                <w:b/>
                <w:sz w:val="20"/>
              </w:rPr>
              <w:t>point</w:t>
            </w:r>
            <w:r>
              <w:rPr>
                <w:sz w:val="20"/>
              </w:rPr>
              <w:t>s</w:t>
            </w:r>
          </w:p>
          <w:p w:rsidR="00C276F3" w:rsidRDefault="00C276F3" w:rsidP="007C5949">
            <w:pPr>
              <w:tabs>
                <w:tab w:val="left" w:pos="737"/>
                <w:tab w:val="right" w:pos="7200"/>
              </w:tabs>
              <w:spacing w:after="160"/>
              <w:ind w:left="466"/>
              <w:jc w:val="both"/>
              <w:rPr>
                <w:sz w:val="20"/>
              </w:rPr>
            </w:pPr>
            <w:r>
              <w:rPr>
                <w:sz w:val="20"/>
              </w:rPr>
              <w:t>c)</w:t>
            </w:r>
            <w:r>
              <w:rPr>
                <w:sz w:val="20"/>
              </w:rPr>
              <w:tab/>
              <w:t xml:space="preserve">Organisation et personnel                                                                         </w:t>
            </w:r>
            <w:r w:rsidRPr="00DC2F08">
              <w:rPr>
                <w:b/>
                <w:sz w:val="20"/>
              </w:rPr>
              <w:t>10 points</w:t>
            </w:r>
          </w:p>
          <w:p w:rsidR="00C276F3" w:rsidRPr="00AF03B2" w:rsidRDefault="00C276F3" w:rsidP="007C5949">
            <w:pPr>
              <w:tabs>
                <w:tab w:val="left" w:pos="737"/>
                <w:tab w:val="right" w:pos="7200"/>
              </w:tabs>
              <w:spacing w:after="160"/>
              <w:ind w:left="466"/>
              <w:jc w:val="both"/>
              <w:rPr>
                <w:b/>
                <w:sz w:val="20"/>
              </w:rPr>
            </w:pPr>
            <w:r>
              <w:rPr>
                <w:sz w:val="20"/>
              </w:rPr>
              <w:tab/>
              <w:t>Total des points pour le critère (ii):</w:t>
            </w:r>
            <w:r>
              <w:rPr>
                <w:sz w:val="20"/>
              </w:rPr>
              <w:tab/>
            </w:r>
            <w:r w:rsidRPr="00A50418">
              <w:rPr>
                <w:b/>
                <w:sz w:val="20"/>
                <w:u w:val="single"/>
              </w:rPr>
              <w:t>35 points</w:t>
            </w:r>
          </w:p>
          <w:p w:rsidR="00C276F3" w:rsidRDefault="00C276F3" w:rsidP="007C5949">
            <w:pPr>
              <w:tabs>
                <w:tab w:val="right" w:pos="7218"/>
              </w:tabs>
              <w:spacing w:after="160"/>
              <w:ind w:left="466" w:hanging="466"/>
              <w:jc w:val="both"/>
              <w:rPr>
                <w:sz w:val="20"/>
              </w:rPr>
            </w:pPr>
            <w:r>
              <w:rPr>
                <w:sz w:val="20"/>
              </w:rPr>
              <w:t>(iii)</w:t>
            </w:r>
            <w:r>
              <w:rPr>
                <w:sz w:val="20"/>
              </w:rPr>
              <w:tab/>
              <w:t>Qualifications et compétence du personnel clé pour la mission:</w:t>
            </w:r>
          </w:p>
          <w:p w:rsidR="00C276F3" w:rsidRPr="00E6640A" w:rsidRDefault="00C276F3" w:rsidP="007C5949">
            <w:pPr>
              <w:tabs>
                <w:tab w:val="left" w:pos="826"/>
                <w:tab w:val="right" w:pos="7201"/>
              </w:tabs>
              <w:spacing w:after="160"/>
              <w:ind w:left="466"/>
              <w:jc w:val="both"/>
              <w:rPr>
                <w:sz w:val="20"/>
              </w:rPr>
            </w:pPr>
            <w:r w:rsidRPr="00683886">
              <w:rPr>
                <w:b/>
                <w:sz w:val="20"/>
              </w:rPr>
              <w:t>a)</w:t>
            </w:r>
            <w:r>
              <w:rPr>
                <w:sz w:val="20"/>
              </w:rPr>
              <w:tab/>
            </w:r>
            <w:r w:rsidRPr="00E6640A">
              <w:rPr>
                <w:b/>
                <w:sz w:val="20"/>
              </w:rPr>
              <w:t>Chef d’équipe Expert- Comptable Diplôm</w:t>
            </w:r>
            <w:r>
              <w:rPr>
                <w:b/>
                <w:sz w:val="20"/>
              </w:rPr>
              <w:t>é- Agréé justifiant au moins quinze (15</w:t>
            </w:r>
            <w:r w:rsidRPr="00E6640A">
              <w:rPr>
                <w:b/>
                <w:sz w:val="20"/>
              </w:rPr>
              <w:t xml:space="preserve">) années d’expériences professionnelles  et ayant effectué au moins cinq (05)  missions d’élaboration de rapport ITIE </w:t>
            </w:r>
            <w:r>
              <w:rPr>
                <w:b/>
                <w:sz w:val="20"/>
              </w:rPr>
              <w:t>et apportant la</w:t>
            </w:r>
            <w:r w:rsidR="007C5949">
              <w:rPr>
                <w:b/>
                <w:sz w:val="20"/>
              </w:rPr>
              <w:t xml:space="preserve"> preuve de la maîtrise de la </w:t>
            </w:r>
            <w:r w:rsidRPr="00E6640A">
              <w:rPr>
                <w:b/>
                <w:sz w:val="20"/>
              </w:rPr>
              <w:t xml:space="preserve">nouvelle </w:t>
            </w:r>
            <w:r w:rsidR="007C5949">
              <w:rPr>
                <w:b/>
                <w:sz w:val="20"/>
              </w:rPr>
              <w:t xml:space="preserve"> </w:t>
            </w:r>
            <w:r w:rsidRPr="00E6640A">
              <w:rPr>
                <w:b/>
                <w:sz w:val="20"/>
              </w:rPr>
              <w:t xml:space="preserve">norme     </w:t>
            </w:r>
            <w:r>
              <w:rPr>
                <w:b/>
                <w:sz w:val="20"/>
              </w:rPr>
              <w:t xml:space="preserve"> </w:t>
            </w:r>
            <w:r w:rsidR="007C5949">
              <w:rPr>
                <w:b/>
                <w:sz w:val="20"/>
              </w:rPr>
              <w:t xml:space="preserve">                                                             </w:t>
            </w:r>
            <w:r w:rsidRPr="00683886">
              <w:rPr>
                <w:b/>
                <w:sz w:val="20"/>
                <w:u w:val="single"/>
              </w:rPr>
              <w:t>25 points</w:t>
            </w:r>
            <w:r w:rsidRPr="00683886">
              <w:rPr>
                <w:sz w:val="20"/>
                <w:u w:val="single"/>
              </w:rPr>
              <w:t xml:space="preserve"> </w:t>
            </w:r>
          </w:p>
          <w:p w:rsidR="00C276F3" w:rsidRPr="00683886" w:rsidRDefault="00C276F3" w:rsidP="007C5949">
            <w:pPr>
              <w:tabs>
                <w:tab w:val="left" w:pos="826"/>
                <w:tab w:val="left" w:pos="4723"/>
                <w:tab w:val="right" w:pos="7201"/>
              </w:tabs>
              <w:spacing w:after="160"/>
              <w:ind w:left="466"/>
              <w:jc w:val="both"/>
              <w:rPr>
                <w:b/>
                <w:sz w:val="20"/>
              </w:rPr>
            </w:pPr>
            <w:r w:rsidRPr="00683886">
              <w:rPr>
                <w:b/>
                <w:sz w:val="20"/>
              </w:rPr>
              <w:t>b)</w:t>
            </w:r>
            <w:r w:rsidRPr="00683886">
              <w:rPr>
                <w:b/>
                <w:sz w:val="20"/>
              </w:rPr>
              <w:tab/>
              <w:t>Expert en fiscalité minière, diplômé en fiscalité appliqué  aux mines, de niveau BAC + 5 justifiant de cinq</w:t>
            </w:r>
            <w:r>
              <w:rPr>
                <w:b/>
                <w:sz w:val="20"/>
              </w:rPr>
              <w:t xml:space="preserve"> </w:t>
            </w:r>
            <w:r w:rsidRPr="00683886">
              <w:rPr>
                <w:b/>
                <w:sz w:val="20"/>
              </w:rPr>
              <w:t>(05</w:t>
            </w:r>
            <w:r>
              <w:rPr>
                <w:b/>
                <w:sz w:val="20"/>
              </w:rPr>
              <w:t>)</w:t>
            </w:r>
            <w:r w:rsidRPr="00683886">
              <w:rPr>
                <w:b/>
                <w:sz w:val="20"/>
              </w:rPr>
              <w:t xml:space="preserve"> années au moins d’expériences dans le domaine de la fiscalité minière </w:t>
            </w:r>
            <w:r>
              <w:rPr>
                <w:b/>
                <w:sz w:val="20"/>
              </w:rPr>
              <w:t>et ayant effectué au moins trois (03</w:t>
            </w:r>
            <w:r w:rsidRPr="00683886">
              <w:rPr>
                <w:b/>
                <w:sz w:val="20"/>
              </w:rPr>
              <w:t xml:space="preserve">) missions d’élaboration de rapport ITIE                                                             </w:t>
            </w:r>
            <w:r>
              <w:rPr>
                <w:b/>
                <w:sz w:val="20"/>
              </w:rPr>
              <w:t xml:space="preserve">    </w:t>
            </w:r>
            <w:r w:rsidRPr="00683886">
              <w:rPr>
                <w:b/>
                <w:sz w:val="20"/>
              </w:rPr>
              <w:t xml:space="preserve"> </w:t>
            </w:r>
            <w:r w:rsidRPr="00683886">
              <w:rPr>
                <w:b/>
                <w:sz w:val="20"/>
                <w:u w:val="single"/>
              </w:rPr>
              <w:t>15 points</w:t>
            </w:r>
          </w:p>
          <w:p w:rsidR="00C276F3" w:rsidRDefault="00C276F3" w:rsidP="007C5949">
            <w:pPr>
              <w:tabs>
                <w:tab w:val="left" w:pos="826"/>
                <w:tab w:val="right" w:pos="7218"/>
              </w:tabs>
              <w:spacing w:after="160"/>
              <w:ind w:left="466"/>
              <w:jc w:val="both"/>
              <w:rPr>
                <w:sz w:val="20"/>
              </w:rPr>
            </w:pPr>
            <w:r w:rsidRPr="00A50418">
              <w:rPr>
                <w:b/>
                <w:sz w:val="20"/>
              </w:rPr>
              <w:t>c)</w:t>
            </w:r>
            <w:r w:rsidRPr="00A50418">
              <w:rPr>
                <w:b/>
                <w:sz w:val="20"/>
              </w:rPr>
              <w:tab/>
              <w:t>Statisticien, diplôme d’ingénieur statisticien justifiant d’au moins</w:t>
            </w:r>
            <w:r>
              <w:rPr>
                <w:b/>
                <w:sz w:val="20"/>
              </w:rPr>
              <w:t xml:space="preserve"> cinq (05) années d’expériences </w:t>
            </w:r>
            <w:r w:rsidRPr="00A50418">
              <w:rPr>
                <w:b/>
                <w:sz w:val="20"/>
              </w:rPr>
              <w:t xml:space="preserve">professionnelles et ayant participé au moins à trois  (03) missions d’élaboration de rapports ITIE   </w:t>
            </w:r>
            <w:r>
              <w:rPr>
                <w:b/>
                <w:sz w:val="20"/>
              </w:rPr>
              <w:t xml:space="preserve">                                             </w:t>
            </w:r>
            <w:r w:rsidRPr="00A50418">
              <w:rPr>
                <w:b/>
                <w:sz w:val="20"/>
              </w:rPr>
              <w:t xml:space="preserve"> </w:t>
            </w:r>
            <w:r w:rsidRPr="00A50418">
              <w:rPr>
                <w:b/>
                <w:sz w:val="20"/>
                <w:u w:val="single"/>
              </w:rPr>
              <w:t>15 points</w:t>
            </w:r>
            <w:r>
              <w:rPr>
                <w:sz w:val="20"/>
              </w:rPr>
              <w:t xml:space="preserve"> </w:t>
            </w:r>
          </w:p>
          <w:p w:rsidR="00C276F3" w:rsidRPr="00B51EF0" w:rsidRDefault="00C276F3" w:rsidP="007C5949">
            <w:pPr>
              <w:tabs>
                <w:tab w:val="right" w:pos="6120"/>
                <w:tab w:val="right" w:pos="7200"/>
              </w:tabs>
              <w:spacing w:after="160"/>
              <w:ind w:left="-72"/>
              <w:jc w:val="both"/>
              <w:rPr>
                <w:sz w:val="20"/>
              </w:rPr>
            </w:pPr>
            <w:r>
              <w:tab/>
            </w:r>
            <w:r>
              <w:rPr>
                <w:sz w:val="20"/>
              </w:rPr>
              <w:t>Total des points</w:t>
            </w:r>
            <w:r w:rsidRPr="00B51EF0">
              <w:rPr>
                <w:sz w:val="20"/>
              </w:rPr>
              <w:t xml:space="preserve"> pour le critère (iii) :</w:t>
            </w:r>
            <w:r w:rsidRPr="00B51EF0">
              <w:rPr>
                <w:sz w:val="20"/>
              </w:rPr>
              <w:tab/>
            </w:r>
            <w:r w:rsidRPr="00A50418">
              <w:rPr>
                <w:b/>
                <w:sz w:val="20"/>
                <w:u w:val="single"/>
              </w:rPr>
              <w:t>55 points</w:t>
            </w:r>
          </w:p>
          <w:p w:rsidR="00C276F3" w:rsidRDefault="00C276F3" w:rsidP="007C5949">
            <w:pPr>
              <w:pStyle w:val="BankNormal"/>
              <w:tabs>
                <w:tab w:val="right" w:pos="7218"/>
              </w:tabs>
              <w:spacing w:after="160"/>
              <w:ind w:left="466"/>
              <w:jc w:val="both"/>
              <w:rPr>
                <w:sz w:val="20"/>
                <w:lang w:eastAsia="it-IT"/>
              </w:rPr>
            </w:pPr>
            <w:r>
              <w:rPr>
                <w:sz w:val="20"/>
              </w:rPr>
              <w:t>Le nombre de points attribués à chaque poste ou discipline ci-dessus est déterminé en tenant compte des trois sous-critères suivants et des pourcentages de pondération pertinents </w:t>
            </w:r>
            <w:r>
              <w:rPr>
                <w:sz w:val="20"/>
                <w:lang w:eastAsia="it-IT"/>
              </w:rPr>
              <w:t>:</w:t>
            </w:r>
          </w:p>
          <w:p w:rsidR="00C276F3" w:rsidRDefault="00C276F3" w:rsidP="007C5949">
            <w:pPr>
              <w:tabs>
                <w:tab w:val="left" w:pos="826"/>
                <w:tab w:val="right" w:pos="7218"/>
              </w:tabs>
              <w:spacing w:after="160"/>
              <w:ind w:left="466"/>
              <w:jc w:val="both"/>
              <w:rPr>
                <w:sz w:val="20"/>
              </w:rPr>
            </w:pPr>
            <w:r>
              <w:rPr>
                <w:sz w:val="20"/>
              </w:rPr>
              <w:t>1)</w:t>
            </w:r>
            <w:r>
              <w:rPr>
                <w:sz w:val="20"/>
              </w:rPr>
              <w:tab/>
              <w:t>Qualifications générales</w:t>
            </w:r>
            <w:r>
              <w:rPr>
                <w:sz w:val="20"/>
              </w:rPr>
              <w:tab/>
              <w:t xml:space="preserve">    </w:t>
            </w:r>
            <w:r w:rsidRPr="0058592B">
              <w:rPr>
                <w:b/>
                <w:sz w:val="20"/>
              </w:rPr>
              <w:t>20%</w:t>
            </w:r>
          </w:p>
          <w:p w:rsidR="00C276F3" w:rsidRDefault="00C276F3" w:rsidP="007C5949">
            <w:pPr>
              <w:tabs>
                <w:tab w:val="left" w:pos="826"/>
                <w:tab w:val="right" w:pos="7218"/>
              </w:tabs>
              <w:spacing w:after="160"/>
              <w:ind w:left="466"/>
              <w:jc w:val="both"/>
              <w:rPr>
                <w:sz w:val="20"/>
              </w:rPr>
            </w:pPr>
            <w:r>
              <w:rPr>
                <w:sz w:val="20"/>
              </w:rPr>
              <w:t>2)</w:t>
            </w:r>
            <w:r>
              <w:rPr>
                <w:sz w:val="20"/>
              </w:rPr>
              <w:tab/>
              <w:t>Pertinence avec la mission</w:t>
            </w:r>
            <w:r>
              <w:rPr>
                <w:sz w:val="20"/>
              </w:rPr>
              <w:tab/>
            </w:r>
            <w:r w:rsidRPr="0058592B">
              <w:rPr>
                <w:b/>
                <w:sz w:val="20"/>
              </w:rPr>
              <w:t>60%</w:t>
            </w:r>
          </w:p>
          <w:p w:rsidR="00C276F3" w:rsidRDefault="00C276F3" w:rsidP="007C5949">
            <w:pPr>
              <w:tabs>
                <w:tab w:val="left" w:pos="826"/>
                <w:tab w:val="right" w:pos="7218"/>
              </w:tabs>
              <w:spacing w:after="160"/>
              <w:ind w:left="466"/>
              <w:jc w:val="both"/>
              <w:rPr>
                <w:sz w:val="20"/>
              </w:rPr>
            </w:pPr>
            <w:r>
              <w:rPr>
                <w:sz w:val="20"/>
              </w:rPr>
              <w:t>3)</w:t>
            </w:r>
            <w:r>
              <w:rPr>
                <w:sz w:val="20"/>
              </w:rPr>
              <w:tab/>
              <w:t xml:space="preserve">Expérience de la région et de la langue                                                         </w:t>
            </w:r>
            <w:r w:rsidRPr="0058592B">
              <w:rPr>
                <w:b/>
                <w:sz w:val="20"/>
              </w:rPr>
              <w:t>20%</w:t>
            </w:r>
          </w:p>
          <w:p w:rsidR="00C276F3" w:rsidRPr="00294DE3" w:rsidRDefault="00C276F3" w:rsidP="007C5949">
            <w:pPr>
              <w:tabs>
                <w:tab w:val="right" w:pos="6120"/>
                <w:tab w:val="right" w:pos="7200"/>
              </w:tabs>
              <w:spacing w:after="160"/>
              <w:ind w:left="-72"/>
              <w:jc w:val="both"/>
              <w:rPr>
                <w:sz w:val="20"/>
              </w:rPr>
            </w:pPr>
            <w:r>
              <w:rPr>
                <w:sz w:val="20"/>
              </w:rPr>
              <w:lastRenderedPageBreak/>
              <w:tab/>
              <w:t>Pondération totale:</w:t>
            </w:r>
            <w:r>
              <w:rPr>
                <w:sz w:val="20"/>
              </w:rPr>
              <w:tab/>
            </w:r>
            <w:r w:rsidRPr="0058592B">
              <w:rPr>
                <w:b/>
                <w:sz w:val="20"/>
              </w:rPr>
              <w:t>100%</w:t>
            </w:r>
          </w:p>
        </w:tc>
      </w:tr>
      <w:tr w:rsidR="00C276F3" w:rsidTr="007C5949">
        <w:tblPrEx>
          <w:tblBorders>
            <w:top w:val="single" w:sz="6" w:space="0" w:color="auto"/>
          </w:tblBorders>
        </w:tblPrEx>
        <w:trPr>
          <w:trHeight w:val="2744"/>
        </w:trPr>
        <w:tc>
          <w:tcPr>
            <w:tcW w:w="1773" w:type="dxa"/>
            <w:tcBorders>
              <w:bottom w:val="single" w:sz="6" w:space="0" w:color="auto"/>
            </w:tcBorders>
          </w:tcPr>
          <w:p w:rsidR="00C276F3" w:rsidRDefault="00C276F3" w:rsidP="007C5949">
            <w:pPr>
              <w:rPr>
                <w:b/>
              </w:rPr>
            </w:pPr>
            <w:r>
              <w:rPr>
                <w:b/>
              </w:rPr>
              <w:lastRenderedPageBreak/>
              <w:t>17.4</w:t>
            </w:r>
          </w:p>
          <w:p w:rsidR="00C276F3" w:rsidRDefault="00C276F3" w:rsidP="007C5949">
            <w:pPr>
              <w:pStyle w:val="BankNormal"/>
              <w:tabs>
                <w:tab w:val="right" w:pos="7218"/>
              </w:tabs>
              <w:spacing w:after="0"/>
            </w:pPr>
          </w:p>
        </w:tc>
        <w:tc>
          <w:tcPr>
            <w:tcW w:w="7373" w:type="dxa"/>
            <w:tcBorders>
              <w:bottom w:val="single" w:sz="6" w:space="0" w:color="auto"/>
            </w:tcBorders>
          </w:tcPr>
          <w:p w:rsidR="00C276F3" w:rsidRDefault="00C276F3" w:rsidP="007C5949">
            <w:pPr>
              <w:pStyle w:val="BankNormal"/>
              <w:tabs>
                <w:tab w:val="left" w:pos="6324"/>
                <w:tab w:val="right" w:pos="7218"/>
              </w:tabs>
              <w:spacing w:after="160"/>
              <w:jc w:val="both"/>
              <w:rPr>
                <w:i/>
              </w:rPr>
            </w:pPr>
            <w:r>
              <w:t>La formule utilisée pour établir les notes financières est la suivante :</w:t>
            </w:r>
            <w:r>
              <w:rPr>
                <w:i/>
              </w:rPr>
              <w:t xml:space="preserve"> </w:t>
            </w:r>
          </w:p>
          <w:p w:rsidR="00C276F3" w:rsidRDefault="00C276F3" w:rsidP="007C5949">
            <w:pPr>
              <w:pStyle w:val="BankNormal"/>
              <w:tabs>
                <w:tab w:val="left" w:pos="6324"/>
                <w:tab w:val="right" w:pos="7218"/>
              </w:tabs>
              <w:spacing w:after="160"/>
              <w:jc w:val="both"/>
            </w:pPr>
            <w:r>
              <w:t xml:space="preserve">soit </w:t>
            </w:r>
            <w:proofErr w:type="spellStart"/>
            <w:r>
              <w:t>Sf</w:t>
            </w:r>
            <w:proofErr w:type="spellEnd"/>
            <w:r>
              <w:t xml:space="preserve"> =  (Fm x 100)/ F, </w:t>
            </w:r>
            <w:proofErr w:type="spellStart"/>
            <w:r>
              <w:t>Sf</w:t>
            </w:r>
            <w:proofErr w:type="spellEnd"/>
            <w:r>
              <w:t xml:space="preserve"> étant la note financière, Fm la proposition la moins </w:t>
            </w:r>
            <w:proofErr w:type="spellStart"/>
            <w:r>
              <w:t>disante</w:t>
            </w:r>
            <w:proofErr w:type="spellEnd"/>
            <w:r>
              <w:t xml:space="preserve"> et F le montant de la proposition considérée.</w:t>
            </w:r>
          </w:p>
          <w:p w:rsidR="00C276F3" w:rsidRDefault="00C276F3" w:rsidP="007C5949">
            <w:pPr>
              <w:pStyle w:val="BankNormal"/>
              <w:tabs>
                <w:tab w:val="right" w:pos="7218"/>
              </w:tabs>
              <w:spacing w:after="160"/>
              <w:jc w:val="both"/>
            </w:pPr>
            <w:r>
              <w:t>Les poids respectifs attribués aux Propositions technique (T) et financière (P) sont :</w:t>
            </w:r>
          </w:p>
          <w:p w:rsidR="00C276F3" w:rsidRPr="00180CE0" w:rsidRDefault="00C276F3" w:rsidP="007C5949">
            <w:pPr>
              <w:pStyle w:val="BankNormal"/>
              <w:tabs>
                <w:tab w:val="left" w:pos="1186"/>
                <w:tab w:val="right" w:pos="7218"/>
              </w:tabs>
              <w:spacing w:after="160"/>
              <w:jc w:val="both"/>
              <w:rPr>
                <w:b/>
              </w:rPr>
            </w:pPr>
            <w:r w:rsidRPr="00180CE0">
              <w:rPr>
                <w:b/>
              </w:rPr>
              <w:t>T = 0,8 et</w:t>
            </w:r>
          </w:p>
          <w:p w:rsidR="00C276F3" w:rsidRDefault="00C276F3" w:rsidP="007C5949">
            <w:pPr>
              <w:pStyle w:val="BankNormal"/>
              <w:tabs>
                <w:tab w:val="right" w:pos="7218"/>
              </w:tabs>
              <w:spacing w:after="160"/>
              <w:jc w:val="both"/>
            </w:pPr>
            <w:r w:rsidRPr="00180CE0">
              <w:rPr>
                <w:b/>
              </w:rPr>
              <w:t>P = 0,2</w:t>
            </w:r>
            <w:r>
              <w:t xml:space="preserve"> </w:t>
            </w:r>
          </w:p>
        </w:tc>
      </w:tr>
      <w:tr w:rsidR="00C276F3" w:rsidTr="007C5949">
        <w:tblPrEx>
          <w:tblBorders>
            <w:top w:val="single" w:sz="6" w:space="0" w:color="auto"/>
          </w:tblBorders>
        </w:tblPrEx>
        <w:trPr>
          <w:trHeight w:val="1394"/>
        </w:trPr>
        <w:tc>
          <w:tcPr>
            <w:tcW w:w="1773" w:type="dxa"/>
            <w:tcBorders>
              <w:bottom w:val="single" w:sz="6" w:space="0" w:color="auto"/>
            </w:tcBorders>
          </w:tcPr>
          <w:p w:rsidR="00C276F3" w:rsidRDefault="00C276F3" w:rsidP="007C5949">
            <w:pPr>
              <w:rPr>
                <w:b/>
              </w:rPr>
            </w:pPr>
            <w:r>
              <w:rPr>
                <w:b/>
              </w:rPr>
              <w:t>19.1</w:t>
            </w:r>
          </w:p>
        </w:tc>
        <w:tc>
          <w:tcPr>
            <w:tcW w:w="7373" w:type="dxa"/>
            <w:tcBorders>
              <w:bottom w:val="single" w:sz="6" w:space="0" w:color="auto"/>
            </w:tcBorders>
          </w:tcPr>
          <w:p w:rsidR="00C276F3" w:rsidRDefault="00C276F3" w:rsidP="007C5949">
            <w:pPr>
              <w:pStyle w:val="BankNormal"/>
              <w:tabs>
                <w:tab w:val="right" w:pos="7218"/>
              </w:tabs>
              <w:spacing w:after="160"/>
              <w:jc w:val="both"/>
            </w:pPr>
            <w:r>
              <w:t xml:space="preserve">Les négociations ont lieu à l’adresse suivante: </w:t>
            </w:r>
          </w:p>
          <w:p w:rsidR="00C276F3" w:rsidRPr="00364D71" w:rsidRDefault="00C276F3" w:rsidP="007C5949">
            <w:pPr>
              <w:pStyle w:val="BodyText"/>
              <w:tabs>
                <w:tab w:val="right" w:pos="7306"/>
              </w:tabs>
              <w:spacing w:after="160"/>
              <w:rPr>
                <w:b/>
              </w:rPr>
            </w:pPr>
            <w:r w:rsidRPr="00364D71">
              <w:rPr>
                <w:b/>
              </w:rPr>
              <w:t xml:space="preserve">Secrétariat Technique de l’ITIE-TOGO </w:t>
            </w:r>
          </w:p>
          <w:p w:rsidR="00C276F3" w:rsidRPr="00364D71" w:rsidRDefault="00C276F3" w:rsidP="007C5949">
            <w:pPr>
              <w:pStyle w:val="BodyText"/>
              <w:tabs>
                <w:tab w:val="right" w:pos="7306"/>
              </w:tabs>
              <w:spacing w:after="160"/>
              <w:rPr>
                <w:b/>
              </w:rPr>
            </w:pPr>
            <w:r w:rsidRPr="00364D71">
              <w:rPr>
                <w:b/>
              </w:rPr>
              <w:t xml:space="preserve">08 B.P. : 82 88 Lomé </w:t>
            </w:r>
          </w:p>
          <w:p w:rsidR="00C276F3" w:rsidRPr="00364D71" w:rsidRDefault="00C276F3" w:rsidP="007C5949">
            <w:pPr>
              <w:pStyle w:val="BodyText"/>
              <w:tabs>
                <w:tab w:val="right" w:pos="7306"/>
              </w:tabs>
              <w:spacing w:after="160"/>
              <w:rPr>
                <w:b/>
              </w:rPr>
            </w:pPr>
            <w:r>
              <w:rPr>
                <w:b/>
              </w:rPr>
              <w:t xml:space="preserve">4412 </w:t>
            </w:r>
            <w:proofErr w:type="spellStart"/>
            <w:r>
              <w:rPr>
                <w:b/>
              </w:rPr>
              <w:t>B</w:t>
            </w:r>
            <w:r w:rsidRPr="00364D71">
              <w:rPr>
                <w:b/>
              </w:rPr>
              <w:t>vd</w:t>
            </w:r>
            <w:proofErr w:type="spellEnd"/>
            <w:r w:rsidRPr="00364D71">
              <w:rPr>
                <w:b/>
              </w:rPr>
              <w:t xml:space="preserve"> Jean Paul II </w:t>
            </w:r>
          </w:p>
          <w:p w:rsidR="00C276F3" w:rsidRPr="00364D71" w:rsidRDefault="00C276F3" w:rsidP="007C5949">
            <w:pPr>
              <w:pStyle w:val="BodyText"/>
              <w:tabs>
                <w:tab w:val="right" w:pos="7306"/>
              </w:tabs>
              <w:spacing w:after="160"/>
              <w:rPr>
                <w:b/>
                <w:u w:val="single"/>
              </w:rPr>
            </w:pPr>
            <w:r w:rsidRPr="00364D71">
              <w:rPr>
                <w:b/>
              </w:rPr>
              <w:t>Tél : 22 26 8</w:t>
            </w:r>
            <w:r>
              <w:rPr>
                <w:b/>
              </w:rPr>
              <w:t>9 90 ; 22 42 08 86</w:t>
            </w:r>
            <w:r w:rsidRPr="00364D71">
              <w:rPr>
                <w:b/>
              </w:rPr>
              <w:t>.</w:t>
            </w:r>
          </w:p>
          <w:p w:rsidR="00C276F3" w:rsidRPr="00F954B3" w:rsidRDefault="00C276F3" w:rsidP="007C5949">
            <w:pPr>
              <w:pStyle w:val="BankNormal"/>
              <w:tabs>
                <w:tab w:val="right" w:pos="7218"/>
              </w:tabs>
              <w:spacing w:after="160"/>
              <w:jc w:val="both"/>
              <w:rPr>
                <w:szCs w:val="24"/>
                <w:lang w:eastAsia="it-IT"/>
              </w:rPr>
            </w:pPr>
            <w:r w:rsidRPr="00364D71">
              <w:rPr>
                <w:b/>
                <w:u w:val="single"/>
              </w:rPr>
              <w:t>E-mail </w:t>
            </w:r>
            <w:r w:rsidRPr="00364D71">
              <w:rPr>
                <w:b/>
              </w:rPr>
              <w:t xml:space="preserve">: </w:t>
            </w:r>
            <w:hyperlink r:id="rId24" w:history="1">
              <w:r w:rsidRPr="00BB10C5">
                <w:rPr>
                  <w:rStyle w:val="Hyperlink"/>
                  <w:b/>
                </w:rPr>
                <w:t>itietogo@yahoo.fr</w:t>
              </w:r>
            </w:hyperlink>
            <w:r>
              <w:rPr>
                <w:b/>
              </w:rPr>
              <w:t xml:space="preserve">. </w:t>
            </w:r>
          </w:p>
        </w:tc>
      </w:tr>
    </w:tbl>
    <w:p w:rsidR="004C6182" w:rsidRDefault="004C6182"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C276F3">
      <w:pPr>
        <w:pStyle w:val="Heading1"/>
      </w:pPr>
      <w:bookmarkStart w:id="41" w:name="_Toc72513661"/>
      <w:bookmarkStart w:id="42" w:name="_Toc72514641"/>
      <w:bookmarkStart w:id="43" w:name="_Toc72514820"/>
      <w:bookmarkStart w:id="44" w:name="_Toc72515055"/>
      <w:bookmarkStart w:id="45" w:name="_Toc189450393"/>
      <w:r>
        <w:lastRenderedPageBreak/>
        <w:t xml:space="preserve">Section 4. Proposition </w:t>
      </w:r>
      <w:r w:rsidRPr="007C7642">
        <w:t>technique</w:t>
      </w:r>
      <w:r>
        <w:t xml:space="preserve"> - Formulaires types</w:t>
      </w:r>
      <w:bookmarkEnd w:id="41"/>
      <w:bookmarkEnd w:id="42"/>
      <w:bookmarkEnd w:id="43"/>
      <w:bookmarkEnd w:id="44"/>
      <w:bookmarkEnd w:id="45"/>
    </w:p>
    <w:p w:rsidR="00C276F3" w:rsidRDefault="00C276F3" w:rsidP="00C276F3">
      <w:pPr>
        <w:pStyle w:val="BankNormal"/>
        <w:jc w:val="both"/>
      </w:pPr>
      <w:r>
        <w:t>[</w:t>
      </w:r>
      <w:r>
        <w:rPr>
          <w:i/>
        </w:rPr>
        <w:t xml:space="preserve">Les commentaires entre crochets </w:t>
      </w:r>
      <w:r>
        <w:t xml:space="preserve">[ ] </w:t>
      </w:r>
      <w:r>
        <w:rPr>
          <w:i/>
        </w:rPr>
        <w:t>sont destinés à aider les Candidats présélectionnés à préparer leurs Propositions techniques; ils ne doivent pas figurer sur les Propositions techniques qui sont soumises.</w:t>
      </w:r>
      <w:r>
        <w:t>]</w:t>
      </w:r>
    </w:p>
    <w:p w:rsidR="00C276F3" w:rsidRDefault="00C276F3" w:rsidP="00C276F3">
      <w:pPr>
        <w:pStyle w:val="BankNormal"/>
        <w:jc w:val="both"/>
      </w:pPr>
      <w:r>
        <w:t>Prière de se reporter au Paragraphe 11.1 de la Section 2 pour toute information concernant le format des Propositions techniques, et pour les Formulaires type requis.</w:t>
      </w:r>
    </w:p>
    <w:p w:rsidR="00C276F3" w:rsidRDefault="00C276F3" w:rsidP="00C276F3"/>
    <w:p w:rsidR="00C276F3" w:rsidRDefault="00C276F3" w:rsidP="00C276F3">
      <w:pPr>
        <w:ind w:left="720" w:hanging="720"/>
      </w:pPr>
      <w:r>
        <w:t>Tech-1.</w:t>
      </w:r>
      <w:r>
        <w:tab/>
        <w:t>Lettre de soumission de la Proposition technique</w:t>
      </w:r>
    </w:p>
    <w:p w:rsidR="00C276F3" w:rsidRDefault="00C276F3" w:rsidP="00C276F3">
      <w:pPr>
        <w:ind w:left="720" w:hanging="720"/>
      </w:pPr>
    </w:p>
    <w:p w:rsidR="00C276F3" w:rsidRDefault="00C276F3" w:rsidP="00C276F3">
      <w:pPr>
        <w:ind w:left="720" w:hanging="720"/>
      </w:pPr>
      <w:r>
        <w:t>Tech-2.</w:t>
      </w:r>
      <w:r>
        <w:tab/>
        <w:t>Organisation et expérience du Candidat</w:t>
      </w:r>
    </w:p>
    <w:p w:rsidR="00C276F3" w:rsidRDefault="00C276F3" w:rsidP="00C276F3">
      <w:pPr>
        <w:ind w:left="720" w:hanging="720"/>
      </w:pPr>
    </w:p>
    <w:p w:rsidR="00C276F3" w:rsidRDefault="00C276F3" w:rsidP="00C276F3">
      <w:pPr>
        <w:numPr>
          <w:ilvl w:val="0"/>
          <w:numId w:val="22"/>
        </w:numPr>
      </w:pPr>
      <w:r>
        <w:t xml:space="preserve">Organisation </w:t>
      </w:r>
    </w:p>
    <w:p w:rsidR="00C276F3" w:rsidRDefault="00C276F3" w:rsidP="00C276F3">
      <w:pPr>
        <w:numPr>
          <w:ilvl w:val="0"/>
          <w:numId w:val="22"/>
        </w:numPr>
      </w:pPr>
      <w:r>
        <w:t>Expérience</w:t>
      </w:r>
    </w:p>
    <w:p w:rsidR="00C276F3" w:rsidRDefault="00C276F3" w:rsidP="00C276F3">
      <w:pPr>
        <w:ind w:left="720" w:hanging="720"/>
      </w:pPr>
    </w:p>
    <w:p w:rsidR="00C276F3" w:rsidRDefault="00C276F3" w:rsidP="00C276F3">
      <w:pPr>
        <w:ind w:left="1440" w:hanging="1440"/>
      </w:pPr>
      <w:r>
        <w:t>Tech-3.</w:t>
      </w:r>
      <w:r>
        <w:tab/>
        <w:t>Observations et/ou suggestions du Candidat sur les Termes de référence, le personnel de contrepartie et les installations devant être fournies par l’Autorité contractante</w:t>
      </w:r>
    </w:p>
    <w:p w:rsidR="00C276F3" w:rsidRDefault="00C276F3" w:rsidP="00C276F3">
      <w:pPr>
        <w:ind w:left="1440" w:hanging="1440"/>
      </w:pPr>
    </w:p>
    <w:p w:rsidR="00C276F3" w:rsidRDefault="00C276F3" w:rsidP="00C276F3">
      <w:pPr>
        <w:numPr>
          <w:ilvl w:val="0"/>
          <w:numId w:val="23"/>
        </w:numPr>
      </w:pPr>
      <w:r>
        <w:t>Sur les Termes de référence</w:t>
      </w:r>
    </w:p>
    <w:p w:rsidR="00C276F3" w:rsidRDefault="00C276F3" w:rsidP="00C276F3">
      <w:pPr>
        <w:numPr>
          <w:ilvl w:val="0"/>
          <w:numId w:val="23"/>
        </w:numPr>
      </w:pPr>
      <w:r>
        <w:t>Sur le personnel de contrepartie et les installations</w:t>
      </w:r>
      <w:r>
        <w:br/>
      </w:r>
    </w:p>
    <w:p w:rsidR="00C276F3" w:rsidRDefault="00C276F3" w:rsidP="00C276F3">
      <w:pPr>
        <w:ind w:left="1440" w:hanging="1440"/>
      </w:pPr>
      <w:r>
        <w:t>Tech-4.</w:t>
      </w:r>
      <w:r>
        <w:tab/>
        <w:t>Descriptif de la méthodologie et du plan de travail proposé pour accomplir la mission</w:t>
      </w:r>
    </w:p>
    <w:p w:rsidR="00C276F3" w:rsidRDefault="00C276F3" w:rsidP="00C276F3">
      <w:pPr>
        <w:ind w:left="720" w:hanging="720"/>
      </w:pPr>
    </w:p>
    <w:p w:rsidR="00C276F3" w:rsidRDefault="00C276F3" w:rsidP="00C276F3">
      <w:pPr>
        <w:ind w:left="720" w:hanging="720"/>
      </w:pPr>
      <w:r>
        <w:t>Tech-5.</w:t>
      </w:r>
      <w:r>
        <w:tab/>
        <w:t>Composition de l’équipe et responsabilités de ses membres</w:t>
      </w:r>
    </w:p>
    <w:p w:rsidR="00C276F3" w:rsidRDefault="00C276F3" w:rsidP="00C276F3">
      <w:pPr>
        <w:ind w:left="720" w:hanging="720"/>
      </w:pPr>
    </w:p>
    <w:p w:rsidR="00C276F3" w:rsidRDefault="00C276F3" w:rsidP="00C276F3">
      <w:pPr>
        <w:ind w:left="720" w:hanging="720"/>
      </w:pPr>
      <w:r>
        <w:t>Tech-6.</w:t>
      </w:r>
      <w:r>
        <w:tab/>
        <w:t>Modèle de Curriculum vitae (CV) pour le personnel clé proposé</w:t>
      </w:r>
    </w:p>
    <w:p w:rsidR="00C276F3" w:rsidRDefault="00C276F3" w:rsidP="00C276F3">
      <w:pPr>
        <w:ind w:left="720" w:hanging="720"/>
      </w:pPr>
    </w:p>
    <w:p w:rsidR="00C276F3" w:rsidRDefault="00C276F3" w:rsidP="00C276F3">
      <w:pPr>
        <w:ind w:left="720" w:hanging="720"/>
      </w:pPr>
      <w:r>
        <w:t>Tech-7.</w:t>
      </w:r>
      <w:r>
        <w:tab/>
        <w:t xml:space="preserve">Calendrier du personnel </w:t>
      </w:r>
    </w:p>
    <w:p w:rsidR="00C276F3" w:rsidRDefault="00C276F3" w:rsidP="00C276F3"/>
    <w:p w:rsidR="00C276F3" w:rsidRDefault="00C276F3" w:rsidP="00C276F3">
      <w:r>
        <w:t>Tech-8.</w:t>
      </w:r>
      <w:r>
        <w:tab/>
        <w:t>Calendrier des activités (programme de travail)</w:t>
      </w:r>
    </w:p>
    <w:p w:rsidR="00C276F3" w:rsidRDefault="00C276F3" w:rsidP="00C276F3"/>
    <w:p w:rsidR="00C276F3" w:rsidRDefault="00C276F3" w:rsidP="00C276F3"/>
    <w:p w:rsidR="00C276F3" w:rsidRPr="00934D2D" w:rsidRDefault="00C276F3" w:rsidP="00C276F3">
      <w:pPr>
        <w:tabs>
          <w:tab w:val="left" w:pos="5760"/>
        </w:tabs>
        <w:jc w:val="center"/>
        <w:rPr>
          <w:b/>
          <w:szCs w:val="24"/>
        </w:rPr>
      </w:pPr>
      <w:r>
        <w:rPr>
          <w:b/>
          <w:sz w:val="28"/>
        </w:rPr>
        <w:br w:type="page"/>
      </w:r>
      <w:r w:rsidRPr="00934D2D">
        <w:rPr>
          <w:b/>
          <w:szCs w:val="24"/>
        </w:rPr>
        <w:lastRenderedPageBreak/>
        <w:t>FORMULAIRE TECH-1 L</w:t>
      </w:r>
      <w:r w:rsidRPr="00934D2D">
        <w:rPr>
          <w:b/>
          <w:smallCaps/>
          <w:szCs w:val="24"/>
        </w:rPr>
        <w:t>ettre de soumission de la Proposition technique</w:t>
      </w:r>
    </w:p>
    <w:p w:rsidR="00C276F3" w:rsidRDefault="00C276F3" w:rsidP="00C276F3">
      <w:pPr>
        <w:pBdr>
          <w:bottom w:val="single" w:sz="12" w:space="1" w:color="auto"/>
        </w:pBdr>
      </w:pPr>
    </w:p>
    <w:p w:rsidR="00C276F3" w:rsidRDefault="00C276F3" w:rsidP="00C276F3">
      <w:pPr>
        <w:rPr>
          <w:b/>
          <w:sz w:val="28"/>
        </w:rPr>
      </w:pPr>
    </w:p>
    <w:p w:rsidR="00C276F3" w:rsidRDefault="00C276F3" w:rsidP="00C276F3">
      <w:pPr>
        <w:jc w:val="right"/>
      </w:pPr>
      <w:r>
        <w:t>[</w:t>
      </w:r>
      <w:r>
        <w:rPr>
          <w:i/>
        </w:rPr>
        <w:t>Lieu, date</w:t>
      </w:r>
      <w:r>
        <w:t>]</w:t>
      </w:r>
    </w:p>
    <w:p w:rsidR="00C276F3" w:rsidRDefault="00C276F3" w:rsidP="00C276F3"/>
    <w:p w:rsidR="00C276F3" w:rsidRDefault="00C276F3" w:rsidP="00C276F3">
      <w:r>
        <w:t>À :</w:t>
      </w:r>
      <w:r>
        <w:tab/>
        <w:t>[</w:t>
      </w:r>
      <w:r>
        <w:rPr>
          <w:i/>
        </w:rPr>
        <w:t>Nom et adresse de l’Autorité contractante</w:t>
      </w:r>
      <w:r>
        <w:t>]</w:t>
      </w:r>
    </w:p>
    <w:p w:rsidR="00C276F3" w:rsidRDefault="00C276F3" w:rsidP="00C276F3"/>
    <w:p w:rsidR="00C276F3" w:rsidRDefault="00C276F3" w:rsidP="00C276F3">
      <w:pPr>
        <w:ind w:firstLine="720"/>
      </w:pPr>
      <w:r>
        <w:t>Madame/Monsieur,</w:t>
      </w:r>
    </w:p>
    <w:p w:rsidR="00C276F3" w:rsidRDefault="00C276F3" w:rsidP="00C276F3"/>
    <w:p w:rsidR="00C276F3" w:rsidRDefault="00C276F3" w:rsidP="00C276F3">
      <w:pPr>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Nous vous soumettons par la présente notre Proposition, qui comprend cette Proposition technique et une Proposition financière sous enveloppe cachetée séparée.</w:t>
      </w:r>
    </w:p>
    <w:p w:rsidR="00C276F3" w:rsidRDefault="00C276F3" w:rsidP="00C276F3">
      <w:pPr>
        <w:ind w:left="720"/>
        <w:jc w:val="both"/>
      </w:pPr>
    </w:p>
    <w:p w:rsidR="00C276F3" w:rsidRDefault="00C276F3" w:rsidP="00C276F3">
      <w:pPr>
        <w:jc w:val="both"/>
      </w:pPr>
      <w:r>
        <w:t>Nous vous soumettons notre Proposition en cotraitance avec : [</w:t>
      </w:r>
      <w:r>
        <w:rPr>
          <w:i/>
        </w:rPr>
        <w:t>Insérer le nom complet et l’adresse de chaque Consultant associé</w:t>
      </w:r>
      <w:r>
        <w:t>]</w:t>
      </w:r>
      <w:r>
        <w:rPr>
          <w:rStyle w:val="FootnoteReference"/>
        </w:rPr>
        <w:footnoteReference w:customMarkFollows="1" w:id="1"/>
        <w:t>2</w:t>
      </w:r>
    </w:p>
    <w:p w:rsidR="00C276F3" w:rsidRDefault="00C276F3" w:rsidP="00C276F3">
      <w:pPr>
        <w:jc w:val="both"/>
      </w:pPr>
    </w:p>
    <w:p w:rsidR="00C276F3" w:rsidRDefault="00C276F3" w:rsidP="00C276F3">
      <w:pPr>
        <w:jc w:val="both"/>
      </w:pPr>
      <w:r>
        <w:t>Nous déclarons par la présente que toutes les informations et déclarations contenues dans la présente Proposition sont vraies et nous acceptons que toute fausse déclaration y apparaissant puisse entraîner notre exclusion.</w:t>
      </w:r>
    </w:p>
    <w:p w:rsidR="00C276F3" w:rsidRDefault="00C276F3" w:rsidP="00C276F3">
      <w:pPr>
        <w:ind w:firstLine="720"/>
        <w:jc w:val="both"/>
      </w:pPr>
    </w:p>
    <w:p w:rsidR="00C276F3" w:rsidRDefault="00C276F3" w:rsidP="00C276F3">
      <w:pPr>
        <w:jc w:val="both"/>
      </w:pPr>
      <w:r>
        <w:t>Notre candidature, ainsi que tous sous-traitants ou cotraitants intervenant en rapport avec une quelconque partie du Marché, ne tombent pas sous les conditions d’exclusion de l’alinéa 4.2 des Instructions aux Candidats</w:t>
      </w:r>
      <w:r>
        <w:rPr>
          <w:iCs/>
        </w:rPr>
        <w:t>.</w:t>
      </w:r>
    </w:p>
    <w:p w:rsidR="00C276F3" w:rsidRDefault="00C276F3" w:rsidP="00C276F3">
      <w:pPr>
        <w:ind w:firstLine="720"/>
        <w:jc w:val="both"/>
      </w:pPr>
    </w:p>
    <w:p w:rsidR="00C276F3" w:rsidRDefault="00C276F3" w:rsidP="00C276F3">
      <w:pPr>
        <w:jc w:val="both"/>
      </w:pPr>
      <w:r>
        <w:t>Nous ne nous trouvons pas dans une situation de conflit d’intérêt définie à l’alinéa 2.2 des Instructions aux Candidats.</w:t>
      </w:r>
    </w:p>
    <w:p w:rsidR="00C276F3" w:rsidRDefault="00C276F3" w:rsidP="00C276F3">
      <w:pPr>
        <w:ind w:firstLine="720"/>
        <w:jc w:val="both"/>
      </w:pPr>
    </w:p>
    <w:p w:rsidR="00C276F3" w:rsidRDefault="00C276F3" w:rsidP="00C276F3">
      <w:pPr>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joint à notre proposition technique, signé par nos soins.</w:t>
      </w:r>
    </w:p>
    <w:p w:rsidR="00C276F3" w:rsidRDefault="00C276F3" w:rsidP="00C276F3">
      <w:pPr>
        <w:ind w:firstLine="720"/>
        <w:jc w:val="both"/>
      </w:pPr>
    </w:p>
    <w:p w:rsidR="00C276F3" w:rsidRDefault="00C276F3" w:rsidP="00C276F3">
      <w:pPr>
        <w:jc w:val="both"/>
      </w:pPr>
      <w:r>
        <w:t>Si les négociations ont lieu pendant la période de validité de la Proposition, c’est</w:t>
      </w:r>
      <w:r>
        <w:noBreakHyphen/>
        <w:t>à</w:t>
      </w:r>
      <w:r>
        <w:noBreakHyphen/>
        <w:t>dire avant l’échéance indiquée aux Données particulières de la DDP (Clause 6 des IC), nous nous engageons à négocier sur la base du personnel proposé ici. Notre Proposition a pour nous force obligatoire, sous réserve des modifications résultant des négociations.</w:t>
      </w:r>
    </w:p>
    <w:p w:rsidR="00C276F3" w:rsidRDefault="00C276F3" w:rsidP="00C276F3">
      <w:pPr>
        <w:jc w:val="both"/>
      </w:pPr>
    </w:p>
    <w:p w:rsidR="00C276F3" w:rsidRDefault="00C276F3" w:rsidP="00C276F3">
      <w:pPr>
        <w:jc w:val="both"/>
      </w:pPr>
      <w:r>
        <w:t>Si notre Proposition est retenue, nous nous engageons à commencer la prestation de nos services de conseil pour la mission proposée dès réception d’un ordre de service de commencer nos prestations.</w:t>
      </w:r>
    </w:p>
    <w:p w:rsidR="00C276F3" w:rsidRDefault="00C276F3" w:rsidP="00C276F3">
      <w:pPr>
        <w:tabs>
          <w:tab w:val="left" w:pos="720"/>
        </w:tabs>
      </w:pPr>
    </w:p>
    <w:p w:rsidR="00C276F3" w:rsidRDefault="00C276F3" w:rsidP="00C276F3">
      <w:pPr>
        <w:tabs>
          <w:tab w:val="left" w:pos="720"/>
        </w:tabs>
      </w:pPr>
    </w:p>
    <w:p w:rsidR="00C276F3" w:rsidRDefault="00C276F3" w:rsidP="00C276F3">
      <w:pPr>
        <w:tabs>
          <w:tab w:val="left" w:pos="720"/>
        </w:tabs>
      </w:pPr>
      <w:r>
        <w:t>Veuillez agréer, Madame/Monsieur, l’assurance de notre considération distinguée.</w:t>
      </w:r>
    </w:p>
    <w:p w:rsidR="00C276F3" w:rsidRDefault="00C276F3" w:rsidP="00C276F3">
      <w:pPr>
        <w:jc w:val="center"/>
      </w:pPr>
    </w:p>
    <w:p w:rsidR="00C276F3" w:rsidRDefault="00C276F3" w:rsidP="00C276F3">
      <w:pPr>
        <w:jc w:val="center"/>
      </w:pPr>
    </w:p>
    <w:p w:rsidR="00C276F3" w:rsidRDefault="00C276F3" w:rsidP="00C276F3">
      <w:r>
        <w:t>Signature du représentant habilité : [</w:t>
      </w:r>
      <w:r>
        <w:rPr>
          <w:i/>
        </w:rPr>
        <w:t>Complète et initiales</w:t>
      </w:r>
      <w:r>
        <w:t>]</w:t>
      </w:r>
    </w:p>
    <w:p w:rsidR="00C276F3" w:rsidRDefault="00C276F3" w:rsidP="00C276F3"/>
    <w:p w:rsidR="00C276F3" w:rsidRPr="006A7CEA" w:rsidRDefault="00C276F3" w:rsidP="00C276F3">
      <w:pPr>
        <w:rPr>
          <w:i/>
        </w:rPr>
      </w:pPr>
      <w:r>
        <w:t xml:space="preserve">Nom et titre du signataire : </w:t>
      </w:r>
      <w:r w:rsidRPr="006A7CEA">
        <w:rPr>
          <w:i/>
        </w:rPr>
        <w:t>[A apposer]</w:t>
      </w:r>
    </w:p>
    <w:p w:rsidR="00C276F3" w:rsidRDefault="00C276F3" w:rsidP="00C276F3"/>
    <w:p w:rsidR="00C276F3" w:rsidRPr="006A7CEA" w:rsidRDefault="00C276F3" w:rsidP="00C276F3">
      <w:pPr>
        <w:rPr>
          <w:i/>
        </w:rPr>
      </w:pPr>
      <w:r>
        <w:t>Nom et adresse du cabinet du Candidat </w:t>
      </w:r>
      <w:r w:rsidRPr="006A7CEA">
        <w:rPr>
          <w:i/>
        </w:rPr>
        <w:t>: [A insérer]</w:t>
      </w: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C276F3">
      <w:r>
        <w:br w:type="page"/>
      </w:r>
    </w:p>
    <w:p w:rsidR="00C276F3" w:rsidRDefault="00C276F3" w:rsidP="00C276F3">
      <w:pPr>
        <w:pStyle w:val="Heading2"/>
        <w:keepLines w:val="0"/>
        <w:spacing w:before="0"/>
        <w:rPr>
          <w:rFonts w:ascii="Times New Roman" w:hAnsi="Times New Roman"/>
          <w:smallCaps/>
        </w:rPr>
      </w:pPr>
      <w:bookmarkStart w:id="46" w:name="_Toc72513344"/>
      <w:bookmarkStart w:id="47" w:name="_Toc72513662"/>
      <w:bookmarkStart w:id="48" w:name="_Toc72514642"/>
      <w:bookmarkStart w:id="49" w:name="_Toc72514821"/>
      <w:bookmarkStart w:id="50" w:name="_Toc72515056"/>
      <w:r>
        <w:rPr>
          <w:rFonts w:ascii="Times New Roman" w:hAnsi="Times New Roman"/>
          <w:smallCaps/>
        </w:rPr>
        <w:lastRenderedPageBreak/>
        <w:t>FORMULAIRE TECH-2 ORGANISATION ET EXPERIENCE DU CANDIDAT</w:t>
      </w:r>
      <w:bookmarkEnd w:id="46"/>
      <w:bookmarkEnd w:id="47"/>
      <w:bookmarkEnd w:id="48"/>
      <w:bookmarkEnd w:id="49"/>
      <w:bookmarkEnd w:id="50"/>
    </w:p>
    <w:p w:rsidR="00C276F3" w:rsidRDefault="00C276F3" w:rsidP="00C276F3">
      <w:pPr>
        <w:tabs>
          <w:tab w:val="left" w:pos="5760"/>
        </w:tabs>
        <w:jc w:val="center"/>
        <w:rPr>
          <w:b/>
          <w:sz w:val="28"/>
        </w:rPr>
      </w:pPr>
    </w:p>
    <w:p w:rsidR="00C276F3" w:rsidRDefault="00C276F3" w:rsidP="00C276F3">
      <w:pPr>
        <w:pBdr>
          <w:bottom w:val="single" w:sz="12" w:space="1" w:color="auto"/>
        </w:pBdr>
      </w:pPr>
    </w:p>
    <w:p w:rsidR="00C276F3" w:rsidRDefault="00C276F3" w:rsidP="00C276F3"/>
    <w:p w:rsidR="00C276F3" w:rsidRDefault="00C276F3" w:rsidP="00C276F3">
      <w:pPr>
        <w:jc w:val="center"/>
      </w:pPr>
    </w:p>
    <w:p w:rsidR="00C276F3" w:rsidRDefault="00C276F3" w:rsidP="00C276F3">
      <w:pPr>
        <w:jc w:val="center"/>
      </w:pPr>
    </w:p>
    <w:p w:rsidR="00C276F3" w:rsidRDefault="00C276F3" w:rsidP="00C276F3">
      <w:pPr>
        <w:pStyle w:val="Heading2"/>
        <w:keepLines w:val="0"/>
        <w:spacing w:before="0"/>
        <w:rPr>
          <w:rFonts w:ascii="Times New Roman" w:hAnsi="Times New Roman"/>
          <w:smallCaps/>
        </w:rPr>
      </w:pPr>
      <w:bookmarkStart w:id="51" w:name="_Toc72513345"/>
      <w:bookmarkStart w:id="52" w:name="_Toc72513663"/>
      <w:bookmarkStart w:id="53" w:name="_Toc72514643"/>
      <w:bookmarkStart w:id="54" w:name="_Toc72514822"/>
      <w:bookmarkStart w:id="55" w:name="_Toc72515057"/>
      <w:r>
        <w:rPr>
          <w:rFonts w:ascii="Times New Roman" w:hAnsi="Times New Roman"/>
          <w:smallCaps/>
        </w:rPr>
        <w:t>A - Organisation</w:t>
      </w:r>
      <w:bookmarkEnd w:id="51"/>
      <w:bookmarkEnd w:id="52"/>
      <w:bookmarkEnd w:id="53"/>
      <w:bookmarkEnd w:id="54"/>
      <w:bookmarkEnd w:id="55"/>
    </w:p>
    <w:p w:rsidR="00C276F3" w:rsidRDefault="00C276F3" w:rsidP="00C276F3">
      <w:pPr>
        <w:jc w:val="center"/>
      </w:pPr>
    </w:p>
    <w:p w:rsidR="00C276F3" w:rsidRDefault="00C276F3" w:rsidP="00C276F3">
      <w:pPr>
        <w:jc w:val="center"/>
      </w:pPr>
    </w:p>
    <w:p w:rsidR="00C276F3" w:rsidRDefault="00C276F3" w:rsidP="00C276F3">
      <w:pPr>
        <w:jc w:val="center"/>
        <w:rPr>
          <w:sz w:val="28"/>
        </w:rPr>
      </w:pPr>
      <w:r>
        <w:rPr>
          <w:sz w:val="28"/>
        </w:rPr>
        <w:t>[</w:t>
      </w:r>
      <w:r>
        <w:rPr>
          <w:i/>
          <w:sz w:val="28"/>
        </w:rPr>
        <w:t>Présenter une brève description (deux pages) de l’historique et de l’organisation de votre cabinet/société et de chaque associé à cette mission</w:t>
      </w:r>
      <w:r>
        <w:rPr>
          <w:sz w:val="28"/>
        </w:rPr>
        <w:t>]</w:t>
      </w: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C276F3">
      <w:pPr>
        <w:jc w:val="center"/>
      </w:pPr>
      <w:r>
        <w:rPr>
          <w:b/>
        </w:rPr>
        <w:lastRenderedPageBreak/>
        <w:t>B – Expérience du Candidat</w:t>
      </w:r>
    </w:p>
    <w:p w:rsidR="00C276F3" w:rsidRDefault="00C276F3" w:rsidP="00C276F3"/>
    <w:p w:rsidR="00C276F3" w:rsidRDefault="00C276F3" w:rsidP="00C276F3">
      <w:pPr>
        <w:jc w:val="both"/>
        <w:rPr>
          <w:i/>
        </w:rPr>
      </w:pPr>
      <w:r>
        <w:rPr>
          <w:i/>
        </w:rPr>
        <w:t xml:space="preserve">[À l’aide du formulaire ci-dessous, indiquez les renseignements demandés pour chaque mission pertinente que votre société/organisme, ainsi que chaque associé, ont obtenue par marché, </w:t>
      </w:r>
      <w:proofErr w:type="spellStart"/>
      <w:r>
        <w:rPr>
          <w:i/>
        </w:rPr>
        <w:t>soitindividuellement</w:t>
      </w:r>
      <w:proofErr w:type="spellEnd"/>
      <w:r>
        <w:rPr>
          <w:i/>
        </w:rPr>
        <w:t xml:space="preserve"> en tant que seule société, soit comme l’un des principaux partenaires d’une association afin d’offrir des services similaires à ceux demandés dans le cadre de la présente mission. Utiliser 20 pages maximum.] </w:t>
      </w:r>
    </w:p>
    <w:p w:rsidR="00C276F3" w:rsidRDefault="00C276F3" w:rsidP="00C276F3"/>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2955"/>
        <w:gridCol w:w="3255"/>
      </w:tblGrid>
      <w:tr w:rsidR="00C276F3" w:rsidTr="007C5949">
        <w:tc>
          <w:tcPr>
            <w:tcW w:w="5835" w:type="dxa"/>
            <w:gridSpan w:val="2"/>
          </w:tcPr>
          <w:p w:rsidR="00C276F3" w:rsidRDefault="00C276F3" w:rsidP="007C5949">
            <w:pPr>
              <w:rPr>
                <w:sz w:val="20"/>
              </w:rPr>
            </w:pPr>
            <w:r>
              <w:rPr>
                <w:sz w:val="20"/>
              </w:rPr>
              <w:t>Nom de la Mission :</w:t>
            </w:r>
          </w:p>
        </w:tc>
        <w:tc>
          <w:tcPr>
            <w:tcW w:w="3255" w:type="dxa"/>
          </w:tcPr>
          <w:p w:rsidR="00C276F3" w:rsidRDefault="00C276F3" w:rsidP="007C5949">
            <w:pPr>
              <w:rPr>
                <w:sz w:val="20"/>
              </w:rPr>
            </w:pPr>
            <w:r>
              <w:rPr>
                <w:sz w:val="20"/>
              </w:rPr>
              <w:t>Valeur approximative du contrat (en FCFA):</w:t>
            </w:r>
          </w:p>
          <w:p w:rsidR="00C276F3" w:rsidRDefault="00C276F3" w:rsidP="007C5949">
            <w:pPr>
              <w:rPr>
                <w:sz w:val="20"/>
              </w:rPr>
            </w:pPr>
          </w:p>
          <w:p w:rsidR="00C276F3" w:rsidRDefault="00C276F3" w:rsidP="007C5949">
            <w:pPr>
              <w:rPr>
                <w:sz w:val="20"/>
              </w:rPr>
            </w:pPr>
          </w:p>
        </w:tc>
      </w:tr>
      <w:tr w:rsidR="00C276F3" w:rsidTr="007C5949">
        <w:tc>
          <w:tcPr>
            <w:tcW w:w="5835" w:type="dxa"/>
            <w:gridSpan w:val="2"/>
          </w:tcPr>
          <w:p w:rsidR="00C276F3" w:rsidRDefault="00C276F3" w:rsidP="007C5949">
            <w:pPr>
              <w:rPr>
                <w:sz w:val="20"/>
              </w:rPr>
            </w:pPr>
            <w:r>
              <w:rPr>
                <w:sz w:val="20"/>
              </w:rPr>
              <w:t>Pays :</w:t>
            </w:r>
          </w:p>
          <w:p w:rsidR="00C276F3" w:rsidRDefault="00C276F3" w:rsidP="007C5949">
            <w:pPr>
              <w:rPr>
                <w:sz w:val="20"/>
              </w:rPr>
            </w:pPr>
            <w:r>
              <w:rPr>
                <w:sz w:val="20"/>
              </w:rPr>
              <w:t>Lieu :</w:t>
            </w:r>
          </w:p>
        </w:tc>
        <w:tc>
          <w:tcPr>
            <w:tcW w:w="3255" w:type="dxa"/>
          </w:tcPr>
          <w:p w:rsidR="00C276F3" w:rsidRDefault="00C276F3" w:rsidP="007C5949">
            <w:pPr>
              <w:rPr>
                <w:sz w:val="20"/>
              </w:rPr>
            </w:pPr>
            <w:r>
              <w:rPr>
                <w:sz w:val="20"/>
              </w:rPr>
              <w:t>Durée de la mission (mois)</w:t>
            </w:r>
          </w:p>
          <w:p w:rsidR="00C276F3" w:rsidRDefault="00C276F3" w:rsidP="007C5949">
            <w:pPr>
              <w:rPr>
                <w:sz w:val="20"/>
              </w:rPr>
            </w:pPr>
          </w:p>
        </w:tc>
      </w:tr>
      <w:tr w:rsidR="00C276F3" w:rsidTr="007C5949">
        <w:tc>
          <w:tcPr>
            <w:tcW w:w="5835" w:type="dxa"/>
            <w:gridSpan w:val="2"/>
          </w:tcPr>
          <w:p w:rsidR="00C276F3" w:rsidRDefault="00C276F3" w:rsidP="007C5949">
            <w:pPr>
              <w:rPr>
                <w:sz w:val="20"/>
              </w:rPr>
            </w:pPr>
            <w:r>
              <w:rPr>
                <w:sz w:val="20"/>
              </w:rPr>
              <w:t>Nom de l’Autorité contractante:</w:t>
            </w:r>
          </w:p>
        </w:tc>
        <w:tc>
          <w:tcPr>
            <w:tcW w:w="3255" w:type="dxa"/>
          </w:tcPr>
          <w:p w:rsidR="00C276F3" w:rsidRDefault="00C276F3" w:rsidP="007C5949">
            <w:pPr>
              <w:rPr>
                <w:sz w:val="20"/>
              </w:rPr>
            </w:pPr>
            <w:r>
              <w:rPr>
                <w:sz w:val="20"/>
              </w:rPr>
              <w:t>Nombre total d’employés/mois ayant participé à la Mission :</w:t>
            </w:r>
          </w:p>
          <w:p w:rsidR="00C276F3" w:rsidRDefault="00C276F3" w:rsidP="007C5949">
            <w:pPr>
              <w:rPr>
                <w:sz w:val="20"/>
              </w:rPr>
            </w:pPr>
          </w:p>
        </w:tc>
      </w:tr>
      <w:tr w:rsidR="00C276F3" w:rsidTr="007C5949">
        <w:tc>
          <w:tcPr>
            <w:tcW w:w="5835" w:type="dxa"/>
            <w:gridSpan w:val="2"/>
          </w:tcPr>
          <w:p w:rsidR="00C276F3" w:rsidRDefault="00C276F3" w:rsidP="007C5949">
            <w:pPr>
              <w:rPr>
                <w:sz w:val="20"/>
              </w:rPr>
            </w:pPr>
            <w:r>
              <w:rPr>
                <w:sz w:val="20"/>
              </w:rPr>
              <w:t>Adresse :</w:t>
            </w:r>
          </w:p>
        </w:tc>
        <w:tc>
          <w:tcPr>
            <w:tcW w:w="3255" w:type="dxa"/>
          </w:tcPr>
          <w:p w:rsidR="00C276F3" w:rsidRDefault="00C276F3" w:rsidP="007C5949">
            <w:pPr>
              <w:rPr>
                <w:sz w:val="20"/>
              </w:rPr>
            </w:pPr>
            <w:r>
              <w:rPr>
                <w:sz w:val="20"/>
              </w:rPr>
              <w:t>Valeur approximative des services offerts par votre société dans le cadre du contrat (en FCFA) :</w:t>
            </w:r>
          </w:p>
          <w:p w:rsidR="00C276F3" w:rsidRDefault="00C276F3" w:rsidP="007C5949">
            <w:pPr>
              <w:rPr>
                <w:sz w:val="20"/>
              </w:rPr>
            </w:pPr>
          </w:p>
          <w:p w:rsidR="00C276F3" w:rsidRDefault="00C276F3" w:rsidP="007C5949">
            <w:pPr>
              <w:rPr>
                <w:sz w:val="20"/>
              </w:rPr>
            </w:pPr>
          </w:p>
        </w:tc>
      </w:tr>
      <w:tr w:rsidR="00C276F3" w:rsidTr="007C5949">
        <w:tc>
          <w:tcPr>
            <w:tcW w:w="2880" w:type="dxa"/>
          </w:tcPr>
          <w:p w:rsidR="00C276F3" w:rsidRDefault="00C276F3" w:rsidP="007C5949">
            <w:pPr>
              <w:rPr>
                <w:sz w:val="20"/>
              </w:rPr>
            </w:pPr>
            <w:r>
              <w:rPr>
                <w:sz w:val="20"/>
              </w:rPr>
              <w:t>Date de démarrage (mois/année) :</w:t>
            </w:r>
          </w:p>
          <w:p w:rsidR="00C276F3" w:rsidRDefault="00C276F3" w:rsidP="007C5949">
            <w:pPr>
              <w:rPr>
                <w:sz w:val="20"/>
              </w:rPr>
            </w:pPr>
            <w:r>
              <w:rPr>
                <w:sz w:val="20"/>
              </w:rPr>
              <w:t>Date d’achèvement (mois/année)</w:t>
            </w:r>
          </w:p>
        </w:tc>
        <w:tc>
          <w:tcPr>
            <w:tcW w:w="2955" w:type="dxa"/>
          </w:tcPr>
          <w:p w:rsidR="00C276F3" w:rsidRDefault="00C276F3" w:rsidP="007C5949">
            <w:pPr>
              <w:rPr>
                <w:sz w:val="20"/>
              </w:rPr>
            </w:pPr>
          </w:p>
        </w:tc>
        <w:tc>
          <w:tcPr>
            <w:tcW w:w="3255" w:type="dxa"/>
          </w:tcPr>
          <w:p w:rsidR="00C276F3" w:rsidRDefault="00C276F3" w:rsidP="007C5949">
            <w:pPr>
              <w:rPr>
                <w:sz w:val="20"/>
              </w:rPr>
            </w:pPr>
            <w:r>
              <w:rPr>
                <w:sz w:val="20"/>
              </w:rPr>
              <w:t>Nombre d’employés/mois fournis par les consultants associés</w:t>
            </w:r>
          </w:p>
          <w:p w:rsidR="00C276F3" w:rsidRDefault="00C276F3" w:rsidP="007C5949">
            <w:pPr>
              <w:rPr>
                <w:sz w:val="20"/>
              </w:rPr>
            </w:pPr>
          </w:p>
        </w:tc>
      </w:tr>
      <w:tr w:rsidR="00C276F3" w:rsidTr="007C5949">
        <w:tc>
          <w:tcPr>
            <w:tcW w:w="5835" w:type="dxa"/>
            <w:gridSpan w:val="2"/>
          </w:tcPr>
          <w:p w:rsidR="00C276F3" w:rsidRDefault="00C276F3" w:rsidP="007C5949">
            <w:pPr>
              <w:rPr>
                <w:sz w:val="20"/>
              </w:rPr>
            </w:pPr>
            <w:r>
              <w:rPr>
                <w:sz w:val="20"/>
              </w:rPr>
              <w:t>Noms des consultants associés/partenaires éventuels :</w:t>
            </w:r>
          </w:p>
        </w:tc>
        <w:tc>
          <w:tcPr>
            <w:tcW w:w="3255" w:type="dxa"/>
          </w:tcPr>
          <w:p w:rsidR="00C276F3" w:rsidRDefault="00C276F3" w:rsidP="007C5949">
            <w:pPr>
              <w:rPr>
                <w:sz w:val="20"/>
              </w:rPr>
            </w:pPr>
            <w:r>
              <w:rPr>
                <w:sz w:val="20"/>
              </w:rPr>
              <w:t>Nom des cadres professionnels de votre société employés et fonctions exécutées (indiquer les postes principaux, par ex. Directeur/coordonnateur, Chef d’équipe) :</w:t>
            </w:r>
          </w:p>
          <w:p w:rsidR="00C276F3" w:rsidRDefault="00C276F3" w:rsidP="007C5949">
            <w:pPr>
              <w:rPr>
                <w:sz w:val="20"/>
              </w:rPr>
            </w:pPr>
          </w:p>
          <w:p w:rsidR="00C276F3" w:rsidRDefault="00C276F3" w:rsidP="007C5949">
            <w:pPr>
              <w:rPr>
                <w:sz w:val="20"/>
              </w:rPr>
            </w:pPr>
          </w:p>
        </w:tc>
      </w:tr>
      <w:tr w:rsidR="00C276F3" w:rsidTr="007C5949">
        <w:tc>
          <w:tcPr>
            <w:tcW w:w="9090" w:type="dxa"/>
            <w:gridSpan w:val="3"/>
          </w:tcPr>
          <w:p w:rsidR="00C276F3" w:rsidRDefault="00C276F3" w:rsidP="007C5949">
            <w:pPr>
              <w:rPr>
                <w:sz w:val="20"/>
              </w:rPr>
            </w:pPr>
            <w:r>
              <w:rPr>
                <w:sz w:val="20"/>
              </w:rPr>
              <w:t>Description du projet :</w:t>
            </w:r>
          </w:p>
          <w:p w:rsidR="00C276F3" w:rsidRDefault="00C276F3" w:rsidP="007C5949">
            <w:pPr>
              <w:rPr>
                <w:sz w:val="20"/>
              </w:rPr>
            </w:pPr>
          </w:p>
          <w:p w:rsidR="00C276F3" w:rsidRDefault="00C276F3" w:rsidP="007C5949">
            <w:pPr>
              <w:rPr>
                <w:sz w:val="20"/>
              </w:rPr>
            </w:pPr>
          </w:p>
          <w:p w:rsidR="00C276F3" w:rsidRDefault="00C276F3" w:rsidP="007C5949">
            <w:pPr>
              <w:rPr>
                <w:sz w:val="20"/>
              </w:rPr>
            </w:pPr>
          </w:p>
        </w:tc>
      </w:tr>
      <w:tr w:rsidR="00C276F3" w:rsidTr="007C5949">
        <w:tc>
          <w:tcPr>
            <w:tcW w:w="9090" w:type="dxa"/>
            <w:gridSpan w:val="3"/>
          </w:tcPr>
          <w:p w:rsidR="00C276F3" w:rsidRDefault="00C276F3" w:rsidP="007C5949">
            <w:pPr>
              <w:rPr>
                <w:sz w:val="20"/>
              </w:rPr>
            </w:pPr>
            <w:r>
              <w:rPr>
                <w:sz w:val="20"/>
              </w:rPr>
              <w:t>Description des services effectivement rendus par votre personnel dans le cadre de la mission :</w:t>
            </w:r>
          </w:p>
          <w:p w:rsidR="00C276F3" w:rsidRDefault="00C276F3" w:rsidP="007C5949">
            <w:pPr>
              <w:rPr>
                <w:sz w:val="20"/>
              </w:rPr>
            </w:pPr>
          </w:p>
          <w:p w:rsidR="00C276F3" w:rsidRDefault="00C276F3" w:rsidP="007C5949">
            <w:pPr>
              <w:rPr>
                <w:sz w:val="20"/>
              </w:rPr>
            </w:pPr>
          </w:p>
          <w:p w:rsidR="00C276F3" w:rsidRDefault="00C276F3" w:rsidP="007C5949">
            <w:pPr>
              <w:rPr>
                <w:sz w:val="20"/>
              </w:rPr>
            </w:pPr>
          </w:p>
          <w:p w:rsidR="00C276F3" w:rsidRDefault="00C276F3" w:rsidP="007C5949">
            <w:pPr>
              <w:rPr>
                <w:sz w:val="20"/>
              </w:rPr>
            </w:pPr>
          </w:p>
        </w:tc>
      </w:tr>
    </w:tbl>
    <w:p w:rsidR="00C276F3" w:rsidRDefault="00C276F3" w:rsidP="00C276F3">
      <w:pPr>
        <w:tabs>
          <w:tab w:val="left" w:pos="5760"/>
        </w:tabs>
        <w:jc w:val="center"/>
      </w:pPr>
    </w:p>
    <w:p w:rsidR="00C276F3" w:rsidRDefault="00C276F3" w:rsidP="00C276F3">
      <w:pPr>
        <w:tabs>
          <w:tab w:val="left" w:pos="5760"/>
        </w:tabs>
        <w:jc w:val="center"/>
      </w:pPr>
    </w:p>
    <w:p w:rsidR="00C276F3" w:rsidRDefault="00C276F3" w:rsidP="00C276F3">
      <w:pPr>
        <w:tabs>
          <w:tab w:val="left" w:pos="5760"/>
        </w:tabs>
      </w:pPr>
      <w:r>
        <w:t>Nom de la Société : __________________________________________________________</w:t>
      </w: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C276F3">
      <w:pPr>
        <w:tabs>
          <w:tab w:val="left" w:pos="5760"/>
        </w:tabs>
        <w:jc w:val="center"/>
        <w:rPr>
          <w:b/>
          <w:sz w:val="28"/>
        </w:rPr>
      </w:pPr>
      <w:r>
        <w:rPr>
          <w:b/>
        </w:rPr>
        <w:lastRenderedPageBreak/>
        <w:t>FORMULAIRE TECH –3 O</w:t>
      </w:r>
      <w:r>
        <w:rPr>
          <w:rFonts w:ascii="Times New Roman Bold" w:hAnsi="Times New Roman Bold"/>
          <w:b/>
          <w:smallCaps/>
          <w:sz w:val="28"/>
        </w:rPr>
        <w:t>bservations et suggestions du Candidat sur les Termes de référence et sur le personnel de contrepartie et services devant être fournis par l’Autorité contractante</w:t>
      </w:r>
    </w:p>
    <w:p w:rsidR="00C276F3" w:rsidRDefault="00C276F3" w:rsidP="00C276F3">
      <w:pPr>
        <w:pBdr>
          <w:bottom w:val="single" w:sz="12" w:space="1" w:color="auto"/>
        </w:pBdr>
      </w:pPr>
    </w:p>
    <w:p w:rsidR="00C276F3" w:rsidRDefault="00C276F3" w:rsidP="00C276F3"/>
    <w:p w:rsidR="00C276F3" w:rsidRDefault="00C276F3" w:rsidP="00C276F3"/>
    <w:p w:rsidR="00C276F3" w:rsidRDefault="00C276F3" w:rsidP="00C276F3">
      <w:pPr>
        <w:ind w:left="2880"/>
        <w:rPr>
          <w:b/>
        </w:rPr>
      </w:pPr>
      <w:r>
        <w:rPr>
          <w:b/>
        </w:rPr>
        <w:t>A – Sur les Termes de référence</w:t>
      </w:r>
    </w:p>
    <w:p w:rsidR="00C276F3" w:rsidRDefault="00C276F3" w:rsidP="00C276F3"/>
    <w:p w:rsidR="00C276F3" w:rsidRDefault="00C276F3" w:rsidP="00C276F3">
      <w:pPr>
        <w:jc w:val="both"/>
      </w:pPr>
      <w:r>
        <w:t>[</w:t>
      </w:r>
      <w:r>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C276F3">
      <w:pPr>
        <w:ind w:left="1440"/>
        <w:rPr>
          <w:b/>
        </w:rPr>
      </w:pPr>
      <w:r>
        <w:rPr>
          <w:b/>
        </w:rPr>
        <w:t>B- Sur le personnel de contrepartie et les installations</w:t>
      </w:r>
    </w:p>
    <w:p w:rsidR="00C276F3" w:rsidRDefault="00C276F3" w:rsidP="00C276F3">
      <w:pPr>
        <w:ind w:left="1440"/>
        <w:rPr>
          <w:b/>
        </w:rPr>
      </w:pPr>
    </w:p>
    <w:p w:rsidR="00C276F3" w:rsidRDefault="00C276F3" w:rsidP="00C276F3">
      <w:pPr>
        <w:ind w:left="1440"/>
        <w:rPr>
          <w:b/>
        </w:rPr>
      </w:pPr>
    </w:p>
    <w:p w:rsidR="00C276F3" w:rsidRDefault="00C276F3" w:rsidP="00C276F3">
      <w:pPr>
        <w:ind w:left="1440"/>
        <w:jc w:val="both"/>
        <w:rPr>
          <w:b/>
        </w:rPr>
      </w:pPr>
    </w:p>
    <w:p w:rsidR="00C276F3" w:rsidRDefault="00C276F3" w:rsidP="00C276F3">
      <w:pPr>
        <w:jc w:val="both"/>
      </w:pPr>
      <w:r>
        <w:t>[</w:t>
      </w:r>
      <w:r>
        <w:rPr>
          <w:i/>
        </w:rPr>
        <w:t xml:space="preserve">Commentaires sur le personnel de contrepartie et les services que doit fournir l’Autorité contractante conformément au paragraphe 1.4 des </w:t>
      </w:r>
      <w:r w:rsidRPr="0070619A">
        <w:rPr>
          <w:b/>
          <w:i/>
        </w:rPr>
        <w:t>Données particulières</w:t>
      </w:r>
      <w:r>
        <w:rPr>
          <w:i/>
        </w:rPr>
        <w:t>, notamment : personnel administratif, espace de bureaux, transport local, équipements, données, etc.</w:t>
      </w:r>
      <w:r>
        <w:t>]</w:t>
      </w: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C276F3">
      <w:pPr>
        <w:pStyle w:val="BodyText2"/>
        <w:rPr>
          <w:b/>
        </w:rPr>
      </w:pPr>
      <w:r>
        <w:t xml:space="preserve">Formulaire tech-4  Description de la conception, de la méthodologie et du plan de travail proposés pour accomplir la mission </w:t>
      </w:r>
    </w:p>
    <w:p w:rsidR="00C276F3" w:rsidRDefault="00C276F3" w:rsidP="00C276F3">
      <w:pPr>
        <w:pBdr>
          <w:bottom w:val="single" w:sz="12" w:space="1" w:color="auto"/>
        </w:pBdr>
      </w:pPr>
    </w:p>
    <w:p w:rsidR="00C276F3" w:rsidRDefault="00C276F3" w:rsidP="00C276F3">
      <w:pPr>
        <w:jc w:val="both"/>
        <w:rPr>
          <w:b/>
          <w:sz w:val="28"/>
        </w:rPr>
      </w:pPr>
    </w:p>
    <w:p w:rsidR="00C276F3" w:rsidRDefault="00C276F3" w:rsidP="00C276F3">
      <w:pPr>
        <w:jc w:val="both"/>
      </w:pPr>
      <w:r>
        <w:t>(Dans le cas de projets très simples, l’Autorité contractante amendera le texte en italique suivant, de manière adaptée à l’espèce)</w:t>
      </w:r>
    </w:p>
    <w:p w:rsidR="00C276F3" w:rsidRDefault="00C276F3" w:rsidP="00C276F3">
      <w:pPr>
        <w:jc w:val="both"/>
      </w:pPr>
    </w:p>
    <w:p w:rsidR="00C276F3" w:rsidRDefault="00C276F3" w:rsidP="00C276F3">
      <w:pPr>
        <w:jc w:val="both"/>
        <w:rPr>
          <w:i/>
        </w:rPr>
      </w:pPr>
      <w:r>
        <w:t>[</w:t>
      </w:r>
      <w:r>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rsidR="00C276F3" w:rsidRDefault="00C276F3" w:rsidP="00C276F3">
      <w:pPr>
        <w:rPr>
          <w:i/>
        </w:rPr>
      </w:pPr>
    </w:p>
    <w:p w:rsidR="00C276F3" w:rsidRDefault="00C276F3" w:rsidP="00C276F3">
      <w:pPr>
        <w:numPr>
          <w:ilvl w:val="0"/>
          <w:numId w:val="24"/>
        </w:numPr>
        <w:rPr>
          <w:i/>
        </w:rPr>
      </w:pPr>
      <w:r>
        <w:rPr>
          <w:i/>
        </w:rPr>
        <w:t>Conception technique et méthodologie,</w:t>
      </w:r>
    </w:p>
    <w:p w:rsidR="00C276F3" w:rsidRDefault="00C276F3" w:rsidP="00C276F3">
      <w:pPr>
        <w:numPr>
          <w:ilvl w:val="0"/>
          <w:numId w:val="24"/>
        </w:numPr>
        <w:rPr>
          <w:i/>
        </w:rPr>
      </w:pPr>
      <w:r>
        <w:rPr>
          <w:i/>
        </w:rPr>
        <w:t>Plan de travail, et</w:t>
      </w:r>
    </w:p>
    <w:p w:rsidR="00C276F3" w:rsidRDefault="00C276F3" w:rsidP="00C276F3">
      <w:pPr>
        <w:numPr>
          <w:ilvl w:val="0"/>
          <w:numId w:val="24"/>
        </w:numPr>
        <w:rPr>
          <w:i/>
        </w:rPr>
      </w:pPr>
      <w:r>
        <w:rPr>
          <w:i/>
        </w:rPr>
        <w:t>Organisation et personnel</w:t>
      </w:r>
    </w:p>
    <w:p w:rsidR="00C276F3" w:rsidRDefault="00C276F3" w:rsidP="00C276F3">
      <w:pPr>
        <w:rPr>
          <w:i/>
        </w:rPr>
      </w:pPr>
    </w:p>
    <w:p w:rsidR="00C276F3" w:rsidRDefault="00C276F3" w:rsidP="00C276F3">
      <w:pPr>
        <w:numPr>
          <w:ilvl w:val="0"/>
          <w:numId w:val="25"/>
        </w:numPr>
        <w:rPr>
          <w:i/>
        </w:rPr>
      </w:pPr>
      <w:r>
        <w:rPr>
          <w:i/>
          <w:u w:val="single"/>
        </w:rPr>
        <w:t>Conception technique et méthodologie</w:t>
      </w:r>
      <w:r>
        <w:rPr>
          <w:i/>
        </w:rPr>
        <w:t xml:space="preserve">. </w:t>
      </w:r>
    </w:p>
    <w:p w:rsidR="00C276F3" w:rsidRDefault="00C276F3" w:rsidP="00C276F3">
      <w:pPr>
        <w:rPr>
          <w:i/>
          <w:u w:val="single"/>
        </w:rPr>
      </w:pPr>
    </w:p>
    <w:p w:rsidR="00C276F3" w:rsidRDefault="00C276F3" w:rsidP="00C276F3">
      <w:pPr>
        <w:jc w:val="both"/>
        <w:rPr>
          <w:i/>
        </w:rPr>
      </w:pPr>
      <w:r>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rsidR="00C276F3" w:rsidRDefault="00C276F3" w:rsidP="00C276F3">
      <w:pPr>
        <w:rPr>
          <w:i/>
        </w:rPr>
      </w:pPr>
    </w:p>
    <w:p w:rsidR="00C276F3" w:rsidRDefault="00C276F3" w:rsidP="00C276F3">
      <w:pPr>
        <w:numPr>
          <w:ilvl w:val="0"/>
          <w:numId w:val="25"/>
        </w:numPr>
        <w:rPr>
          <w:i/>
        </w:rPr>
      </w:pPr>
      <w:r>
        <w:rPr>
          <w:i/>
          <w:u w:val="single"/>
        </w:rPr>
        <w:t>Plan de travail</w:t>
      </w:r>
      <w:r>
        <w:rPr>
          <w:i/>
        </w:rPr>
        <w:t>.</w:t>
      </w:r>
    </w:p>
    <w:p w:rsidR="00C276F3" w:rsidRDefault="00C276F3" w:rsidP="00C276F3">
      <w:pPr>
        <w:rPr>
          <w:i/>
          <w:u w:val="single"/>
        </w:rPr>
      </w:pPr>
    </w:p>
    <w:p w:rsidR="00C276F3" w:rsidRDefault="00C276F3" w:rsidP="00C276F3">
      <w:pPr>
        <w:jc w:val="both"/>
        <w:rPr>
          <w:i/>
        </w:rPr>
      </w:pPr>
      <w:r>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TECH-7) doit être compatible avec le Programme de Travail (Section 4, formulaire TECH-8) </w:t>
      </w:r>
    </w:p>
    <w:p w:rsidR="00C276F3" w:rsidRDefault="00C276F3" w:rsidP="00C276F3"/>
    <w:p w:rsidR="00C276F3" w:rsidRDefault="00C276F3" w:rsidP="00C276F3">
      <w:pPr>
        <w:numPr>
          <w:ilvl w:val="0"/>
          <w:numId w:val="25"/>
        </w:numPr>
        <w:rPr>
          <w:i/>
        </w:rPr>
      </w:pPr>
      <w:r>
        <w:rPr>
          <w:i/>
          <w:u w:val="single"/>
        </w:rPr>
        <w:t>Organisation et personnel</w:t>
      </w:r>
      <w:r>
        <w:rPr>
          <w:i/>
        </w:rPr>
        <w:t xml:space="preserve">, </w:t>
      </w:r>
    </w:p>
    <w:p w:rsidR="00C276F3" w:rsidRDefault="00C276F3" w:rsidP="00C276F3">
      <w:pPr>
        <w:ind w:left="360"/>
        <w:rPr>
          <w:i/>
          <w:u w:val="single"/>
        </w:rPr>
      </w:pPr>
    </w:p>
    <w:p w:rsidR="00C276F3" w:rsidRDefault="00C276F3" w:rsidP="00C276F3">
      <w:pPr>
        <w:ind w:left="360"/>
        <w:jc w:val="both"/>
      </w:pPr>
      <w:r>
        <w:rPr>
          <w:i/>
        </w:rPr>
        <w:t>Dans ce chapitre, vous proposerez la structure et la composition de votre équipe. Vous donnerez la liste des principales disciplines représentées, le nom de l’expert-clé responsable et une liste du personnel technique et d’appui proposé.</w:t>
      </w:r>
      <w:r>
        <w:t>]</w:t>
      </w: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C276F3" w:rsidRDefault="00C276F3" w:rsidP="0072638E">
      <w:pPr>
        <w:tabs>
          <w:tab w:val="left" w:pos="720"/>
          <w:tab w:val="right" w:leader="dot" w:pos="8640"/>
        </w:tabs>
      </w:pPr>
    </w:p>
    <w:p w:rsidR="00DA53C9" w:rsidRDefault="00DA53C9" w:rsidP="0072638E">
      <w:pPr>
        <w:tabs>
          <w:tab w:val="left" w:pos="720"/>
          <w:tab w:val="right" w:leader="dot" w:pos="8640"/>
        </w:tabs>
        <w:sectPr w:rsidR="00DA53C9" w:rsidSect="00D47C79">
          <w:footerReference w:type="default" r:id="rId25"/>
          <w:pgSz w:w="11906" w:h="16838"/>
          <w:pgMar w:top="1417" w:right="1417" w:bottom="1417" w:left="1417" w:header="708" w:footer="708" w:gutter="0"/>
          <w:cols w:space="708"/>
          <w:titlePg/>
          <w:docGrid w:linePitch="360"/>
        </w:sectPr>
      </w:pPr>
    </w:p>
    <w:p w:rsidR="00DA53C9" w:rsidRDefault="00DA53C9" w:rsidP="00DA53C9">
      <w:pPr>
        <w:ind w:right="900"/>
        <w:jc w:val="center"/>
        <w:rPr>
          <w:b/>
          <w:sz w:val="28"/>
        </w:rPr>
      </w:pPr>
      <w:r>
        <w:rPr>
          <w:b/>
          <w:sz w:val="28"/>
        </w:rPr>
        <w:lastRenderedPageBreak/>
        <w:t xml:space="preserve">Formulaire Tech-5 </w:t>
      </w:r>
      <w:r>
        <w:rPr>
          <w:rFonts w:ascii="Times New Roman Bold" w:hAnsi="Times New Roman Bold"/>
          <w:b/>
          <w:smallCaps/>
          <w:sz w:val="28"/>
        </w:rPr>
        <w:t>Composition de l’équipe et responsabilités de ses membres (personnel clé)</w:t>
      </w:r>
    </w:p>
    <w:p w:rsidR="00DA53C9" w:rsidRDefault="00DA53C9" w:rsidP="0072638E">
      <w:pPr>
        <w:tabs>
          <w:tab w:val="left" w:pos="720"/>
          <w:tab w:val="right" w:leader="dot" w:pos="8640"/>
        </w:tabs>
      </w:pPr>
    </w:p>
    <w:tbl>
      <w:tblPr>
        <w:tblW w:w="0" w:type="auto"/>
        <w:tblInd w:w="55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52"/>
        <w:gridCol w:w="1985"/>
        <w:gridCol w:w="1985"/>
        <w:gridCol w:w="2242"/>
        <w:gridCol w:w="3026"/>
        <w:gridCol w:w="6"/>
      </w:tblGrid>
      <w:tr w:rsidR="00DA53C9" w:rsidTr="007C5949">
        <w:trPr>
          <w:gridAfter w:val="1"/>
          <w:wAfter w:w="6" w:type="dxa"/>
          <w:trHeight w:val="567"/>
        </w:trPr>
        <w:tc>
          <w:tcPr>
            <w:tcW w:w="11790" w:type="dxa"/>
            <w:gridSpan w:val="5"/>
            <w:tcBorders>
              <w:bottom w:val="single" w:sz="12" w:space="0" w:color="auto"/>
            </w:tcBorders>
            <w:vAlign w:val="center"/>
          </w:tcPr>
          <w:p w:rsidR="00DA53C9" w:rsidRDefault="00DA53C9" w:rsidP="007C5949">
            <w:pPr>
              <w:pStyle w:val="Heading7"/>
              <w:rPr>
                <w:b/>
              </w:rPr>
            </w:pPr>
            <w:r>
              <w:rPr>
                <w:b/>
              </w:rPr>
              <w:t>Personnel technique/ personnel de gestion</w:t>
            </w:r>
          </w:p>
        </w:tc>
      </w:tr>
      <w:tr w:rsidR="00DA53C9" w:rsidTr="007C5949">
        <w:tblPrEx>
          <w:tblBorders>
            <w:top w:val="single" w:sz="6" w:space="0" w:color="auto"/>
            <w:bottom w:val="double" w:sz="6" w:space="0" w:color="auto"/>
            <w:insideH w:val="single" w:sz="6" w:space="0" w:color="auto"/>
            <w:insideV w:val="single" w:sz="6" w:space="0" w:color="auto"/>
          </w:tblBorders>
        </w:tblPrEx>
        <w:tc>
          <w:tcPr>
            <w:tcW w:w="2552" w:type="dxa"/>
            <w:tcBorders>
              <w:bottom w:val="single" w:sz="6" w:space="0" w:color="auto"/>
            </w:tcBorders>
            <w:vAlign w:val="center"/>
          </w:tcPr>
          <w:p w:rsidR="00DA53C9" w:rsidRDefault="00DA53C9" w:rsidP="007C5949">
            <w:pPr>
              <w:spacing w:before="40" w:after="40"/>
              <w:jc w:val="center"/>
            </w:pPr>
            <w:r>
              <w:t>Nom</w:t>
            </w:r>
          </w:p>
        </w:tc>
        <w:tc>
          <w:tcPr>
            <w:tcW w:w="1985" w:type="dxa"/>
            <w:tcBorders>
              <w:bottom w:val="single" w:sz="6" w:space="0" w:color="auto"/>
            </w:tcBorders>
            <w:vAlign w:val="center"/>
          </w:tcPr>
          <w:p w:rsidR="00DA53C9" w:rsidRDefault="00DA53C9" w:rsidP="007C5949">
            <w:pPr>
              <w:spacing w:before="40" w:after="40"/>
              <w:jc w:val="center"/>
            </w:pPr>
            <w:r>
              <w:t>Société</w:t>
            </w:r>
          </w:p>
        </w:tc>
        <w:tc>
          <w:tcPr>
            <w:tcW w:w="1985" w:type="dxa"/>
            <w:tcBorders>
              <w:bottom w:val="single" w:sz="6" w:space="0" w:color="auto"/>
            </w:tcBorders>
            <w:vAlign w:val="center"/>
          </w:tcPr>
          <w:p w:rsidR="00DA53C9" w:rsidRDefault="00DA53C9" w:rsidP="007C5949">
            <w:pPr>
              <w:spacing w:before="40" w:after="40"/>
              <w:jc w:val="center"/>
            </w:pPr>
            <w:r>
              <w:t>Spécialisation</w:t>
            </w:r>
          </w:p>
        </w:tc>
        <w:tc>
          <w:tcPr>
            <w:tcW w:w="2242" w:type="dxa"/>
            <w:tcBorders>
              <w:bottom w:val="single" w:sz="6" w:space="0" w:color="auto"/>
            </w:tcBorders>
            <w:vAlign w:val="center"/>
          </w:tcPr>
          <w:p w:rsidR="00DA53C9" w:rsidRDefault="00DA53C9" w:rsidP="007C5949">
            <w:pPr>
              <w:spacing w:before="40" w:after="40"/>
              <w:jc w:val="center"/>
            </w:pPr>
            <w:r>
              <w:t>Poste</w:t>
            </w:r>
          </w:p>
        </w:tc>
        <w:tc>
          <w:tcPr>
            <w:tcW w:w="3032" w:type="dxa"/>
            <w:gridSpan w:val="2"/>
            <w:tcBorders>
              <w:bottom w:val="single" w:sz="6" w:space="0" w:color="auto"/>
            </w:tcBorders>
            <w:vAlign w:val="center"/>
          </w:tcPr>
          <w:p w:rsidR="00DA53C9" w:rsidRDefault="00DA53C9" w:rsidP="007C5949">
            <w:pPr>
              <w:spacing w:before="40" w:after="40"/>
              <w:jc w:val="center"/>
            </w:pPr>
            <w:r>
              <w:t>Tâche</w:t>
            </w:r>
          </w:p>
        </w:tc>
      </w:tr>
      <w:tr w:rsidR="00DA53C9" w:rsidTr="007C5949">
        <w:tblPrEx>
          <w:tblBorders>
            <w:top w:val="single" w:sz="6" w:space="0" w:color="auto"/>
            <w:bottom w:val="double" w:sz="6" w:space="0" w:color="auto"/>
            <w:insideH w:val="single" w:sz="6" w:space="0" w:color="auto"/>
            <w:insideV w:val="single" w:sz="6" w:space="0" w:color="auto"/>
          </w:tblBorders>
        </w:tblPrEx>
        <w:tc>
          <w:tcPr>
            <w:tcW w:w="2552" w:type="dxa"/>
            <w:tcBorders>
              <w:top w:val="single" w:sz="6" w:space="0" w:color="auto"/>
            </w:tcBorders>
          </w:tcPr>
          <w:p w:rsidR="00DA53C9" w:rsidRDefault="00DA53C9" w:rsidP="007C5949"/>
          <w:p w:rsidR="00DA53C9" w:rsidRDefault="00DA53C9" w:rsidP="007C5949"/>
        </w:tc>
        <w:tc>
          <w:tcPr>
            <w:tcW w:w="1985" w:type="dxa"/>
            <w:tcBorders>
              <w:top w:val="single" w:sz="6" w:space="0" w:color="auto"/>
            </w:tcBorders>
          </w:tcPr>
          <w:p w:rsidR="00DA53C9" w:rsidRDefault="00DA53C9" w:rsidP="007C5949"/>
        </w:tc>
        <w:tc>
          <w:tcPr>
            <w:tcW w:w="1985" w:type="dxa"/>
            <w:tcBorders>
              <w:top w:val="single" w:sz="6" w:space="0" w:color="auto"/>
            </w:tcBorders>
          </w:tcPr>
          <w:p w:rsidR="00DA53C9" w:rsidRDefault="00DA53C9" w:rsidP="007C5949"/>
        </w:tc>
        <w:tc>
          <w:tcPr>
            <w:tcW w:w="2242" w:type="dxa"/>
            <w:tcBorders>
              <w:top w:val="single" w:sz="6" w:space="0" w:color="auto"/>
            </w:tcBorders>
          </w:tcPr>
          <w:p w:rsidR="00DA53C9" w:rsidRDefault="00DA53C9" w:rsidP="007C5949"/>
        </w:tc>
        <w:tc>
          <w:tcPr>
            <w:tcW w:w="3032" w:type="dxa"/>
            <w:gridSpan w:val="2"/>
            <w:tcBorders>
              <w:top w:val="single" w:sz="6" w:space="0" w:color="auto"/>
            </w:tcBorders>
          </w:tcPr>
          <w:p w:rsidR="00DA53C9" w:rsidRDefault="00DA53C9" w:rsidP="007C5949"/>
        </w:tc>
      </w:tr>
      <w:tr w:rsidR="00DA53C9" w:rsidTr="007C5949">
        <w:tblPrEx>
          <w:tblBorders>
            <w:top w:val="single" w:sz="6" w:space="0" w:color="auto"/>
            <w:bottom w:val="double" w:sz="6" w:space="0" w:color="auto"/>
            <w:insideH w:val="single" w:sz="6" w:space="0" w:color="auto"/>
            <w:insideV w:val="single" w:sz="6" w:space="0" w:color="auto"/>
          </w:tblBorders>
        </w:tblPrEx>
        <w:tc>
          <w:tcPr>
            <w:tcW w:w="2552" w:type="dxa"/>
          </w:tcPr>
          <w:p w:rsidR="00DA53C9" w:rsidRDefault="00DA53C9" w:rsidP="007C5949"/>
          <w:p w:rsidR="00DA53C9" w:rsidRDefault="00DA53C9" w:rsidP="007C5949"/>
        </w:tc>
        <w:tc>
          <w:tcPr>
            <w:tcW w:w="1985" w:type="dxa"/>
          </w:tcPr>
          <w:p w:rsidR="00DA53C9" w:rsidRDefault="00DA53C9" w:rsidP="007C5949"/>
        </w:tc>
        <w:tc>
          <w:tcPr>
            <w:tcW w:w="1985" w:type="dxa"/>
          </w:tcPr>
          <w:p w:rsidR="00DA53C9" w:rsidRDefault="00DA53C9" w:rsidP="007C5949"/>
        </w:tc>
        <w:tc>
          <w:tcPr>
            <w:tcW w:w="2242" w:type="dxa"/>
          </w:tcPr>
          <w:p w:rsidR="00DA53C9" w:rsidRDefault="00DA53C9" w:rsidP="007C5949"/>
        </w:tc>
        <w:tc>
          <w:tcPr>
            <w:tcW w:w="3032" w:type="dxa"/>
            <w:gridSpan w:val="2"/>
          </w:tcPr>
          <w:p w:rsidR="00DA53C9" w:rsidRDefault="00DA53C9" w:rsidP="007C5949"/>
        </w:tc>
      </w:tr>
      <w:tr w:rsidR="00DA53C9" w:rsidTr="007C5949">
        <w:tblPrEx>
          <w:tblBorders>
            <w:top w:val="single" w:sz="6" w:space="0" w:color="auto"/>
            <w:bottom w:val="double" w:sz="6" w:space="0" w:color="auto"/>
            <w:insideH w:val="single" w:sz="6" w:space="0" w:color="auto"/>
            <w:insideV w:val="single" w:sz="6" w:space="0" w:color="auto"/>
          </w:tblBorders>
        </w:tblPrEx>
        <w:tc>
          <w:tcPr>
            <w:tcW w:w="2552" w:type="dxa"/>
          </w:tcPr>
          <w:p w:rsidR="00DA53C9" w:rsidRDefault="00DA53C9" w:rsidP="007C5949"/>
          <w:p w:rsidR="00DA53C9" w:rsidRDefault="00DA53C9" w:rsidP="007C5949"/>
        </w:tc>
        <w:tc>
          <w:tcPr>
            <w:tcW w:w="1985" w:type="dxa"/>
          </w:tcPr>
          <w:p w:rsidR="00DA53C9" w:rsidRDefault="00DA53C9" w:rsidP="007C5949">
            <w:pPr>
              <w:pStyle w:val="BankNormal"/>
              <w:spacing w:after="0"/>
            </w:pPr>
          </w:p>
        </w:tc>
        <w:tc>
          <w:tcPr>
            <w:tcW w:w="1985" w:type="dxa"/>
          </w:tcPr>
          <w:p w:rsidR="00DA53C9" w:rsidRDefault="00DA53C9" w:rsidP="007C5949"/>
        </w:tc>
        <w:tc>
          <w:tcPr>
            <w:tcW w:w="2242" w:type="dxa"/>
          </w:tcPr>
          <w:p w:rsidR="00DA53C9" w:rsidRDefault="00DA53C9" w:rsidP="007C5949"/>
        </w:tc>
        <w:tc>
          <w:tcPr>
            <w:tcW w:w="3032" w:type="dxa"/>
            <w:gridSpan w:val="2"/>
          </w:tcPr>
          <w:p w:rsidR="00DA53C9" w:rsidRDefault="00DA53C9" w:rsidP="007C5949"/>
        </w:tc>
      </w:tr>
      <w:tr w:rsidR="00DA53C9" w:rsidTr="007C5949">
        <w:tblPrEx>
          <w:tblBorders>
            <w:top w:val="single" w:sz="6" w:space="0" w:color="auto"/>
            <w:bottom w:val="double" w:sz="6" w:space="0" w:color="auto"/>
            <w:insideH w:val="single" w:sz="6" w:space="0" w:color="auto"/>
            <w:insideV w:val="single" w:sz="6" w:space="0" w:color="auto"/>
          </w:tblBorders>
        </w:tblPrEx>
        <w:tc>
          <w:tcPr>
            <w:tcW w:w="2552" w:type="dxa"/>
          </w:tcPr>
          <w:p w:rsidR="00DA53C9" w:rsidRDefault="00DA53C9" w:rsidP="007C5949"/>
          <w:p w:rsidR="00DA53C9" w:rsidRDefault="00DA53C9" w:rsidP="007C5949"/>
        </w:tc>
        <w:tc>
          <w:tcPr>
            <w:tcW w:w="1985" w:type="dxa"/>
          </w:tcPr>
          <w:p w:rsidR="00DA53C9" w:rsidRDefault="00DA53C9" w:rsidP="007C5949"/>
        </w:tc>
        <w:tc>
          <w:tcPr>
            <w:tcW w:w="1985" w:type="dxa"/>
          </w:tcPr>
          <w:p w:rsidR="00DA53C9" w:rsidRDefault="00DA53C9" w:rsidP="007C5949"/>
        </w:tc>
        <w:tc>
          <w:tcPr>
            <w:tcW w:w="2242" w:type="dxa"/>
          </w:tcPr>
          <w:p w:rsidR="00DA53C9" w:rsidRDefault="00DA53C9" w:rsidP="007C5949"/>
        </w:tc>
        <w:tc>
          <w:tcPr>
            <w:tcW w:w="3032" w:type="dxa"/>
            <w:gridSpan w:val="2"/>
          </w:tcPr>
          <w:p w:rsidR="00DA53C9" w:rsidRDefault="00DA53C9" w:rsidP="007C5949"/>
        </w:tc>
      </w:tr>
      <w:tr w:rsidR="00DA53C9" w:rsidTr="007C5949">
        <w:tblPrEx>
          <w:tblBorders>
            <w:top w:val="single" w:sz="6" w:space="0" w:color="auto"/>
            <w:bottom w:val="double" w:sz="6" w:space="0" w:color="auto"/>
            <w:insideH w:val="single" w:sz="6" w:space="0" w:color="auto"/>
            <w:insideV w:val="single" w:sz="6" w:space="0" w:color="auto"/>
          </w:tblBorders>
        </w:tblPrEx>
        <w:tc>
          <w:tcPr>
            <w:tcW w:w="2552" w:type="dxa"/>
          </w:tcPr>
          <w:p w:rsidR="00DA53C9" w:rsidRDefault="00DA53C9" w:rsidP="007C5949"/>
          <w:p w:rsidR="00DA53C9" w:rsidRDefault="00DA53C9" w:rsidP="007C5949"/>
        </w:tc>
        <w:tc>
          <w:tcPr>
            <w:tcW w:w="1985" w:type="dxa"/>
          </w:tcPr>
          <w:p w:rsidR="00DA53C9" w:rsidRDefault="00DA53C9" w:rsidP="007C5949"/>
        </w:tc>
        <w:tc>
          <w:tcPr>
            <w:tcW w:w="1985" w:type="dxa"/>
          </w:tcPr>
          <w:p w:rsidR="00DA53C9" w:rsidRDefault="00DA53C9" w:rsidP="007C5949"/>
        </w:tc>
        <w:tc>
          <w:tcPr>
            <w:tcW w:w="2242" w:type="dxa"/>
          </w:tcPr>
          <w:p w:rsidR="00DA53C9" w:rsidRDefault="00DA53C9" w:rsidP="007C5949"/>
        </w:tc>
        <w:tc>
          <w:tcPr>
            <w:tcW w:w="3032" w:type="dxa"/>
            <w:gridSpan w:val="2"/>
          </w:tcPr>
          <w:p w:rsidR="00DA53C9" w:rsidRDefault="00DA53C9" w:rsidP="007C5949"/>
        </w:tc>
      </w:tr>
      <w:tr w:rsidR="00DA53C9" w:rsidTr="007C5949">
        <w:tblPrEx>
          <w:tblBorders>
            <w:top w:val="single" w:sz="6" w:space="0" w:color="auto"/>
            <w:bottom w:val="double" w:sz="6" w:space="0" w:color="auto"/>
            <w:insideH w:val="single" w:sz="6" w:space="0" w:color="auto"/>
            <w:insideV w:val="single" w:sz="6" w:space="0" w:color="auto"/>
          </w:tblBorders>
        </w:tblPrEx>
        <w:tc>
          <w:tcPr>
            <w:tcW w:w="2552" w:type="dxa"/>
          </w:tcPr>
          <w:p w:rsidR="00DA53C9" w:rsidRDefault="00DA53C9" w:rsidP="007C5949"/>
          <w:p w:rsidR="00DA53C9" w:rsidRDefault="00DA53C9" w:rsidP="007C5949"/>
        </w:tc>
        <w:tc>
          <w:tcPr>
            <w:tcW w:w="1985" w:type="dxa"/>
          </w:tcPr>
          <w:p w:rsidR="00DA53C9" w:rsidRDefault="00DA53C9" w:rsidP="007C5949"/>
        </w:tc>
        <w:tc>
          <w:tcPr>
            <w:tcW w:w="1985" w:type="dxa"/>
          </w:tcPr>
          <w:p w:rsidR="00DA53C9" w:rsidRDefault="00DA53C9" w:rsidP="007C5949"/>
        </w:tc>
        <w:tc>
          <w:tcPr>
            <w:tcW w:w="2242" w:type="dxa"/>
          </w:tcPr>
          <w:p w:rsidR="00DA53C9" w:rsidRDefault="00DA53C9" w:rsidP="007C5949"/>
        </w:tc>
        <w:tc>
          <w:tcPr>
            <w:tcW w:w="3032" w:type="dxa"/>
            <w:gridSpan w:val="2"/>
          </w:tcPr>
          <w:p w:rsidR="00DA53C9" w:rsidRDefault="00DA53C9" w:rsidP="007C5949"/>
        </w:tc>
      </w:tr>
      <w:tr w:rsidR="00DA53C9" w:rsidTr="007C5949">
        <w:tblPrEx>
          <w:tblBorders>
            <w:top w:val="single" w:sz="6" w:space="0" w:color="auto"/>
            <w:bottom w:val="double" w:sz="6" w:space="0" w:color="auto"/>
            <w:insideH w:val="single" w:sz="6" w:space="0" w:color="auto"/>
            <w:insideV w:val="single" w:sz="6" w:space="0" w:color="auto"/>
          </w:tblBorders>
        </w:tblPrEx>
        <w:tc>
          <w:tcPr>
            <w:tcW w:w="2552" w:type="dxa"/>
          </w:tcPr>
          <w:p w:rsidR="00DA53C9" w:rsidRDefault="00DA53C9" w:rsidP="007C5949"/>
          <w:p w:rsidR="00DA53C9" w:rsidRDefault="00DA53C9" w:rsidP="007C5949"/>
        </w:tc>
        <w:tc>
          <w:tcPr>
            <w:tcW w:w="1985" w:type="dxa"/>
          </w:tcPr>
          <w:p w:rsidR="00DA53C9" w:rsidRDefault="00DA53C9" w:rsidP="007C5949"/>
        </w:tc>
        <w:tc>
          <w:tcPr>
            <w:tcW w:w="1985" w:type="dxa"/>
          </w:tcPr>
          <w:p w:rsidR="00DA53C9" w:rsidRDefault="00DA53C9" w:rsidP="007C5949"/>
        </w:tc>
        <w:tc>
          <w:tcPr>
            <w:tcW w:w="2242" w:type="dxa"/>
          </w:tcPr>
          <w:p w:rsidR="00DA53C9" w:rsidRDefault="00DA53C9" w:rsidP="007C5949"/>
        </w:tc>
        <w:tc>
          <w:tcPr>
            <w:tcW w:w="3032" w:type="dxa"/>
            <w:gridSpan w:val="2"/>
          </w:tcPr>
          <w:p w:rsidR="00DA53C9" w:rsidRDefault="00DA53C9" w:rsidP="007C5949"/>
        </w:tc>
      </w:tr>
      <w:tr w:rsidR="00DA53C9" w:rsidTr="007C5949">
        <w:tblPrEx>
          <w:tblBorders>
            <w:top w:val="single" w:sz="6" w:space="0" w:color="auto"/>
            <w:bottom w:val="double" w:sz="6" w:space="0" w:color="auto"/>
            <w:insideH w:val="single" w:sz="6" w:space="0" w:color="auto"/>
            <w:insideV w:val="single" w:sz="6" w:space="0" w:color="auto"/>
          </w:tblBorders>
        </w:tblPrEx>
        <w:tc>
          <w:tcPr>
            <w:tcW w:w="2552" w:type="dxa"/>
          </w:tcPr>
          <w:p w:rsidR="00DA53C9" w:rsidRDefault="00DA53C9" w:rsidP="007C5949"/>
          <w:p w:rsidR="00DA53C9" w:rsidRDefault="00DA53C9" w:rsidP="007C5949"/>
        </w:tc>
        <w:tc>
          <w:tcPr>
            <w:tcW w:w="1985" w:type="dxa"/>
          </w:tcPr>
          <w:p w:rsidR="00DA53C9" w:rsidRDefault="00DA53C9" w:rsidP="007C5949"/>
        </w:tc>
        <w:tc>
          <w:tcPr>
            <w:tcW w:w="1985" w:type="dxa"/>
          </w:tcPr>
          <w:p w:rsidR="00DA53C9" w:rsidRDefault="00DA53C9" w:rsidP="007C5949"/>
        </w:tc>
        <w:tc>
          <w:tcPr>
            <w:tcW w:w="2242" w:type="dxa"/>
          </w:tcPr>
          <w:p w:rsidR="00DA53C9" w:rsidRDefault="00DA53C9" w:rsidP="007C5949">
            <w:pPr>
              <w:pStyle w:val="Header"/>
              <w:tabs>
                <w:tab w:val="clear" w:pos="4320"/>
                <w:tab w:val="clear" w:pos="8640"/>
              </w:tabs>
              <w:rPr>
                <w:lang w:eastAsia="it-IT"/>
              </w:rPr>
            </w:pPr>
          </w:p>
        </w:tc>
        <w:tc>
          <w:tcPr>
            <w:tcW w:w="3032" w:type="dxa"/>
            <w:gridSpan w:val="2"/>
          </w:tcPr>
          <w:p w:rsidR="00DA53C9" w:rsidRDefault="00DA53C9" w:rsidP="007C5949"/>
        </w:tc>
      </w:tr>
      <w:tr w:rsidR="00DA53C9" w:rsidTr="007C5949">
        <w:tblPrEx>
          <w:tblBorders>
            <w:top w:val="single" w:sz="6" w:space="0" w:color="auto"/>
            <w:bottom w:val="double" w:sz="6" w:space="0" w:color="auto"/>
            <w:insideH w:val="single" w:sz="6" w:space="0" w:color="auto"/>
            <w:insideV w:val="single" w:sz="6" w:space="0" w:color="auto"/>
          </w:tblBorders>
        </w:tblPrEx>
        <w:tc>
          <w:tcPr>
            <w:tcW w:w="2552" w:type="dxa"/>
          </w:tcPr>
          <w:p w:rsidR="00DA53C9" w:rsidRDefault="00DA53C9" w:rsidP="007C5949"/>
          <w:p w:rsidR="00DA53C9" w:rsidRDefault="00DA53C9" w:rsidP="007C5949"/>
        </w:tc>
        <w:tc>
          <w:tcPr>
            <w:tcW w:w="1985" w:type="dxa"/>
          </w:tcPr>
          <w:p w:rsidR="00DA53C9" w:rsidRDefault="00DA53C9" w:rsidP="007C5949"/>
        </w:tc>
        <w:tc>
          <w:tcPr>
            <w:tcW w:w="1985" w:type="dxa"/>
          </w:tcPr>
          <w:p w:rsidR="00DA53C9" w:rsidRDefault="00DA53C9" w:rsidP="007C5949"/>
        </w:tc>
        <w:tc>
          <w:tcPr>
            <w:tcW w:w="2242" w:type="dxa"/>
          </w:tcPr>
          <w:p w:rsidR="00DA53C9" w:rsidRDefault="00DA53C9" w:rsidP="007C5949"/>
        </w:tc>
        <w:tc>
          <w:tcPr>
            <w:tcW w:w="3032" w:type="dxa"/>
            <w:gridSpan w:val="2"/>
          </w:tcPr>
          <w:p w:rsidR="00DA53C9" w:rsidRDefault="00DA53C9" w:rsidP="007C5949"/>
        </w:tc>
      </w:tr>
    </w:tbl>
    <w:p w:rsidR="00DA53C9" w:rsidRDefault="00DA53C9" w:rsidP="0072638E">
      <w:pPr>
        <w:tabs>
          <w:tab w:val="left" w:pos="720"/>
          <w:tab w:val="right" w:leader="dot" w:pos="8640"/>
        </w:tabs>
      </w:pPr>
    </w:p>
    <w:p w:rsidR="00DA53C9" w:rsidRDefault="00DA53C9" w:rsidP="0072638E">
      <w:pPr>
        <w:tabs>
          <w:tab w:val="left" w:pos="720"/>
          <w:tab w:val="right" w:leader="dot" w:pos="8640"/>
        </w:tabs>
      </w:pPr>
    </w:p>
    <w:p w:rsidR="00DA53C9" w:rsidRDefault="00DA53C9" w:rsidP="0072638E">
      <w:pPr>
        <w:tabs>
          <w:tab w:val="left" w:pos="720"/>
          <w:tab w:val="right" w:leader="dot" w:pos="8640"/>
        </w:tabs>
      </w:pPr>
    </w:p>
    <w:p w:rsidR="00DA53C9" w:rsidRDefault="00DA53C9" w:rsidP="0072638E">
      <w:pPr>
        <w:tabs>
          <w:tab w:val="left" w:pos="720"/>
          <w:tab w:val="right" w:leader="dot" w:pos="8640"/>
        </w:tabs>
      </w:pPr>
    </w:p>
    <w:p w:rsidR="00DA53C9" w:rsidRDefault="00DA53C9" w:rsidP="0072638E">
      <w:pPr>
        <w:tabs>
          <w:tab w:val="left" w:pos="720"/>
          <w:tab w:val="right" w:leader="dot" w:pos="8640"/>
        </w:tabs>
      </w:pPr>
    </w:p>
    <w:p w:rsidR="00DA53C9" w:rsidRDefault="00DA53C9" w:rsidP="0072638E">
      <w:pPr>
        <w:tabs>
          <w:tab w:val="left" w:pos="720"/>
          <w:tab w:val="right" w:leader="dot" w:pos="8640"/>
        </w:tabs>
      </w:pPr>
    </w:p>
    <w:p w:rsidR="00DA53C9" w:rsidRDefault="00DA53C9" w:rsidP="0072638E">
      <w:pPr>
        <w:tabs>
          <w:tab w:val="left" w:pos="720"/>
          <w:tab w:val="right" w:leader="dot" w:pos="8640"/>
        </w:tabs>
      </w:pPr>
    </w:p>
    <w:p w:rsidR="00DA53C9" w:rsidRDefault="00DA53C9" w:rsidP="0072638E">
      <w:pPr>
        <w:tabs>
          <w:tab w:val="left" w:pos="720"/>
          <w:tab w:val="right" w:leader="dot" w:pos="8640"/>
        </w:tabs>
      </w:pPr>
    </w:p>
    <w:p w:rsidR="008014AA" w:rsidRDefault="008014AA" w:rsidP="008014AA">
      <w:pPr>
        <w:jc w:val="center"/>
        <w:rPr>
          <w:b/>
          <w:sz w:val="28"/>
        </w:rPr>
        <w:sectPr w:rsidR="008014AA" w:rsidSect="00D47C79">
          <w:pgSz w:w="16838" w:h="11906" w:orient="landscape" w:code="9"/>
          <w:pgMar w:top="1418" w:right="1418" w:bottom="709" w:left="1418" w:header="709" w:footer="709" w:gutter="0"/>
          <w:cols w:space="708"/>
          <w:docGrid w:linePitch="360"/>
        </w:sectPr>
      </w:pPr>
    </w:p>
    <w:p w:rsidR="008014AA" w:rsidRDefault="008014AA" w:rsidP="008014AA">
      <w:pPr>
        <w:jc w:val="center"/>
        <w:rPr>
          <w:b/>
          <w:sz w:val="28"/>
        </w:rPr>
      </w:pPr>
      <w:r>
        <w:rPr>
          <w:b/>
          <w:sz w:val="28"/>
        </w:rPr>
        <w:lastRenderedPageBreak/>
        <w:t xml:space="preserve">Formulaire TECH-6. </w:t>
      </w:r>
      <w:r>
        <w:rPr>
          <w:rFonts w:ascii="Times New Roman Bold" w:hAnsi="Times New Roman Bold"/>
          <w:b/>
          <w:smallCaps/>
          <w:sz w:val="28"/>
        </w:rPr>
        <w:t>Modèle de Curriculum vitae (cv) du personnel clé proposé</w:t>
      </w:r>
    </w:p>
    <w:p w:rsidR="008014AA" w:rsidRDefault="008014AA" w:rsidP="008014AA"/>
    <w:p w:rsidR="008014AA" w:rsidRDefault="008014AA" w:rsidP="008014AA">
      <w:pPr>
        <w:pStyle w:val="BankNormal"/>
        <w:spacing w:after="0"/>
      </w:pPr>
    </w:p>
    <w:p w:rsidR="008014AA" w:rsidRDefault="008014AA" w:rsidP="008014AA">
      <w:pPr>
        <w:tabs>
          <w:tab w:val="right" w:pos="9000"/>
        </w:tabs>
        <w:rPr>
          <w:i/>
        </w:rPr>
      </w:pPr>
      <w:r>
        <w:rPr>
          <w:b/>
        </w:rPr>
        <w:t>1</w:t>
      </w:r>
      <w:r>
        <w:t xml:space="preserve">. </w:t>
      </w:r>
      <w:r>
        <w:rPr>
          <w:b/>
        </w:rPr>
        <w:t>Poste</w:t>
      </w:r>
      <w:r>
        <w:t xml:space="preserve"> [</w:t>
      </w:r>
      <w:r>
        <w:rPr>
          <w:i/>
        </w:rPr>
        <w:t>un seul candidat par poste</w:t>
      </w:r>
      <w:r>
        <w:t>]</w:t>
      </w:r>
      <w:r>
        <w:rPr>
          <w:i/>
          <w:u w:val="single"/>
        </w:rPr>
        <w:tab/>
      </w:r>
    </w:p>
    <w:p w:rsidR="008014AA" w:rsidRDefault="008014AA" w:rsidP="008014AA">
      <w:pPr>
        <w:tabs>
          <w:tab w:val="right" w:pos="9000"/>
        </w:tabs>
        <w:rPr>
          <w:i/>
        </w:rPr>
      </w:pPr>
    </w:p>
    <w:p w:rsidR="008014AA" w:rsidRDefault="008014AA" w:rsidP="008014AA">
      <w:pPr>
        <w:pStyle w:val="ListParagraph"/>
        <w:numPr>
          <w:ilvl w:val="0"/>
          <w:numId w:val="5"/>
        </w:numPr>
        <w:tabs>
          <w:tab w:val="right" w:pos="9000"/>
        </w:tabs>
      </w:pPr>
      <w:r w:rsidRPr="00372B71">
        <w:rPr>
          <w:b/>
        </w:rPr>
        <w:t>Nom du Candidat</w:t>
      </w:r>
      <w:r>
        <w:t> [</w:t>
      </w:r>
      <w:r w:rsidRPr="00372B71">
        <w:rPr>
          <w:i/>
        </w:rPr>
        <w:t>indiquer le nom de la société proposant le personnel</w:t>
      </w:r>
      <w:r>
        <w:t>]</w:t>
      </w:r>
      <w:r w:rsidRPr="00372B71">
        <w:rPr>
          <w:u w:val="single"/>
        </w:rPr>
        <w:tab/>
      </w:r>
    </w:p>
    <w:p w:rsidR="008014AA" w:rsidRDefault="008014AA" w:rsidP="008014AA">
      <w:pPr>
        <w:tabs>
          <w:tab w:val="right" w:pos="9000"/>
        </w:tabs>
      </w:pPr>
    </w:p>
    <w:p w:rsidR="008014AA" w:rsidRDefault="008014AA" w:rsidP="008014AA">
      <w:pPr>
        <w:pStyle w:val="ListParagraph"/>
        <w:numPr>
          <w:ilvl w:val="0"/>
          <w:numId w:val="5"/>
        </w:numPr>
        <w:tabs>
          <w:tab w:val="right" w:pos="9000"/>
        </w:tabs>
      </w:pPr>
      <w:r w:rsidRPr="00372B71">
        <w:rPr>
          <w:b/>
        </w:rPr>
        <w:t>Nom de l’employé</w:t>
      </w:r>
      <w:r>
        <w:t xml:space="preserve"> [</w:t>
      </w:r>
      <w:r w:rsidRPr="00372B71">
        <w:rPr>
          <w:i/>
        </w:rPr>
        <w:t>nom complet</w:t>
      </w:r>
      <w:r>
        <w:t>]</w:t>
      </w:r>
      <w:r w:rsidRPr="00372B71">
        <w:rPr>
          <w:u w:val="single"/>
        </w:rPr>
        <w:tab/>
      </w:r>
    </w:p>
    <w:p w:rsidR="008014AA" w:rsidRDefault="008014AA" w:rsidP="008014AA">
      <w:pPr>
        <w:tabs>
          <w:tab w:val="right" w:pos="9000"/>
        </w:tabs>
      </w:pPr>
    </w:p>
    <w:p w:rsidR="008014AA" w:rsidRDefault="008014AA" w:rsidP="008014AA">
      <w:pPr>
        <w:tabs>
          <w:tab w:val="right" w:pos="9000"/>
        </w:tabs>
      </w:pPr>
      <w:r>
        <w:rPr>
          <w:i/>
          <w:u w:val="single"/>
        </w:rPr>
        <w:tab/>
      </w:r>
    </w:p>
    <w:p w:rsidR="008014AA" w:rsidRDefault="008014AA" w:rsidP="008014AA">
      <w:pPr>
        <w:tabs>
          <w:tab w:val="right" w:pos="9000"/>
        </w:tabs>
      </w:pPr>
    </w:p>
    <w:p w:rsidR="008014AA" w:rsidRDefault="008014AA" w:rsidP="008014AA">
      <w:pPr>
        <w:pStyle w:val="ListParagraph"/>
        <w:numPr>
          <w:ilvl w:val="0"/>
          <w:numId w:val="5"/>
        </w:numPr>
        <w:tabs>
          <w:tab w:val="right" w:pos="9000"/>
        </w:tabs>
      </w:pPr>
      <w:r w:rsidRPr="00200BB1">
        <w:rPr>
          <w:b/>
        </w:rPr>
        <w:t>Date de naissance</w:t>
      </w:r>
      <w:r w:rsidRPr="00200BB1">
        <w:rPr>
          <w:u w:val="single"/>
        </w:rPr>
        <w:t>_________________</w:t>
      </w:r>
      <w:r w:rsidRPr="00200BB1">
        <w:rPr>
          <w:b/>
          <w:u w:val="single"/>
        </w:rPr>
        <w:t>__</w:t>
      </w:r>
      <w:r w:rsidRPr="00200BB1">
        <w:rPr>
          <w:b/>
        </w:rPr>
        <w:t xml:space="preserve"> Nationalité </w:t>
      </w:r>
      <w:r w:rsidRPr="00200BB1">
        <w:rPr>
          <w:u w:val="single"/>
        </w:rPr>
        <w:tab/>
      </w:r>
    </w:p>
    <w:p w:rsidR="008014AA" w:rsidRDefault="008014AA" w:rsidP="008014AA">
      <w:pPr>
        <w:tabs>
          <w:tab w:val="right" w:pos="9000"/>
        </w:tabs>
      </w:pPr>
    </w:p>
    <w:p w:rsidR="008014AA" w:rsidRDefault="008014AA" w:rsidP="008014AA">
      <w:pPr>
        <w:tabs>
          <w:tab w:val="right" w:pos="9000"/>
        </w:tabs>
      </w:pPr>
      <w:r>
        <w:rPr>
          <w:b/>
        </w:rPr>
        <w:t>5. Education</w:t>
      </w:r>
      <w:r w:rsidRPr="00725FC2">
        <w:rPr>
          <w:b/>
        </w:rPr>
        <w:t>/Formation</w:t>
      </w:r>
      <w:r>
        <w:rPr>
          <w:b/>
        </w:rPr>
        <w:t>/</w:t>
      </w:r>
      <w:proofErr w:type="spellStart"/>
      <w:proofErr w:type="gramStart"/>
      <w:r>
        <w:rPr>
          <w:b/>
        </w:rPr>
        <w:t>Curcus</w:t>
      </w:r>
      <w:proofErr w:type="spellEnd"/>
      <w:r>
        <w:t>[</w:t>
      </w:r>
      <w:proofErr w:type="gramEnd"/>
      <w:r>
        <w:rPr>
          <w:i/>
        </w:rPr>
        <w:t>Indiquer les études universitaires et autres études spécialisées de l’employé ainsi que les noms des institutions fréquentées, les diplômes obtenus et les dates auxquelles ils l’ont été</w:t>
      </w:r>
      <w:r>
        <w:t xml:space="preserve">] </w:t>
      </w:r>
      <w:r>
        <w:rPr>
          <w:i/>
          <w:u w:val="single"/>
        </w:rPr>
        <w:tab/>
      </w:r>
    </w:p>
    <w:p w:rsidR="008014AA" w:rsidRDefault="008014AA" w:rsidP="008014AA">
      <w:pPr>
        <w:tabs>
          <w:tab w:val="right" w:pos="9000"/>
        </w:tabs>
      </w:pPr>
    </w:p>
    <w:p w:rsidR="008014AA" w:rsidRDefault="008014AA" w:rsidP="008014AA">
      <w:pPr>
        <w:tabs>
          <w:tab w:val="right" w:pos="9000"/>
        </w:tabs>
        <w:rPr>
          <w:b/>
        </w:rPr>
      </w:pPr>
      <w:r>
        <w:rPr>
          <w:b/>
        </w:rPr>
        <w:t xml:space="preserve">6. Affiliation à des associations/groupements professionnels </w:t>
      </w:r>
      <w:r>
        <w:rPr>
          <w:b/>
          <w:u w:val="single"/>
        </w:rPr>
        <w:tab/>
      </w:r>
    </w:p>
    <w:p w:rsidR="008014AA" w:rsidRDefault="008014AA" w:rsidP="008014AA">
      <w:pPr>
        <w:tabs>
          <w:tab w:val="right" w:pos="9000"/>
        </w:tabs>
        <w:rPr>
          <w:u w:val="single"/>
        </w:rPr>
      </w:pPr>
    </w:p>
    <w:p w:rsidR="008014AA" w:rsidRDefault="008014AA" w:rsidP="008014AA">
      <w:pPr>
        <w:tabs>
          <w:tab w:val="right" w:pos="9000"/>
        </w:tabs>
      </w:pPr>
      <w:r>
        <w:rPr>
          <w:u w:val="single"/>
        </w:rPr>
        <w:tab/>
      </w:r>
    </w:p>
    <w:p w:rsidR="008014AA" w:rsidRDefault="008014AA" w:rsidP="008014AA">
      <w:pPr>
        <w:tabs>
          <w:tab w:val="right" w:pos="9000"/>
        </w:tabs>
      </w:pPr>
    </w:p>
    <w:p w:rsidR="008014AA" w:rsidRDefault="008014AA" w:rsidP="008014AA">
      <w:pPr>
        <w:tabs>
          <w:tab w:val="right" w:pos="9000"/>
        </w:tabs>
      </w:pPr>
      <w:r>
        <w:rPr>
          <w:b/>
        </w:rPr>
        <w:t xml:space="preserve">7. Autres formations </w:t>
      </w:r>
      <w:r>
        <w:t>[</w:t>
      </w:r>
      <w:r>
        <w:rPr>
          <w:i/>
        </w:rPr>
        <w:t>Indiquer toute autre formation reçue depuis le point 5 ci-dessus</w:t>
      </w:r>
      <w:r>
        <w:t>]</w:t>
      </w:r>
    </w:p>
    <w:p w:rsidR="008014AA" w:rsidRDefault="008014AA" w:rsidP="008014AA">
      <w:pPr>
        <w:tabs>
          <w:tab w:val="right" w:pos="9000"/>
        </w:tabs>
      </w:pPr>
    </w:p>
    <w:p w:rsidR="008014AA" w:rsidRDefault="008014AA" w:rsidP="008014AA">
      <w:pPr>
        <w:tabs>
          <w:tab w:val="right" w:pos="9000"/>
        </w:tabs>
      </w:pPr>
      <w:r>
        <w:rPr>
          <w:u w:val="single"/>
        </w:rPr>
        <w:tab/>
      </w:r>
    </w:p>
    <w:p w:rsidR="008014AA" w:rsidRDefault="008014AA" w:rsidP="008014AA">
      <w:pPr>
        <w:tabs>
          <w:tab w:val="right" w:pos="9000"/>
        </w:tabs>
      </w:pPr>
    </w:p>
    <w:p w:rsidR="008014AA" w:rsidRDefault="008014AA" w:rsidP="008014AA">
      <w:pPr>
        <w:tabs>
          <w:tab w:val="right" w:pos="9000"/>
        </w:tabs>
        <w:rPr>
          <w:sz w:val="20"/>
        </w:rPr>
      </w:pPr>
      <w:r>
        <w:rPr>
          <w:b/>
        </w:rPr>
        <w:t xml:space="preserve">8. Pays  où l’employé a travaillé </w:t>
      </w:r>
      <w:r>
        <w:t>[</w:t>
      </w:r>
      <w:r>
        <w:rPr>
          <w:i/>
        </w:rPr>
        <w:t>Donner la liste des pays ou l’employé a travaillé au cours des 10 dernières années</w:t>
      </w:r>
      <w:r>
        <w:t>] :</w:t>
      </w:r>
    </w:p>
    <w:p w:rsidR="008014AA" w:rsidRDefault="008014AA" w:rsidP="008014AA">
      <w:pPr>
        <w:tabs>
          <w:tab w:val="right" w:pos="9000"/>
        </w:tabs>
      </w:pPr>
    </w:p>
    <w:p w:rsidR="008014AA" w:rsidRDefault="008014AA" w:rsidP="008014AA">
      <w:pPr>
        <w:tabs>
          <w:tab w:val="right" w:pos="9000"/>
        </w:tabs>
      </w:pPr>
      <w:r>
        <w:rPr>
          <w:u w:val="single"/>
        </w:rPr>
        <w:tab/>
      </w:r>
    </w:p>
    <w:p w:rsidR="008014AA" w:rsidRDefault="008014AA" w:rsidP="008014AA">
      <w:pPr>
        <w:tabs>
          <w:tab w:val="right" w:pos="9000"/>
        </w:tabs>
      </w:pPr>
    </w:p>
    <w:p w:rsidR="008014AA" w:rsidRDefault="008014AA" w:rsidP="008014AA">
      <w:pPr>
        <w:tabs>
          <w:tab w:val="right" w:pos="9000"/>
        </w:tabs>
        <w:jc w:val="both"/>
      </w:pPr>
      <w:r>
        <w:rPr>
          <w:b/>
        </w:rPr>
        <w:t xml:space="preserve">9. Langues : </w:t>
      </w:r>
      <w:r>
        <w:t>[</w:t>
      </w:r>
      <w:r>
        <w:rPr>
          <w:i/>
        </w:rPr>
        <w:t xml:space="preserve">Indiquer pour chacune le degré de connaissance : bon, moyen, médiocre pour ce qui est de </w:t>
      </w:r>
      <w:proofErr w:type="spellStart"/>
      <w:r>
        <w:rPr>
          <w:i/>
        </w:rPr>
        <w:t>lalangue</w:t>
      </w:r>
      <w:proofErr w:type="spellEnd"/>
      <w:r>
        <w:rPr>
          <w:i/>
        </w:rPr>
        <w:t xml:space="preserve"> parlée, lue et écrite</w:t>
      </w:r>
      <w:r>
        <w:t>]</w:t>
      </w:r>
    </w:p>
    <w:p w:rsidR="008014AA" w:rsidRDefault="008014AA" w:rsidP="008014AA">
      <w:pPr>
        <w:tabs>
          <w:tab w:val="right" w:pos="9000"/>
        </w:tabs>
        <w:rPr>
          <w:u w:val="single"/>
        </w:rPr>
      </w:pPr>
    </w:p>
    <w:p w:rsidR="008014AA" w:rsidRDefault="008014AA" w:rsidP="008014AA">
      <w:pPr>
        <w:tabs>
          <w:tab w:val="right" w:pos="9000"/>
        </w:tabs>
      </w:pPr>
      <w:r>
        <w:rPr>
          <w:u w:val="single"/>
        </w:rPr>
        <w:tab/>
      </w:r>
    </w:p>
    <w:p w:rsidR="008014AA" w:rsidRDefault="008014AA" w:rsidP="008014AA">
      <w:pPr>
        <w:tabs>
          <w:tab w:val="right" w:pos="8640"/>
        </w:tabs>
      </w:pPr>
    </w:p>
    <w:p w:rsidR="008014AA" w:rsidRDefault="008014AA" w:rsidP="008014AA">
      <w:pPr>
        <w:tabs>
          <w:tab w:val="right" w:pos="9000"/>
        </w:tabs>
      </w:pPr>
      <w:r>
        <w:rPr>
          <w:b/>
        </w:rPr>
        <w:t>10. Expérience professionnelle :</w:t>
      </w:r>
      <w:r>
        <w:t xml:space="preserve"> [</w:t>
      </w:r>
      <w:r>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t>]</w:t>
      </w:r>
    </w:p>
    <w:p w:rsidR="008014AA" w:rsidRDefault="008014AA" w:rsidP="008014AA">
      <w:pPr>
        <w:tabs>
          <w:tab w:val="right" w:pos="9000"/>
        </w:tabs>
      </w:pPr>
    </w:p>
    <w:p w:rsidR="008014AA" w:rsidRDefault="008014AA" w:rsidP="008014AA">
      <w:pPr>
        <w:tabs>
          <w:tab w:val="right" w:pos="9000"/>
        </w:tabs>
      </w:pPr>
    </w:p>
    <w:p w:rsidR="008014AA" w:rsidRDefault="008014AA" w:rsidP="008014AA">
      <w:pPr>
        <w:tabs>
          <w:tab w:val="right" w:pos="9000"/>
        </w:tabs>
        <w:rPr>
          <w:i/>
        </w:rPr>
      </w:pPr>
      <w:r>
        <w:t>Depuis [</w:t>
      </w:r>
      <w:r>
        <w:rPr>
          <w:i/>
        </w:rPr>
        <w:t>année</w:t>
      </w:r>
      <w:r>
        <w:t>] _______ jusqu’à [</w:t>
      </w:r>
      <w:r>
        <w:rPr>
          <w:i/>
        </w:rPr>
        <w:t>année</w:t>
      </w:r>
      <w:proofErr w:type="gramStart"/>
      <w:r>
        <w:t>]_</w:t>
      </w:r>
      <w:proofErr w:type="gramEnd"/>
      <w:r>
        <w:t>__________</w:t>
      </w:r>
    </w:p>
    <w:p w:rsidR="008014AA" w:rsidRDefault="008014AA" w:rsidP="008014AA">
      <w:pPr>
        <w:tabs>
          <w:tab w:val="right" w:pos="9000"/>
        </w:tabs>
      </w:pPr>
      <w:r>
        <w:t>Employeur </w:t>
      </w:r>
      <w:proofErr w:type="gramStart"/>
      <w:r>
        <w:t>:_</w:t>
      </w:r>
      <w:proofErr w:type="gramEnd"/>
      <w:r>
        <w:t>_________________</w:t>
      </w:r>
    </w:p>
    <w:p w:rsidR="00DA53C9" w:rsidRDefault="008014AA" w:rsidP="008014AA">
      <w:pPr>
        <w:tabs>
          <w:tab w:val="left" w:pos="720"/>
          <w:tab w:val="right" w:leader="dot" w:pos="8640"/>
        </w:tabs>
      </w:pPr>
      <w:r>
        <w:t>Poste : ___________________</w:t>
      </w: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8014AA" w:rsidTr="007C5949">
        <w:tc>
          <w:tcPr>
            <w:tcW w:w="3167" w:type="dxa"/>
          </w:tcPr>
          <w:p w:rsidR="008014AA" w:rsidRDefault="008014AA" w:rsidP="007C5949">
            <w:pPr>
              <w:tabs>
                <w:tab w:val="right" w:pos="9000"/>
              </w:tabs>
              <w:rPr>
                <w:b/>
              </w:rPr>
            </w:pPr>
            <w:r>
              <w:lastRenderedPageBreak/>
              <w:br w:type="page"/>
            </w:r>
            <w:r>
              <w:rPr>
                <w:b/>
              </w:rPr>
              <w:t>11. Détail des tâches exécutées</w:t>
            </w:r>
          </w:p>
          <w:p w:rsidR="008014AA" w:rsidRDefault="008014AA" w:rsidP="007C5949">
            <w:pPr>
              <w:tabs>
                <w:tab w:val="right" w:pos="9000"/>
              </w:tabs>
              <w:rPr>
                <w:b/>
              </w:rPr>
            </w:pPr>
          </w:p>
          <w:p w:rsidR="008014AA" w:rsidRDefault="008014AA" w:rsidP="007C5949">
            <w:pPr>
              <w:rPr>
                <w:i/>
                <w:sz w:val="20"/>
              </w:rPr>
            </w:pPr>
            <w:r>
              <w:rPr>
                <w:i/>
              </w:rPr>
              <w:t>[Indiquer toutes les tâches exécutées pour chaque mission]</w:t>
            </w:r>
          </w:p>
        </w:tc>
        <w:tc>
          <w:tcPr>
            <w:tcW w:w="6121" w:type="dxa"/>
          </w:tcPr>
          <w:p w:rsidR="008014AA" w:rsidRDefault="008014AA" w:rsidP="007C5949">
            <w:pPr>
              <w:tabs>
                <w:tab w:val="right" w:pos="9000"/>
              </w:tabs>
              <w:rPr>
                <w:b/>
              </w:rPr>
            </w:pPr>
            <w:r>
              <w:rPr>
                <w:b/>
              </w:rPr>
              <w:t>12. Expérience de l’employé qui illustre le mieux sa compétence</w:t>
            </w:r>
          </w:p>
          <w:p w:rsidR="008014AA" w:rsidRDefault="008014AA" w:rsidP="007C5949">
            <w:pPr>
              <w:tabs>
                <w:tab w:val="right" w:pos="9000"/>
              </w:tabs>
            </w:pPr>
          </w:p>
          <w:p w:rsidR="008014AA" w:rsidRDefault="008014AA" w:rsidP="007C5949">
            <w:pPr>
              <w:tabs>
                <w:tab w:val="right" w:pos="9000"/>
              </w:tabs>
            </w:pPr>
            <w:r>
              <w:t>[</w:t>
            </w:r>
            <w:r>
              <w:rPr>
                <w:i/>
              </w:rPr>
              <w:t>Donner notamment les informations suivantes qui illustrent au mieux la compétence professionnelle de l’employé pour les tâches mentionnées au point 11</w:t>
            </w:r>
            <w:r>
              <w:t>]</w:t>
            </w:r>
          </w:p>
          <w:p w:rsidR="008014AA" w:rsidRDefault="008014AA" w:rsidP="007C5949">
            <w:pPr>
              <w:tabs>
                <w:tab w:val="right" w:pos="9000"/>
              </w:tabs>
            </w:pPr>
          </w:p>
          <w:p w:rsidR="008014AA" w:rsidRDefault="008014AA" w:rsidP="007C5949">
            <w:pPr>
              <w:tabs>
                <w:tab w:val="right" w:pos="9000"/>
              </w:tabs>
              <w:rPr>
                <w:u w:val="single"/>
              </w:rPr>
            </w:pPr>
            <w:r>
              <w:t xml:space="preserve">Nom du projet ou de la mission : </w:t>
            </w:r>
            <w:r>
              <w:rPr>
                <w:u w:val="single"/>
              </w:rPr>
              <w:t>____________________</w:t>
            </w:r>
          </w:p>
          <w:p w:rsidR="008014AA" w:rsidRDefault="008014AA" w:rsidP="007C5949">
            <w:pPr>
              <w:tabs>
                <w:tab w:val="right" w:pos="9000"/>
              </w:tabs>
            </w:pPr>
          </w:p>
          <w:p w:rsidR="008014AA" w:rsidRDefault="008014AA" w:rsidP="007C5949">
            <w:pPr>
              <w:tabs>
                <w:tab w:val="right" w:pos="9000"/>
              </w:tabs>
              <w:rPr>
                <w:u w:val="single"/>
              </w:rPr>
            </w:pPr>
            <w:r>
              <w:t xml:space="preserve">Année : </w:t>
            </w:r>
            <w:r>
              <w:rPr>
                <w:u w:val="single"/>
              </w:rPr>
              <w:t xml:space="preserve">______________                     _____ </w:t>
            </w:r>
          </w:p>
          <w:p w:rsidR="008014AA" w:rsidRDefault="008014AA" w:rsidP="007C5949">
            <w:pPr>
              <w:tabs>
                <w:tab w:val="right" w:pos="9000"/>
              </w:tabs>
            </w:pPr>
          </w:p>
          <w:p w:rsidR="008014AA" w:rsidRDefault="008014AA" w:rsidP="007C5949">
            <w:pPr>
              <w:pStyle w:val="BankNormal"/>
              <w:tabs>
                <w:tab w:val="right" w:pos="9000"/>
              </w:tabs>
              <w:spacing w:after="0"/>
              <w:rPr>
                <w:u w:val="single"/>
              </w:rPr>
            </w:pPr>
            <w:r>
              <w:t>Lieu : </w:t>
            </w:r>
            <w:r>
              <w:rPr>
                <w:u w:val="single"/>
              </w:rPr>
              <w:t>__________________                     ___</w:t>
            </w:r>
          </w:p>
          <w:p w:rsidR="008014AA" w:rsidRDefault="008014AA" w:rsidP="007C5949">
            <w:pPr>
              <w:pStyle w:val="BankNormal"/>
              <w:tabs>
                <w:tab w:val="right" w:pos="9000"/>
              </w:tabs>
              <w:spacing w:after="0"/>
              <w:rPr>
                <w:u w:val="single"/>
              </w:rPr>
            </w:pPr>
          </w:p>
          <w:p w:rsidR="008014AA" w:rsidRDefault="008014AA" w:rsidP="007C5949">
            <w:pPr>
              <w:tabs>
                <w:tab w:val="right" w:pos="9000"/>
              </w:tabs>
              <w:rPr>
                <w:u w:val="single"/>
              </w:rPr>
            </w:pPr>
            <w:r>
              <w:t xml:space="preserve">Principales caractéristiques du projet : </w:t>
            </w:r>
            <w:r>
              <w:rPr>
                <w:u w:val="single"/>
              </w:rPr>
              <w:t xml:space="preserve">__________________  </w:t>
            </w:r>
          </w:p>
          <w:p w:rsidR="008014AA" w:rsidRDefault="008014AA" w:rsidP="007C5949">
            <w:pPr>
              <w:tabs>
                <w:tab w:val="right" w:pos="9000"/>
              </w:tabs>
            </w:pPr>
          </w:p>
          <w:p w:rsidR="008014AA" w:rsidRDefault="008014AA" w:rsidP="007C5949">
            <w:pPr>
              <w:tabs>
                <w:tab w:val="right" w:pos="9000"/>
              </w:tabs>
              <w:rPr>
                <w:u w:val="single"/>
              </w:rPr>
            </w:pPr>
            <w:r>
              <w:t xml:space="preserve">Poste : </w:t>
            </w:r>
            <w:r>
              <w:rPr>
                <w:u w:val="single"/>
              </w:rPr>
              <w:t xml:space="preserve">____________                     ________     </w:t>
            </w:r>
          </w:p>
          <w:p w:rsidR="008014AA" w:rsidRDefault="008014AA" w:rsidP="007C5949">
            <w:pPr>
              <w:tabs>
                <w:tab w:val="right" w:pos="9000"/>
              </w:tabs>
            </w:pPr>
          </w:p>
          <w:p w:rsidR="008014AA" w:rsidRDefault="008014AA" w:rsidP="007C5949">
            <w:pPr>
              <w:tabs>
                <w:tab w:val="left" w:pos="5652"/>
                <w:tab w:val="right" w:pos="9000"/>
              </w:tabs>
              <w:spacing w:before="120"/>
              <w:rPr>
                <w:u w:val="single"/>
                <w:lang w:val="en-GB"/>
              </w:rPr>
            </w:pPr>
            <w:r>
              <w:t xml:space="preserve">Activités : </w:t>
            </w:r>
            <w:r>
              <w:rPr>
                <w:u w:val="single"/>
              </w:rPr>
              <w:t>______                     ___________</w:t>
            </w:r>
          </w:p>
          <w:p w:rsidR="008014AA" w:rsidRDefault="008014AA" w:rsidP="007C5949">
            <w:pPr>
              <w:tabs>
                <w:tab w:val="left" w:pos="576"/>
                <w:tab w:val="left" w:pos="4886"/>
                <w:tab w:val="left" w:pos="5652"/>
                <w:tab w:val="right" w:pos="9000"/>
              </w:tabs>
              <w:ind w:left="360"/>
              <w:rPr>
                <w:sz w:val="20"/>
                <w:lang w:val="en-GB"/>
              </w:rPr>
            </w:pPr>
          </w:p>
          <w:p w:rsidR="008014AA" w:rsidRDefault="008014AA" w:rsidP="007C5949">
            <w:pPr>
              <w:pStyle w:val="BodyText2"/>
              <w:tabs>
                <w:tab w:val="right" w:pos="8640"/>
              </w:tabs>
            </w:pPr>
          </w:p>
        </w:tc>
      </w:tr>
    </w:tbl>
    <w:p w:rsidR="008014AA" w:rsidRDefault="008014AA" w:rsidP="008014AA">
      <w:pPr>
        <w:tabs>
          <w:tab w:val="right" w:pos="9000"/>
        </w:tabs>
      </w:pPr>
    </w:p>
    <w:p w:rsidR="008014AA" w:rsidRDefault="008014AA" w:rsidP="008014AA">
      <w:pPr>
        <w:tabs>
          <w:tab w:val="right" w:pos="9000"/>
        </w:tabs>
        <w:rPr>
          <w:b/>
          <w:u w:val="single"/>
        </w:rPr>
      </w:pPr>
      <w:r>
        <w:rPr>
          <w:b/>
        </w:rPr>
        <w:t>13 Attestation :</w:t>
      </w:r>
    </w:p>
    <w:p w:rsidR="008014AA" w:rsidRDefault="008014AA" w:rsidP="008014AA">
      <w:pPr>
        <w:tabs>
          <w:tab w:val="right" w:pos="9000"/>
        </w:tabs>
        <w:rPr>
          <w:sz w:val="20"/>
        </w:rPr>
      </w:pPr>
    </w:p>
    <w:p w:rsidR="008014AA" w:rsidRDefault="008014AA" w:rsidP="008014AA">
      <w:pPr>
        <w:tabs>
          <w:tab w:val="right" w:pos="9000"/>
        </w:tabs>
        <w:jc w:val="both"/>
      </w:pPr>
      <w: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rsidR="008014AA" w:rsidRDefault="008014AA" w:rsidP="008014AA">
      <w:pPr>
        <w:tabs>
          <w:tab w:val="right" w:pos="9000"/>
        </w:tabs>
      </w:pPr>
    </w:p>
    <w:p w:rsidR="008014AA" w:rsidRDefault="008014AA" w:rsidP="008014AA">
      <w:pPr>
        <w:tabs>
          <w:tab w:val="left" w:pos="6120"/>
          <w:tab w:val="right" w:pos="6840"/>
          <w:tab w:val="right" w:pos="9000"/>
        </w:tabs>
        <w:rPr>
          <w:u w:val="single"/>
        </w:rPr>
      </w:pPr>
      <w:r>
        <w:rPr>
          <w:u w:val="single"/>
        </w:rPr>
        <w:tab/>
      </w:r>
      <w:r>
        <w:rPr>
          <w:b/>
        </w:rPr>
        <w:tab/>
      </w:r>
      <w:r>
        <w:t>Date :</w:t>
      </w:r>
      <w:r>
        <w:rPr>
          <w:u w:val="single"/>
        </w:rPr>
        <w:tab/>
      </w:r>
    </w:p>
    <w:p w:rsidR="008014AA" w:rsidRDefault="008014AA" w:rsidP="008014AA">
      <w:pPr>
        <w:tabs>
          <w:tab w:val="left" w:pos="5760"/>
          <w:tab w:val="right" w:pos="6480"/>
          <w:tab w:val="right" w:pos="8460"/>
          <w:tab w:val="right" w:pos="9000"/>
        </w:tabs>
        <w:rPr>
          <w:b/>
          <w:u w:val="single"/>
        </w:rPr>
      </w:pPr>
      <w:r>
        <w:rPr>
          <w:i/>
          <w:sz w:val="20"/>
        </w:rPr>
        <w:t>[Signature de l’employé et du représentant habilité du Candidat]</w:t>
      </w:r>
      <w:r>
        <w:tab/>
      </w:r>
      <w:r>
        <w:tab/>
      </w:r>
      <w:r>
        <w:tab/>
      </w:r>
      <w:r>
        <w:rPr>
          <w:i/>
        </w:rPr>
        <w:t>Jo</w:t>
      </w:r>
      <w:r>
        <w:rPr>
          <w:i/>
          <w:sz w:val="20"/>
        </w:rPr>
        <w:t>ur/mois/année</w:t>
      </w:r>
    </w:p>
    <w:p w:rsidR="008014AA" w:rsidRDefault="008014AA" w:rsidP="008014AA">
      <w:pPr>
        <w:tabs>
          <w:tab w:val="right" w:pos="9000"/>
        </w:tabs>
      </w:pPr>
    </w:p>
    <w:p w:rsidR="008014AA" w:rsidRDefault="008014AA" w:rsidP="008014AA">
      <w:pPr>
        <w:tabs>
          <w:tab w:val="right" w:pos="9000"/>
          <w:tab w:val="left" w:pos="9180"/>
        </w:tabs>
      </w:pPr>
      <w:proofErr w:type="gramStart"/>
      <w:r>
        <w:t>ou</w:t>
      </w:r>
      <w:proofErr w:type="gramEnd"/>
    </w:p>
    <w:p w:rsidR="008014AA" w:rsidRDefault="008014AA" w:rsidP="008014AA">
      <w:pPr>
        <w:tabs>
          <w:tab w:val="right" w:pos="9000"/>
          <w:tab w:val="left" w:pos="9090"/>
        </w:tabs>
      </w:pPr>
    </w:p>
    <w:p w:rsidR="008014AA" w:rsidRDefault="008014AA" w:rsidP="008014AA">
      <w:pPr>
        <w:tabs>
          <w:tab w:val="right" w:pos="9000"/>
          <w:tab w:val="left" w:pos="9090"/>
        </w:tabs>
        <w:rPr>
          <w:u w:val="single"/>
        </w:rPr>
      </w:pPr>
      <w:r>
        <w:t xml:space="preserve">Nom du représentant habilité : </w:t>
      </w:r>
      <w:r>
        <w:rPr>
          <w:u w:val="single"/>
        </w:rPr>
        <w:tab/>
      </w: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tabs>
          <w:tab w:val="left" w:pos="720"/>
          <w:tab w:val="right" w:leader="dot" w:pos="8640"/>
        </w:tabs>
      </w:pPr>
    </w:p>
    <w:p w:rsidR="008014AA" w:rsidRDefault="008014AA" w:rsidP="008014AA">
      <w:pPr>
        <w:ind w:right="900"/>
        <w:jc w:val="center"/>
        <w:rPr>
          <w:b/>
          <w:sz w:val="28"/>
        </w:rPr>
        <w:sectPr w:rsidR="008014AA" w:rsidSect="008014AA">
          <w:pgSz w:w="11906" w:h="16838" w:code="9"/>
          <w:pgMar w:top="1418" w:right="1418" w:bottom="1418" w:left="1418" w:header="709" w:footer="709" w:gutter="0"/>
          <w:cols w:space="708"/>
          <w:docGrid w:linePitch="360"/>
        </w:sectPr>
      </w:pPr>
    </w:p>
    <w:p w:rsidR="008014AA" w:rsidRDefault="008014AA" w:rsidP="008014AA">
      <w:pPr>
        <w:ind w:right="900"/>
        <w:jc w:val="center"/>
        <w:rPr>
          <w:b/>
          <w:smallCaps/>
        </w:rPr>
      </w:pPr>
      <w:r w:rsidRPr="009E18E9">
        <w:rPr>
          <w:b/>
          <w:sz w:val="28"/>
        </w:rPr>
        <w:lastRenderedPageBreak/>
        <w:t xml:space="preserve">Formulaire TECH-7. </w:t>
      </w:r>
      <w:r w:rsidRPr="009E18E9">
        <w:rPr>
          <w:b/>
          <w:smallCaps/>
          <w:sz w:val="28"/>
        </w:rPr>
        <w:t xml:space="preserve">Calendrier du personnel clé </w:t>
      </w:r>
      <w:r w:rsidRPr="009E18E9">
        <w:rPr>
          <w:rStyle w:val="FootnoteReference"/>
          <w:b/>
          <w:smallCaps/>
        </w:rPr>
        <w:footnoteReference w:customMarkFollows="1" w:id="2"/>
        <w:t>1</w:t>
      </w:r>
    </w:p>
    <w:p w:rsidR="008014AA" w:rsidRDefault="008014AA" w:rsidP="008014AA">
      <w:pPr>
        <w:ind w:right="900"/>
        <w:jc w:val="center"/>
        <w:rPr>
          <w:b/>
          <w:smallCaps/>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619"/>
        <w:gridCol w:w="620"/>
        <w:gridCol w:w="620"/>
        <w:gridCol w:w="620"/>
        <w:gridCol w:w="620"/>
        <w:gridCol w:w="620"/>
        <w:gridCol w:w="620"/>
        <w:gridCol w:w="620"/>
        <w:gridCol w:w="620"/>
        <w:gridCol w:w="620"/>
        <w:gridCol w:w="620"/>
        <w:gridCol w:w="620"/>
        <w:gridCol w:w="620"/>
        <w:gridCol w:w="806"/>
        <w:gridCol w:w="806"/>
        <w:gridCol w:w="806"/>
      </w:tblGrid>
      <w:tr w:rsidR="008014AA" w:rsidRPr="009E18E9" w:rsidTr="007C5949">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rsidR="008014AA" w:rsidRPr="009E18E9" w:rsidRDefault="008014AA" w:rsidP="007C5949">
            <w:pPr>
              <w:pStyle w:val="Heading3"/>
              <w:keepNext w:val="0"/>
              <w:rPr>
                <w:rFonts w:ascii="Times New Roman" w:hAnsi="Times New Roman"/>
                <w:b w:val="0"/>
                <w:sz w:val="20"/>
              </w:rPr>
            </w:pPr>
            <w:bookmarkStart w:id="56" w:name="_Toc64435224"/>
            <w:bookmarkStart w:id="57" w:name="_Toc64435414"/>
            <w:bookmarkStart w:id="58" w:name="_Toc64435604"/>
            <w:bookmarkStart w:id="59" w:name="_Toc72513346"/>
            <w:bookmarkStart w:id="60" w:name="_Toc72513664"/>
            <w:bookmarkStart w:id="61" w:name="_Toc72514644"/>
            <w:bookmarkStart w:id="62" w:name="_Toc72514823"/>
            <w:bookmarkStart w:id="63" w:name="_Toc72515058"/>
            <w:r w:rsidRPr="009E18E9">
              <w:rPr>
                <w:rFonts w:ascii="Times New Roman" w:hAnsi="Times New Roman"/>
                <w:b w:val="0"/>
                <w:sz w:val="20"/>
              </w:rPr>
              <w:t>N°</w:t>
            </w:r>
            <w:bookmarkEnd w:id="56"/>
            <w:bookmarkEnd w:id="57"/>
            <w:bookmarkEnd w:id="58"/>
            <w:bookmarkEnd w:id="59"/>
            <w:bookmarkEnd w:id="60"/>
            <w:bookmarkEnd w:id="61"/>
            <w:bookmarkEnd w:id="62"/>
            <w:bookmarkEnd w:id="63"/>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8014AA" w:rsidRPr="009E18E9" w:rsidRDefault="008014AA" w:rsidP="007C5949">
            <w:pPr>
              <w:jc w:val="center"/>
              <w:rPr>
                <w:sz w:val="20"/>
                <w:lang w:val="en-GB"/>
              </w:rPr>
            </w:pPr>
            <w:r w:rsidRPr="009E18E9">
              <w:rPr>
                <w:b/>
                <w:sz w:val="20"/>
                <w:lang w:val="en-GB"/>
              </w:rPr>
              <w:t>Nom</w:t>
            </w:r>
          </w:p>
        </w:tc>
        <w:tc>
          <w:tcPr>
            <w:tcW w:w="8059" w:type="dxa"/>
            <w:gridSpan w:val="13"/>
            <w:tcBorders>
              <w:top w:val="double" w:sz="4" w:space="0" w:color="auto"/>
              <w:bottom w:val="single" w:sz="6" w:space="0" w:color="auto"/>
              <w:right w:val="single" w:sz="6" w:space="0" w:color="auto"/>
            </w:tcBorders>
            <w:vAlign w:val="center"/>
          </w:tcPr>
          <w:p w:rsidR="008014AA" w:rsidRPr="009E18E9" w:rsidRDefault="008014AA" w:rsidP="007C5949">
            <w:pPr>
              <w:pStyle w:val="Heading3"/>
              <w:jc w:val="center"/>
              <w:rPr>
                <w:rFonts w:ascii="Times New Roman" w:hAnsi="Times New Roman"/>
              </w:rPr>
            </w:pPr>
            <w:bookmarkStart w:id="64" w:name="_Toc64435225"/>
            <w:bookmarkStart w:id="65" w:name="_Toc64435415"/>
            <w:bookmarkStart w:id="66" w:name="_Toc64435605"/>
            <w:bookmarkStart w:id="67" w:name="_Toc72513347"/>
            <w:bookmarkStart w:id="68" w:name="_Toc72513665"/>
            <w:bookmarkStart w:id="69" w:name="_Toc72514645"/>
            <w:bookmarkStart w:id="70" w:name="_Toc72514824"/>
            <w:bookmarkStart w:id="71" w:name="_Toc72515059"/>
            <w:r w:rsidRPr="009E18E9">
              <w:rPr>
                <w:rFonts w:ascii="Times New Roman" w:hAnsi="Times New Roman"/>
                <w:b w:val="0"/>
                <w:sz w:val="20"/>
              </w:rPr>
              <w:t>Personnel (sous forme de graphique à barres)</w:t>
            </w:r>
            <w:bookmarkEnd w:id="64"/>
            <w:bookmarkEnd w:id="65"/>
            <w:bookmarkEnd w:id="66"/>
            <w:r w:rsidRPr="009E18E9">
              <w:rPr>
                <w:rStyle w:val="FootnoteReference"/>
                <w:rFonts w:ascii="Times New Roman" w:hAnsi="Times New Roman"/>
                <w:b w:val="0"/>
              </w:rPr>
              <w:footnoteReference w:customMarkFollows="1" w:id="3"/>
              <w:t>2</w:t>
            </w:r>
            <w:bookmarkEnd w:id="67"/>
            <w:bookmarkEnd w:id="68"/>
            <w:bookmarkEnd w:id="69"/>
            <w:bookmarkEnd w:id="70"/>
            <w:bookmarkEnd w:id="71"/>
          </w:p>
        </w:tc>
        <w:tc>
          <w:tcPr>
            <w:tcW w:w="2418" w:type="dxa"/>
            <w:gridSpan w:val="3"/>
            <w:tcBorders>
              <w:top w:val="double" w:sz="4" w:space="0" w:color="auto"/>
              <w:bottom w:val="single" w:sz="6" w:space="0" w:color="auto"/>
              <w:right w:val="double" w:sz="4" w:space="0" w:color="auto"/>
            </w:tcBorders>
            <w:vAlign w:val="center"/>
          </w:tcPr>
          <w:p w:rsidR="008014AA" w:rsidRPr="009E18E9" w:rsidRDefault="008014AA" w:rsidP="007C5949">
            <w:pPr>
              <w:pStyle w:val="Heading3"/>
              <w:jc w:val="center"/>
              <w:rPr>
                <w:rFonts w:ascii="Times New Roman" w:hAnsi="Times New Roman"/>
                <w:b w:val="0"/>
                <w:sz w:val="20"/>
              </w:rPr>
            </w:pPr>
            <w:bookmarkStart w:id="72" w:name="_Toc64435226"/>
            <w:bookmarkStart w:id="73" w:name="_Toc64435416"/>
            <w:bookmarkStart w:id="74" w:name="_Toc64435606"/>
            <w:bookmarkStart w:id="75" w:name="_Toc72513348"/>
            <w:bookmarkStart w:id="76" w:name="_Toc72513666"/>
            <w:bookmarkStart w:id="77" w:name="_Toc72514646"/>
            <w:bookmarkStart w:id="78" w:name="_Toc72514825"/>
            <w:bookmarkStart w:id="79" w:name="_Toc72515060"/>
            <w:r w:rsidRPr="009E18E9">
              <w:rPr>
                <w:rFonts w:ascii="Times New Roman" w:hAnsi="Times New Roman"/>
                <w:b w:val="0"/>
                <w:sz w:val="20"/>
              </w:rPr>
              <w:t>Total personnel/mois</w:t>
            </w:r>
            <w:bookmarkEnd w:id="72"/>
            <w:bookmarkEnd w:id="73"/>
            <w:bookmarkEnd w:id="74"/>
            <w:bookmarkEnd w:id="75"/>
            <w:bookmarkEnd w:id="76"/>
            <w:bookmarkEnd w:id="77"/>
            <w:bookmarkEnd w:id="78"/>
            <w:bookmarkEnd w:id="79"/>
          </w:p>
        </w:tc>
      </w:tr>
      <w:tr w:rsidR="008014AA" w:rsidRPr="009E18E9" w:rsidTr="007C5949">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8014AA" w:rsidRPr="009E18E9" w:rsidRDefault="008014AA" w:rsidP="007C5949">
            <w:pPr>
              <w:jc w:val="center"/>
              <w:rPr>
                <w:b/>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p>
        </w:tc>
        <w:tc>
          <w:tcPr>
            <w:tcW w:w="619" w:type="dxa"/>
            <w:tcBorders>
              <w:top w:val="single" w:sz="6" w:space="0" w:color="auto"/>
              <w:bottom w:val="single" w:sz="12" w:space="0" w:color="auto"/>
            </w:tcBorders>
            <w:vAlign w:val="center"/>
          </w:tcPr>
          <w:p w:rsidR="008014AA" w:rsidRPr="009E18E9" w:rsidRDefault="008014AA" w:rsidP="007C5949">
            <w:pPr>
              <w:jc w:val="center"/>
              <w:rPr>
                <w:b/>
                <w:sz w:val="20"/>
                <w:lang w:val="en-GB"/>
              </w:rPr>
            </w:pPr>
            <w:r w:rsidRPr="009E18E9">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2</w:t>
            </w:r>
          </w:p>
        </w:tc>
        <w:tc>
          <w:tcPr>
            <w:tcW w:w="620" w:type="dxa"/>
            <w:tcBorders>
              <w:top w:val="single" w:sz="6" w:space="0" w:color="auto"/>
              <w:bottom w:val="single" w:sz="12" w:space="0" w:color="auto"/>
            </w:tcBorders>
            <w:vAlign w:val="center"/>
          </w:tcPr>
          <w:p w:rsidR="008014AA" w:rsidRPr="009E18E9" w:rsidRDefault="008014AA" w:rsidP="007C5949">
            <w:pPr>
              <w:jc w:val="center"/>
              <w:rPr>
                <w:b/>
                <w:sz w:val="20"/>
                <w:lang w:val="en-GB"/>
              </w:rPr>
            </w:pPr>
            <w:r w:rsidRPr="009E18E9">
              <w:rPr>
                <w:b/>
                <w:sz w:val="20"/>
                <w:lang w:val="en-GB"/>
              </w:rPr>
              <w:t>3</w:t>
            </w:r>
          </w:p>
        </w:tc>
        <w:tc>
          <w:tcPr>
            <w:tcW w:w="62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4</w:t>
            </w:r>
          </w:p>
        </w:tc>
        <w:tc>
          <w:tcPr>
            <w:tcW w:w="620" w:type="dxa"/>
            <w:tcBorders>
              <w:top w:val="single" w:sz="6" w:space="0" w:color="auto"/>
              <w:bottom w:val="single" w:sz="12" w:space="0" w:color="auto"/>
            </w:tcBorders>
            <w:vAlign w:val="center"/>
          </w:tcPr>
          <w:p w:rsidR="008014AA" w:rsidRPr="009E18E9" w:rsidRDefault="008014AA" w:rsidP="007C5949">
            <w:pPr>
              <w:jc w:val="center"/>
              <w:rPr>
                <w:b/>
                <w:sz w:val="20"/>
                <w:lang w:val="en-GB"/>
              </w:rPr>
            </w:pPr>
            <w:r w:rsidRPr="009E18E9">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6</w:t>
            </w:r>
          </w:p>
        </w:tc>
        <w:tc>
          <w:tcPr>
            <w:tcW w:w="620" w:type="dxa"/>
            <w:tcBorders>
              <w:top w:val="single" w:sz="6" w:space="0" w:color="auto"/>
              <w:bottom w:val="single" w:sz="12" w:space="0" w:color="auto"/>
            </w:tcBorders>
            <w:vAlign w:val="center"/>
          </w:tcPr>
          <w:p w:rsidR="008014AA" w:rsidRPr="009E18E9" w:rsidRDefault="008014AA" w:rsidP="007C5949">
            <w:pPr>
              <w:jc w:val="center"/>
              <w:rPr>
                <w:b/>
                <w:sz w:val="20"/>
                <w:lang w:val="en-GB"/>
              </w:rPr>
            </w:pPr>
            <w:r w:rsidRPr="009E18E9">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8</w:t>
            </w:r>
          </w:p>
        </w:tc>
        <w:tc>
          <w:tcPr>
            <w:tcW w:w="620" w:type="dxa"/>
            <w:tcBorders>
              <w:top w:val="single" w:sz="6" w:space="0" w:color="auto"/>
              <w:bottom w:val="single" w:sz="12" w:space="0" w:color="auto"/>
            </w:tcBorders>
            <w:vAlign w:val="center"/>
          </w:tcPr>
          <w:p w:rsidR="008014AA" w:rsidRPr="009E18E9" w:rsidRDefault="008014AA" w:rsidP="007C5949">
            <w:pPr>
              <w:jc w:val="center"/>
              <w:rPr>
                <w:b/>
                <w:sz w:val="20"/>
                <w:lang w:val="en-GB"/>
              </w:rPr>
            </w:pPr>
            <w:r w:rsidRPr="009E18E9">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10</w:t>
            </w:r>
          </w:p>
        </w:tc>
        <w:tc>
          <w:tcPr>
            <w:tcW w:w="620" w:type="dxa"/>
            <w:tcBorders>
              <w:top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11</w:t>
            </w:r>
          </w:p>
        </w:tc>
        <w:tc>
          <w:tcPr>
            <w:tcW w:w="620" w:type="dxa"/>
            <w:tcBorders>
              <w:top w:val="single" w:sz="6" w:space="0" w:color="auto"/>
              <w:left w:val="single" w:sz="6" w:space="0" w:color="auto"/>
              <w:bottom w:val="single" w:sz="12" w:space="0" w:color="auto"/>
            </w:tcBorders>
            <w:vAlign w:val="center"/>
          </w:tcPr>
          <w:p w:rsidR="008014AA" w:rsidRPr="009E18E9" w:rsidRDefault="008014AA" w:rsidP="007C5949">
            <w:pPr>
              <w:jc w:val="center"/>
              <w:rPr>
                <w:b/>
                <w:sz w:val="20"/>
                <w:lang w:val="en-GB"/>
              </w:rPr>
            </w:pPr>
            <w:r w:rsidRPr="009E18E9">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n</w:t>
            </w:r>
          </w:p>
        </w:tc>
        <w:tc>
          <w:tcPr>
            <w:tcW w:w="806" w:type="dxa"/>
            <w:tcBorders>
              <w:top w:val="single" w:sz="6" w:space="0" w:color="auto"/>
              <w:bottom w:val="single" w:sz="12" w:space="0" w:color="auto"/>
              <w:right w:val="single" w:sz="6" w:space="0" w:color="auto"/>
            </w:tcBorders>
            <w:vAlign w:val="center"/>
          </w:tcPr>
          <w:p w:rsidR="008014AA" w:rsidRPr="009E18E9" w:rsidRDefault="008014AA" w:rsidP="007C5949">
            <w:pPr>
              <w:jc w:val="center"/>
              <w:rPr>
                <w:b/>
                <w:sz w:val="18"/>
                <w:lang w:val="en-GB"/>
              </w:rPr>
            </w:pPr>
            <w:proofErr w:type="spellStart"/>
            <w:r w:rsidRPr="009E18E9">
              <w:rPr>
                <w:b/>
                <w:sz w:val="18"/>
                <w:lang w:val="en-GB"/>
              </w:rPr>
              <w:t>Siège</w:t>
            </w:r>
            <w:proofErr w:type="spellEnd"/>
          </w:p>
        </w:tc>
        <w:tc>
          <w:tcPr>
            <w:tcW w:w="806"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16"/>
                <w:lang w:val="en-GB"/>
              </w:rPr>
            </w:pPr>
            <w:r w:rsidRPr="009E18E9">
              <w:rPr>
                <w:b/>
                <w:sz w:val="16"/>
                <w:lang w:val="en-GB"/>
              </w:rPr>
              <w:t>Terrain</w:t>
            </w:r>
            <w:r w:rsidRPr="009E18E9">
              <w:rPr>
                <w:rStyle w:val="FootnoteReference"/>
                <w:b/>
                <w:sz w:val="16"/>
                <w:lang w:val="en-GB"/>
              </w:rPr>
              <w:footnoteReference w:customMarkFollows="1" w:id="4"/>
              <w:t>3</w:t>
            </w:r>
          </w:p>
        </w:tc>
        <w:tc>
          <w:tcPr>
            <w:tcW w:w="806" w:type="dxa"/>
            <w:tcBorders>
              <w:top w:val="single" w:sz="6" w:space="0" w:color="auto"/>
              <w:left w:val="single" w:sz="6" w:space="0" w:color="auto"/>
              <w:bottom w:val="single" w:sz="12" w:space="0" w:color="auto"/>
              <w:right w:val="double" w:sz="4" w:space="0" w:color="auto"/>
            </w:tcBorders>
            <w:vAlign w:val="center"/>
          </w:tcPr>
          <w:p w:rsidR="008014AA" w:rsidRPr="009E18E9" w:rsidRDefault="008014AA" w:rsidP="007C5949">
            <w:pPr>
              <w:jc w:val="center"/>
              <w:rPr>
                <w:b/>
                <w:sz w:val="18"/>
                <w:lang w:val="en-GB"/>
              </w:rPr>
            </w:pPr>
            <w:r w:rsidRPr="009E18E9">
              <w:rPr>
                <w:b/>
                <w:sz w:val="18"/>
                <w:lang w:val="en-GB"/>
              </w:rPr>
              <w:t>Total</w:t>
            </w:r>
          </w:p>
        </w:tc>
      </w:tr>
      <w:tr w:rsidR="008014AA" w:rsidRPr="009E18E9" w:rsidTr="007C5949">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rsidR="008014AA" w:rsidRPr="009E18E9" w:rsidRDefault="008014AA" w:rsidP="007C5949">
            <w:pPr>
              <w:pStyle w:val="xl41"/>
              <w:spacing w:before="0" w:after="0"/>
              <w:rPr>
                <w:rFonts w:eastAsia="Times New Roman"/>
                <w:lang w:val="en-GB"/>
              </w:rPr>
            </w:pPr>
            <w:proofErr w:type="spellStart"/>
            <w:r w:rsidRPr="009E18E9">
              <w:rPr>
                <w:rFonts w:eastAsia="Times New Roman"/>
                <w:b/>
                <w:lang w:val="en-GB"/>
              </w:rPr>
              <w:t>Etranger</w:t>
            </w:r>
            <w:proofErr w:type="spellEnd"/>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806"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806" w:type="dxa"/>
            <w:tcBorders>
              <w:top w:val="single" w:sz="12" w:space="0" w:color="auto"/>
              <w:left w:val="nil"/>
              <w:bottom w:val="single" w:sz="6" w:space="0" w:color="auto"/>
              <w:right w:val="nil"/>
            </w:tcBorders>
          </w:tcPr>
          <w:p w:rsidR="008014AA" w:rsidRPr="009E18E9" w:rsidRDefault="008014AA" w:rsidP="007C5949">
            <w:pPr>
              <w:rPr>
                <w:sz w:val="20"/>
                <w:lang w:val="en-GB"/>
              </w:rPr>
            </w:pPr>
          </w:p>
        </w:tc>
        <w:tc>
          <w:tcPr>
            <w:tcW w:w="806" w:type="dxa"/>
            <w:tcBorders>
              <w:top w:val="single" w:sz="12" w:space="0" w:color="auto"/>
              <w:left w:val="nil"/>
              <w:bottom w:val="single" w:sz="6" w:space="0" w:color="auto"/>
              <w:right w:val="double" w:sz="4" w:space="0" w:color="auto"/>
            </w:tcBorders>
          </w:tcPr>
          <w:p w:rsidR="008014AA" w:rsidRPr="009E18E9" w:rsidRDefault="008014AA" w:rsidP="007C5949">
            <w:pPr>
              <w:rPr>
                <w:sz w:val="20"/>
                <w:lang w:val="en-GB"/>
              </w:rPr>
            </w:pPr>
          </w:p>
        </w:tc>
      </w:tr>
      <w:tr w:rsidR="008014AA" w:rsidRPr="009E18E9" w:rsidTr="007C5949">
        <w:trPr>
          <w:cantSplit/>
          <w:jc w:val="center"/>
        </w:trPr>
        <w:tc>
          <w:tcPr>
            <w:tcW w:w="495" w:type="dxa"/>
            <w:vMerge w:val="restart"/>
            <w:tcBorders>
              <w:top w:val="single" w:sz="6" w:space="0" w:color="auto"/>
              <w:left w:val="double" w:sz="4" w:space="0" w:color="auto"/>
              <w:right w:val="single" w:sz="6" w:space="0" w:color="auto"/>
            </w:tcBorders>
            <w:vAlign w:val="center"/>
          </w:tcPr>
          <w:p w:rsidR="008014AA" w:rsidRPr="009E18E9" w:rsidRDefault="008014AA" w:rsidP="007C5949">
            <w:pPr>
              <w:jc w:val="center"/>
              <w:rPr>
                <w:sz w:val="20"/>
                <w:lang w:val="en-GB"/>
              </w:rPr>
            </w:pPr>
            <w:r w:rsidRPr="009E18E9">
              <w:rPr>
                <w:sz w:val="20"/>
                <w:lang w:val="en-GB"/>
              </w:rPr>
              <w:t>1</w:t>
            </w:r>
          </w:p>
        </w:tc>
        <w:tc>
          <w:tcPr>
            <w:tcW w:w="1858" w:type="dxa"/>
            <w:vMerge w:val="restart"/>
            <w:tcBorders>
              <w:top w:val="single" w:sz="6" w:space="0" w:color="auto"/>
              <w:left w:val="single" w:sz="6" w:space="0" w:color="auto"/>
              <w:right w:val="single" w:sz="6" w:space="0" w:color="auto"/>
            </w:tcBorders>
          </w:tcPr>
          <w:p w:rsidR="008014AA" w:rsidRPr="009E18E9" w:rsidRDefault="008014AA" w:rsidP="007C5949">
            <w:pPr>
              <w:pStyle w:val="xl41"/>
              <w:spacing w:before="0" w:after="0"/>
              <w:rPr>
                <w:rFonts w:eastAsia="Times New Roman"/>
                <w:lang w:val="en-GB"/>
              </w:rPr>
            </w:pPr>
          </w:p>
        </w:tc>
        <w:tc>
          <w:tcPr>
            <w:tcW w:w="619" w:type="dxa"/>
            <w:tcBorders>
              <w:top w:val="single" w:sz="6" w:space="0" w:color="auto"/>
              <w:left w:val="single" w:sz="6" w:space="0" w:color="auto"/>
              <w:bottom w:val="dashSmallGap" w:sz="4" w:space="0" w:color="auto"/>
              <w:right w:val="single" w:sz="6" w:space="0" w:color="auto"/>
            </w:tcBorders>
            <w:vAlign w:val="center"/>
          </w:tcPr>
          <w:p w:rsidR="008014AA" w:rsidRPr="009E18E9" w:rsidRDefault="008014AA" w:rsidP="007C5949">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vMerge w:val="restart"/>
            <w:tcBorders>
              <w:top w:val="single" w:sz="6" w:space="0" w:color="auto"/>
              <w:left w:val="single" w:sz="6" w:space="0" w:color="auto"/>
              <w:right w:val="double" w:sz="4" w:space="0" w:color="auto"/>
            </w:tcBorders>
          </w:tcPr>
          <w:p w:rsidR="008014AA" w:rsidRPr="009E18E9" w:rsidRDefault="008014AA" w:rsidP="007C5949">
            <w:pPr>
              <w:rPr>
                <w:sz w:val="20"/>
                <w:lang w:val="en-GB"/>
              </w:rPr>
            </w:pPr>
          </w:p>
        </w:tc>
      </w:tr>
      <w:tr w:rsidR="008014AA" w:rsidRPr="009E18E9" w:rsidTr="007C5949">
        <w:trPr>
          <w:cantSplit/>
          <w:jc w:val="center"/>
        </w:trPr>
        <w:tc>
          <w:tcPr>
            <w:tcW w:w="495" w:type="dxa"/>
            <w:vMerge/>
            <w:tcBorders>
              <w:left w:val="double" w:sz="4" w:space="0" w:color="auto"/>
              <w:bottom w:val="single" w:sz="6" w:space="0" w:color="auto"/>
              <w:right w:val="single" w:sz="6" w:space="0" w:color="auto"/>
            </w:tcBorders>
            <w:vAlign w:val="center"/>
          </w:tcPr>
          <w:p w:rsidR="008014AA" w:rsidRPr="009E18E9" w:rsidRDefault="008014AA" w:rsidP="007C5949">
            <w:pPr>
              <w:jc w:val="center"/>
              <w:rPr>
                <w:sz w:val="20"/>
                <w:lang w:val="en-GB"/>
              </w:rPr>
            </w:pPr>
          </w:p>
        </w:tc>
        <w:tc>
          <w:tcPr>
            <w:tcW w:w="1858" w:type="dxa"/>
            <w:vMerge/>
            <w:tcBorders>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tcPr>
          <w:p w:rsidR="008014AA" w:rsidRPr="009E18E9" w:rsidRDefault="008014AA" w:rsidP="007C5949">
            <w:pPr>
              <w:rPr>
                <w:sz w:val="16"/>
                <w:lang w:val="en-GB"/>
              </w:rPr>
            </w:pPr>
            <w:r w:rsidRPr="009E18E9">
              <w:rPr>
                <w:sz w:val="16"/>
                <w:lang w:val="en-GB"/>
              </w:rPr>
              <w:t>[Terr.]</w:t>
            </w: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vMerge/>
            <w:tcBorders>
              <w:left w:val="single" w:sz="6" w:space="0" w:color="auto"/>
              <w:bottom w:val="single" w:sz="6" w:space="0" w:color="auto"/>
              <w:right w:val="double" w:sz="4" w:space="0" w:color="auto"/>
            </w:tcBorders>
          </w:tcPr>
          <w:p w:rsidR="008014AA" w:rsidRPr="009E18E9" w:rsidRDefault="008014AA" w:rsidP="007C5949">
            <w:pPr>
              <w:jc w:val="right"/>
              <w:rPr>
                <w:sz w:val="20"/>
                <w:lang w:val="en-GB"/>
              </w:rPr>
            </w:pPr>
          </w:p>
        </w:tc>
      </w:tr>
      <w:tr w:rsidR="008014AA" w:rsidRPr="009E18E9" w:rsidTr="007C5949">
        <w:trPr>
          <w:cantSplit/>
          <w:jc w:val="center"/>
        </w:trPr>
        <w:tc>
          <w:tcPr>
            <w:tcW w:w="495" w:type="dxa"/>
            <w:vMerge w:val="restart"/>
            <w:tcBorders>
              <w:top w:val="single" w:sz="6" w:space="0" w:color="auto"/>
              <w:left w:val="double" w:sz="4" w:space="0" w:color="auto"/>
              <w:right w:val="single" w:sz="6" w:space="0" w:color="auto"/>
            </w:tcBorders>
            <w:vAlign w:val="center"/>
          </w:tcPr>
          <w:p w:rsidR="008014AA" w:rsidRPr="009E18E9" w:rsidRDefault="008014AA" w:rsidP="007C5949">
            <w:pPr>
              <w:jc w:val="center"/>
              <w:rPr>
                <w:sz w:val="20"/>
                <w:lang w:val="en-GB"/>
              </w:rPr>
            </w:pPr>
            <w:r w:rsidRPr="009E18E9">
              <w:rPr>
                <w:sz w:val="20"/>
                <w:lang w:val="en-GB"/>
              </w:rPr>
              <w:t>2</w:t>
            </w:r>
          </w:p>
        </w:tc>
        <w:tc>
          <w:tcPr>
            <w:tcW w:w="1858" w:type="dxa"/>
            <w:vMerge w:val="restart"/>
            <w:tcBorders>
              <w:top w:val="single" w:sz="6" w:space="0" w:color="auto"/>
              <w:left w:val="single" w:sz="6" w:space="0" w:color="auto"/>
              <w:right w:val="single" w:sz="6" w:space="0" w:color="auto"/>
            </w:tcBorders>
          </w:tcPr>
          <w:p w:rsidR="008014AA" w:rsidRPr="009E18E9" w:rsidRDefault="008014AA" w:rsidP="007C5949">
            <w:pPr>
              <w:pStyle w:val="xl41"/>
              <w:spacing w:before="0" w:after="0"/>
              <w:rPr>
                <w:rFonts w:eastAsia="Times New Roman"/>
                <w:lang w:val="en-GB"/>
              </w:rPr>
            </w:pPr>
          </w:p>
        </w:tc>
        <w:tc>
          <w:tcPr>
            <w:tcW w:w="619"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vMerge w:val="restart"/>
            <w:tcBorders>
              <w:top w:val="single" w:sz="6" w:space="0" w:color="auto"/>
              <w:left w:val="single" w:sz="6" w:space="0" w:color="auto"/>
              <w:right w:val="double" w:sz="4" w:space="0" w:color="auto"/>
            </w:tcBorders>
          </w:tcPr>
          <w:p w:rsidR="008014AA" w:rsidRPr="009E18E9" w:rsidRDefault="008014AA" w:rsidP="007C5949">
            <w:pPr>
              <w:rPr>
                <w:sz w:val="20"/>
                <w:lang w:val="en-GB"/>
              </w:rPr>
            </w:pPr>
          </w:p>
        </w:tc>
      </w:tr>
      <w:tr w:rsidR="008014AA" w:rsidRPr="009E18E9" w:rsidTr="007C5949">
        <w:trPr>
          <w:cantSplit/>
          <w:jc w:val="center"/>
        </w:trPr>
        <w:tc>
          <w:tcPr>
            <w:tcW w:w="495" w:type="dxa"/>
            <w:vMerge/>
            <w:tcBorders>
              <w:left w:val="double" w:sz="4" w:space="0" w:color="auto"/>
              <w:bottom w:val="single" w:sz="6" w:space="0" w:color="auto"/>
              <w:right w:val="single" w:sz="6" w:space="0" w:color="auto"/>
            </w:tcBorders>
            <w:vAlign w:val="center"/>
          </w:tcPr>
          <w:p w:rsidR="008014AA" w:rsidRPr="009E18E9" w:rsidRDefault="008014AA" w:rsidP="007C5949">
            <w:pPr>
              <w:jc w:val="center"/>
              <w:rPr>
                <w:sz w:val="20"/>
                <w:lang w:val="en-GB"/>
              </w:rPr>
            </w:pPr>
          </w:p>
        </w:tc>
        <w:tc>
          <w:tcPr>
            <w:tcW w:w="1858" w:type="dxa"/>
            <w:vMerge/>
            <w:tcBorders>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pStyle w:val="xl41"/>
              <w:spacing w:before="0" w:after="0"/>
              <w:rPr>
                <w:rFonts w:eastAsia="Times New Roman"/>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vMerge/>
            <w:tcBorders>
              <w:left w:val="single" w:sz="6" w:space="0" w:color="auto"/>
              <w:bottom w:val="single" w:sz="6" w:space="0" w:color="auto"/>
              <w:right w:val="double" w:sz="4" w:space="0" w:color="auto"/>
            </w:tcBorders>
          </w:tcPr>
          <w:p w:rsidR="008014AA" w:rsidRPr="009E18E9" w:rsidRDefault="008014AA" w:rsidP="007C5949">
            <w:pPr>
              <w:rPr>
                <w:sz w:val="20"/>
                <w:lang w:val="en-GB"/>
              </w:rPr>
            </w:pPr>
          </w:p>
        </w:tc>
      </w:tr>
      <w:tr w:rsidR="008014AA" w:rsidRPr="009E18E9" w:rsidTr="007C5949">
        <w:trPr>
          <w:cantSplit/>
          <w:jc w:val="center"/>
        </w:trPr>
        <w:tc>
          <w:tcPr>
            <w:tcW w:w="495" w:type="dxa"/>
            <w:vMerge w:val="restart"/>
            <w:tcBorders>
              <w:top w:val="single" w:sz="6" w:space="0" w:color="auto"/>
              <w:left w:val="double" w:sz="4" w:space="0" w:color="auto"/>
              <w:right w:val="single" w:sz="6" w:space="0" w:color="auto"/>
            </w:tcBorders>
            <w:vAlign w:val="center"/>
          </w:tcPr>
          <w:p w:rsidR="008014AA" w:rsidRPr="009E18E9" w:rsidRDefault="008014AA" w:rsidP="007C5949">
            <w:pPr>
              <w:jc w:val="center"/>
              <w:rPr>
                <w:sz w:val="20"/>
                <w:lang w:val="en-GB"/>
              </w:rPr>
            </w:pPr>
            <w:r w:rsidRPr="009E18E9">
              <w:rPr>
                <w:sz w:val="20"/>
                <w:lang w:val="en-GB"/>
              </w:rPr>
              <w:t>3</w:t>
            </w:r>
          </w:p>
        </w:tc>
        <w:tc>
          <w:tcPr>
            <w:tcW w:w="1858" w:type="dxa"/>
            <w:vMerge w:val="restart"/>
            <w:tcBorders>
              <w:top w:val="single" w:sz="6" w:space="0" w:color="auto"/>
              <w:left w:val="single" w:sz="6" w:space="0" w:color="auto"/>
              <w:right w:val="single" w:sz="6" w:space="0" w:color="auto"/>
            </w:tcBorders>
          </w:tcPr>
          <w:p w:rsidR="008014AA" w:rsidRPr="009E18E9" w:rsidRDefault="008014AA" w:rsidP="007C5949">
            <w:pPr>
              <w:pStyle w:val="xl41"/>
              <w:spacing w:before="0" w:after="0"/>
              <w:rPr>
                <w:rFonts w:eastAsia="Times New Roman"/>
                <w:lang w:val="en-GB"/>
              </w:rPr>
            </w:pPr>
          </w:p>
        </w:tc>
        <w:tc>
          <w:tcPr>
            <w:tcW w:w="619"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vMerge w:val="restart"/>
            <w:tcBorders>
              <w:top w:val="single" w:sz="6" w:space="0" w:color="auto"/>
              <w:left w:val="single" w:sz="6" w:space="0" w:color="auto"/>
              <w:right w:val="double" w:sz="4" w:space="0" w:color="auto"/>
            </w:tcBorders>
          </w:tcPr>
          <w:p w:rsidR="008014AA" w:rsidRPr="009E18E9" w:rsidRDefault="008014AA" w:rsidP="007C5949">
            <w:pPr>
              <w:rPr>
                <w:sz w:val="20"/>
                <w:lang w:val="en-GB"/>
              </w:rPr>
            </w:pPr>
          </w:p>
        </w:tc>
      </w:tr>
      <w:tr w:rsidR="008014AA" w:rsidRPr="009E18E9" w:rsidTr="007C5949">
        <w:trPr>
          <w:cantSplit/>
          <w:jc w:val="center"/>
        </w:trPr>
        <w:tc>
          <w:tcPr>
            <w:tcW w:w="495" w:type="dxa"/>
            <w:vMerge/>
            <w:tcBorders>
              <w:left w:val="double" w:sz="4" w:space="0" w:color="auto"/>
              <w:bottom w:val="single" w:sz="6" w:space="0" w:color="auto"/>
              <w:right w:val="single" w:sz="6" w:space="0" w:color="auto"/>
            </w:tcBorders>
            <w:vAlign w:val="center"/>
          </w:tcPr>
          <w:p w:rsidR="008014AA" w:rsidRPr="009E18E9" w:rsidRDefault="008014AA" w:rsidP="007C5949">
            <w:pPr>
              <w:jc w:val="center"/>
              <w:rPr>
                <w:sz w:val="20"/>
                <w:lang w:val="en-GB"/>
              </w:rPr>
            </w:pPr>
          </w:p>
        </w:tc>
        <w:tc>
          <w:tcPr>
            <w:tcW w:w="1858" w:type="dxa"/>
            <w:vMerge/>
            <w:tcBorders>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vMerge/>
            <w:tcBorders>
              <w:left w:val="single" w:sz="6" w:space="0" w:color="auto"/>
              <w:bottom w:val="single" w:sz="6" w:space="0" w:color="auto"/>
              <w:right w:val="double" w:sz="4" w:space="0" w:color="auto"/>
            </w:tcBorders>
          </w:tcPr>
          <w:p w:rsidR="008014AA" w:rsidRPr="009E18E9" w:rsidRDefault="008014AA" w:rsidP="007C5949">
            <w:pPr>
              <w:rPr>
                <w:sz w:val="20"/>
                <w:lang w:val="en-GB"/>
              </w:rPr>
            </w:pPr>
          </w:p>
        </w:tc>
      </w:tr>
      <w:tr w:rsidR="008014AA" w:rsidRPr="009E18E9" w:rsidTr="007C5949">
        <w:trPr>
          <w:cantSplit/>
          <w:jc w:val="center"/>
        </w:trPr>
        <w:tc>
          <w:tcPr>
            <w:tcW w:w="495" w:type="dxa"/>
            <w:vMerge w:val="restart"/>
            <w:tcBorders>
              <w:top w:val="single" w:sz="6" w:space="0" w:color="auto"/>
              <w:left w:val="double" w:sz="4" w:space="0" w:color="auto"/>
              <w:right w:val="single" w:sz="6" w:space="0" w:color="auto"/>
            </w:tcBorders>
            <w:vAlign w:val="center"/>
          </w:tcPr>
          <w:p w:rsidR="008014AA" w:rsidRPr="009E18E9" w:rsidRDefault="008014AA" w:rsidP="007C5949">
            <w:pPr>
              <w:jc w:val="center"/>
              <w:rPr>
                <w:sz w:val="20"/>
                <w:lang w:val="en-GB"/>
              </w:rPr>
            </w:pPr>
          </w:p>
        </w:tc>
        <w:tc>
          <w:tcPr>
            <w:tcW w:w="1858" w:type="dxa"/>
            <w:vMerge w:val="restart"/>
            <w:tcBorders>
              <w:top w:val="single" w:sz="6" w:space="0" w:color="auto"/>
              <w:left w:val="single" w:sz="6" w:space="0" w:color="auto"/>
              <w:right w:val="single" w:sz="6" w:space="0" w:color="auto"/>
            </w:tcBorders>
          </w:tcPr>
          <w:p w:rsidR="008014AA" w:rsidRPr="009E18E9" w:rsidRDefault="008014AA" w:rsidP="007C5949">
            <w:pPr>
              <w:pStyle w:val="xl41"/>
              <w:spacing w:before="0" w:after="0"/>
              <w:rPr>
                <w:rFonts w:eastAsia="Times New Roman"/>
                <w:lang w:val="en-GB"/>
              </w:rPr>
            </w:pPr>
          </w:p>
        </w:tc>
        <w:tc>
          <w:tcPr>
            <w:tcW w:w="619"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vMerge w:val="restart"/>
            <w:tcBorders>
              <w:top w:val="single" w:sz="6" w:space="0" w:color="auto"/>
              <w:left w:val="single" w:sz="6" w:space="0" w:color="auto"/>
              <w:right w:val="double" w:sz="4" w:space="0" w:color="auto"/>
            </w:tcBorders>
            <w:vAlign w:val="center"/>
          </w:tcPr>
          <w:p w:rsidR="008014AA" w:rsidRPr="009E18E9" w:rsidRDefault="008014AA" w:rsidP="007C5949">
            <w:pPr>
              <w:rPr>
                <w:sz w:val="20"/>
                <w:lang w:val="en-GB"/>
              </w:rPr>
            </w:pPr>
          </w:p>
        </w:tc>
      </w:tr>
      <w:tr w:rsidR="008014AA" w:rsidRPr="009E18E9" w:rsidTr="007C5949">
        <w:trPr>
          <w:cantSplit/>
          <w:jc w:val="center"/>
        </w:trPr>
        <w:tc>
          <w:tcPr>
            <w:tcW w:w="495" w:type="dxa"/>
            <w:vMerge/>
            <w:tcBorders>
              <w:left w:val="double" w:sz="4" w:space="0" w:color="auto"/>
              <w:right w:val="single" w:sz="6" w:space="0" w:color="auto"/>
            </w:tcBorders>
            <w:vAlign w:val="center"/>
          </w:tcPr>
          <w:p w:rsidR="008014AA" w:rsidRPr="009E18E9" w:rsidRDefault="008014AA" w:rsidP="007C5949">
            <w:pPr>
              <w:jc w:val="center"/>
              <w:rPr>
                <w:sz w:val="20"/>
                <w:lang w:val="en-GB"/>
              </w:rPr>
            </w:pPr>
          </w:p>
        </w:tc>
        <w:tc>
          <w:tcPr>
            <w:tcW w:w="1858" w:type="dxa"/>
            <w:vMerge/>
            <w:tcBorders>
              <w:left w:val="single" w:sz="6" w:space="0" w:color="auto"/>
              <w:right w:val="single" w:sz="6" w:space="0" w:color="auto"/>
            </w:tcBorders>
          </w:tcPr>
          <w:p w:rsidR="008014AA" w:rsidRPr="009E18E9" w:rsidRDefault="008014AA" w:rsidP="007C5949">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vMerge/>
            <w:tcBorders>
              <w:left w:val="single" w:sz="6" w:space="0" w:color="auto"/>
              <w:right w:val="double" w:sz="4" w:space="0" w:color="auto"/>
            </w:tcBorders>
            <w:vAlign w:val="center"/>
          </w:tcPr>
          <w:p w:rsidR="008014AA" w:rsidRPr="009E18E9" w:rsidRDefault="008014AA" w:rsidP="007C5949">
            <w:pPr>
              <w:rPr>
                <w:sz w:val="20"/>
                <w:lang w:val="en-GB"/>
              </w:rPr>
            </w:pPr>
          </w:p>
        </w:tc>
      </w:tr>
      <w:tr w:rsidR="008014AA" w:rsidRPr="009E18E9" w:rsidTr="007C5949">
        <w:trPr>
          <w:cantSplit/>
          <w:jc w:val="center"/>
        </w:trPr>
        <w:tc>
          <w:tcPr>
            <w:tcW w:w="495" w:type="dxa"/>
            <w:vMerge w:val="restart"/>
            <w:tcBorders>
              <w:top w:val="single" w:sz="6" w:space="0" w:color="auto"/>
              <w:left w:val="double" w:sz="4" w:space="0" w:color="auto"/>
              <w:right w:val="single" w:sz="6" w:space="0" w:color="auto"/>
            </w:tcBorders>
            <w:vAlign w:val="center"/>
          </w:tcPr>
          <w:p w:rsidR="008014AA" w:rsidRPr="009E18E9" w:rsidRDefault="008014AA" w:rsidP="007C5949">
            <w:pPr>
              <w:jc w:val="center"/>
              <w:rPr>
                <w:sz w:val="20"/>
                <w:lang w:val="en-GB"/>
              </w:rPr>
            </w:pPr>
            <w:r w:rsidRPr="009E18E9">
              <w:rPr>
                <w:sz w:val="20"/>
                <w:lang w:val="en-GB"/>
              </w:rPr>
              <w:t>n</w:t>
            </w:r>
          </w:p>
        </w:tc>
        <w:tc>
          <w:tcPr>
            <w:tcW w:w="1858" w:type="dxa"/>
            <w:vMerge w:val="restart"/>
            <w:tcBorders>
              <w:top w:val="single" w:sz="6" w:space="0" w:color="auto"/>
              <w:left w:val="single" w:sz="6" w:space="0" w:color="auto"/>
              <w:right w:val="single" w:sz="6" w:space="0" w:color="auto"/>
            </w:tcBorders>
          </w:tcPr>
          <w:p w:rsidR="008014AA" w:rsidRPr="009E18E9" w:rsidRDefault="008014AA" w:rsidP="007C5949">
            <w:pPr>
              <w:pStyle w:val="xl41"/>
              <w:spacing w:before="0" w:after="0"/>
              <w:rPr>
                <w:rFonts w:eastAsia="Times New Roman"/>
                <w:lang w:val="en-GB"/>
              </w:rPr>
            </w:pPr>
          </w:p>
        </w:tc>
        <w:tc>
          <w:tcPr>
            <w:tcW w:w="619"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vMerge w:val="restart"/>
            <w:tcBorders>
              <w:top w:val="single" w:sz="6" w:space="0" w:color="auto"/>
              <w:left w:val="single" w:sz="6" w:space="0" w:color="auto"/>
              <w:right w:val="double" w:sz="4" w:space="0" w:color="auto"/>
            </w:tcBorders>
          </w:tcPr>
          <w:p w:rsidR="008014AA" w:rsidRPr="009E18E9" w:rsidRDefault="008014AA" w:rsidP="007C5949">
            <w:pPr>
              <w:rPr>
                <w:sz w:val="20"/>
                <w:lang w:val="en-GB"/>
              </w:rPr>
            </w:pPr>
          </w:p>
        </w:tc>
      </w:tr>
      <w:tr w:rsidR="008014AA" w:rsidRPr="009E18E9" w:rsidTr="007C5949">
        <w:trPr>
          <w:cantSplit/>
          <w:jc w:val="center"/>
        </w:trPr>
        <w:tc>
          <w:tcPr>
            <w:tcW w:w="495" w:type="dxa"/>
            <w:vMerge/>
            <w:tcBorders>
              <w:left w:val="double" w:sz="4" w:space="0" w:color="auto"/>
              <w:bottom w:val="single" w:sz="6" w:space="0" w:color="auto"/>
              <w:right w:val="single" w:sz="6" w:space="0" w:color="auto"/>
            </w:tcBorders>
            <w:vAlign w:val="center"/>
          </w:tcPr>
          <w:p w:rsidR="008014AA" w:rsidRPr="009E18E9" w:rsidRDefault="008014AA" w:rsidP="007C5949">
            <w:pPr>
              <w:jc w:val="center"/>
              <w:rPr>
                <w:sz w:val="20"/>
                <w:lang w:val="en-GB"/>
              </w:rPr>
            </w:pPr>
          </w:p>
        </w:tc>
        <w:tc>
          <w:tcPr>
            <w:tcW w:w="1858" w:type="dxa"/>
            <w:vMerge/>
            <w:tcBorders>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19" w:type="dxa"/>
            <w:tcBorders>
              <w:top w:val="dashSmallGap" w:sz="4" w:space="0" w:color="auto"/>
              <w:bottom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bottom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bottom w:val="single" w:sz="6" w:space="0" w:color="auto"/>
            </w:tcBorders>
          </w:tcPr>
          <w:p w:rsidR="008014AA" w:rsidRPr="009E18E9" w:rsidRDefault="008014AA" w:rsidP="007C5949">
            <w:pPr>
              <w:pStyle w:val="xl41"/>
              <w:spacing w:before="0" w:after="0"/>
              <w:rPr>
                <w:rFonts w:eastAsia="Times New Roman"/>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bottom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bottom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vMerge/>
            <w:tcBorders>
              <w:left w:val="single" w:sz="6" w:space="0" w:color="auto"/>
              <w:bottom w:val="single" w:sz="6" w:space="0" w:color="auto"/>
              <w:right w:val="double" w:sz="4" w:space="0" w:color="auto"/>
            </w:tcBorders>
          </w:tcPr>
          <w:p w:rsidR="008014AA" w:rsidRPr="009E18E9" w:rsidRDefault="008014AA" w:rsidP="007C5949">
            <w:pPr>
              <w:rPr>
                <w:sz w:val="20"/>
                <w:lang w:val="en-GB"/>
              </w:rPr>
            </w:pPr>
          </w:p>
        </w:tc>
      </w:tr>
      <w:tr w:rsidR="008014AA" w:rsidRPr="009E18E9" w:rsidTr="007C5949">
        <w:trPr>
          <w:cantSplit/>
          <w:trHeight w:hRule="exact" w:val="284"/>
          <w:jc w:val="center"/>
        </w:trPr>
        <w:tc>
          <w:tcPr>
            <w:tcW w:w="495" w:type="dxa"/>
            <w:tcBorders>
              <w:top w:val="single" w:sz="6" w:space="0" w:color="auto"/>
              <w:left w:val="double" w:sz="4" w:space="0" w:color="auto"/>
              <w:bottom w:val="single" w:sz="8" w:space="0" w:color="auto"/>
              <w:right w:val="nil"/>
            </w:tcBorders>
          </w:tcPr>
          <w:p w:rsidR="008014AA" w:rsidRPr="009E18E9" w:rsidRDefault="008014AA" w:rsidP="007C5949">
            <w:pPr>
              <w:ind w:left="-162"/>
              <w:rPr>
                <w:sz w:val="20"/>
                <w:lang w:val="en-GB"/>
              </w:rPr>
            </w:pPr>
          </w:p>
        </w:tc>
        <w:tc>
          <w:tcPr>
            <w:tcW w:w="1858" w:type="dxa"/>
            <w:tcBorders>
              <w:top w:val="single" w:sz="6" w:space="0" w:color="auto"/>
              <w:left w:val="nil"/>
              <w:bottom w:val="single" w:sz="8" w:space="0" w:color="auto"/>
              <w:right w:val="nil"/>
            </w:tcBorders>
          </w:tcPr>
          <w:p w:rsidR="008014AA" w:rsidRPr="009E18E9" w:rsidRDefault="008014AA" w:rsidP="007C5949">
            <w:pPr>
              <w:rPr>
                <w:sz w:val="20"/>
                <w:lang w:val="en-GB"/>
              </w:rPr>
            </w:pPr>
          </w:p>
        </w:tc>
        <w:tc>
          <w:tcPr>
            <w:tcW w:w="619" w:type="dxa"/>
            <w:tcBorders>
              <w:top w:val="single" w:sz="6" w:space="0" w:color="auto"/>
              <w:left w:val="nil"/>
              <w:bottom w:val="single" w:sz="8" w:space="0" w:color="auto"/>
              <w:right w:val="nil"/>
            </w:tcBorders>
          </w:tcPr>
          <w:p w:rsidR="008014AA" w:rsidRPr="009E18E9" w:rsidRDefault="008014AA" w:rsidP="007C5949">
            <w:pPr>
              <w:rPr>
                <w:sz w:val="20"/>
                <w:lang w:val="en-GB"/>
              </w:rPr>
            </w:pPr>
          </w:p>
        </w:tc>
        <w:tc>
          <w:tcPr>
            <w:tcW w:w="620" w:type="dxa"/>
            <w:tcBorders>
              <w:top w:val="single" w:sz="6" w:space="0" w:color="auto"/>
              <w:left w:val="nil"/>
              <w:bottom w:val="single" w:sz="8" w:space="0" w:color="auto"/>
              <w:right w:val="nil"/>
            </w:tcBorders>
          </w:tcPr>
          <w:p w:rsidR="008014AA" w:rsidRPr="009E18E9" w:rsidRDefault="008014AA" w:rsidP="007C5949">
            <w:pPr>
              <w:rPr>
                <w:sz w:val="20"/>
                <w:lang w:val="en-GB"/>
              </w:rPr>
            </w:pPr>
          </w:p>
        </w:tc>
        <w:tc>
          <w:tcPr>
            <w:tcW w:w="620" w:type="dxa"/>
            <w:tcBorders>
              <w:top w:val="single" w:sz="6" w:space="0" w:color="auto"/>
              <w:left w:val="nil"/>
              <w:bottom w:val="single" w:sz="8" w:space="0" w:color="auto"/>
              <w:right w:val="nil"/>
            </w:tcBorders>
          </w:tcPr>
          <w:p w:rsidR="008014AA" w:rsidRPr="009E18E9" w:rsidRDefault="008014AA" w:rsidP="007C5949">
            <w:pPr>
              <w:rPr>
                <w:sz w:val="20"/>
                <w:lang w:val="en-GB"/>
              </w:rPr>
            </w:pPr>
          </w:p>
        </w:tc>
        <w:tc>
          <w:tcPr>
            <w:tcW w:w="620" w:type="dxa"/>
            <w:tcBorders>
              <w:top w:val="single" w:sz="6" w:space="0" w:color="auto"/>
              <w:left w:val="nil"/>
              <w:bottom w:val="single" w:sz="8" w:space="0" w:color="auto"/>
              <w:right w:val="nil"/>
            </w:tcBorders>
          </w:tcPr>
          <w:p w:rsidR="008014AA" w:rsidRPr="009E18E9" w:rsidRDefault="008014AA" w:rsidP="007C5949">
            <w:pPr>
              <w:rPr>
                <w:sz w:val="20"/>
                <w:lang w:val="en-GB"/>
              </w:rPr>
            </w:pPr>
          </w:p>
        </w:tc>
        <w:tc>
          <w:tcPr>
            <w:tcW w:w="620" w:type="dxa"/>
            <w:tcBorders>
              <w:top w:val="single" w:sz="6" w:space="0" w:color="auto"/>
              <w:left w:val="nil"/>
              <w:bottom w:val="single" w:sz="8" w:space="0" w:color="auto"/>
              <w:right w:val="nil"/>
            </w:tcBorders>
          </w:tcPr>
          <w:p w:rsidR="008014AA" w:rsidRPr="009E18E9" w:rsidRDefault="008014AA" w:rsidP="007C5949">
            <w:pPr>
              <w:rPr>
                <w:sz w:val="20"/>
                <w:lang w:val="en-GB"/>
              </w:rPr>
            </w:pPr>
          </w:p>
        </w:tc>
        <w:tc>
          <w:tcPr>
            <w:tcW w:w="620" w:type="dxa"/>
            <w:tcBorders>
              <w:top w:val="single" w:sz="6" w:space="0" w:color="auto"/>
              <w:left w:val="nil"/>
              <w:bottom w:val="single" w:sz="8" w:space="0" w:color="auto"/>
              <w:right w:val="nil"/>
            </w:tcBorders>
          </w:tcPr>
          <w:p w:rsidR="008014AA" w:rsidRPr="009E18E9" w:rsidRDefault="008014AA" w:rsidP="007C5949">
            <w:pPr>
              <w:rPr>
                <w:sz w:val="20"/>
                <w:lang w:val="en-GB"/>
              </w:rPr>
            </w:pPr>
          </w:p>
        </w:tc>
        <w:tc>
          <w:tcPr>
            <w:tcW w:w="620" w:type="dxa"/>
            <w:tcBorders>
              <w:top w:val="single" w:sz="6" w:space="0" w:color="auto"/>
              <w:left w:val="nil"/>
              <w:bottom w:val="single" w:sz="8" w:space="0" w:color="auto"/>
              <w:right w:val="nil"/>
            </w:tcBorders>
          </w:tcPr>
          <w:p w:rsidR="008014AA" w:rsidRPr="009E18E9" w:rsidRDefault="008014AA" w:rsidP="007C5949">
            <w:pPr>
              <w:rPr>
                <w:sz w:val="20"/>
                <w:lang w:val="en-GB"/>
              </w:rPr>
            </w:pPr>
          </w:p>
        </w:tc>
        <w:tc>
          <w:tcPr>
            <w:tcW w:w="620" w:type="dxa"/>
            <w:tcBorders>
              <w:top w:val="single" w:sz="6" w:space="0" w:color="auto"/>
              <w:left w:val="nil"/>
              <w:bottom w:val="single" w:sz="8" w:space="0" w:color="auto"/>
              <w:right w:val="nil"/>
            </w:tcBorders>
          </w:tcPr>
          <w:p w:rsidR="008014AA" w:rsidRPr="009E18E9" w:rsidRDefault="008014AA" w:rsidP="007C5949">
            <w:pPr>
              <w:rPr>
                <w:sz w:val="20"/>
                <w:lang w:val="en-GB"/>
              </w:rPr>
            </w:pPr>
          </w:p>
        </w:tc>
        <w:tc>
          <w:tcPr>
            <w:tcW w:w="620" w:type="dxa"/>
            <w:tcBorders>
              <w:top w:val="single" w:sz="6" w:space="0" w:color="auto"/>
              <w:left w:val="nil"/>
              <w:bottom w:val="single" w:sz="8" w:space="0" w:color="auto"/>
              <w:right w:val="single" w:sz="6" w:space="0" w:color="auto"/>
            </w:tcBorders>
          </w:tcPr>
          <w:p w:rsidR="008014AA" w:rsidRPr="009E18E9" w:rsidRDefault="008014AA" w:rsidP="007C5949">
            <w:pPr>
              <w:rPr>
                <w:sz w:val="20"/>
                <w:lang w:val="en-GB"/>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8014AA" w:rsidRPr="009E18E9" w:rsidRDefault="008014AA" w:rsidP="007C5949">
            <w:pPr>
              <w:rPr>
                <w:b/>
                <w:sz w:val="20"/>
              </w:rPr>
            </w:pPr>
            <w:r w:rsidRPr="009E18E9">
              <w:rPr>
                <w:b/>
                <w:sz w:val="20"/>
                <w:lang w:val="en-GB"/>
              </w:rPr>
              <w:t xml:space="preserve">Total </w:t>
            </w:r>
            <w:proofErr w:type="spellStart"/>
            <w:r w:rsidRPr="009E18E9">
              <w:rPr>
                <w:b/>
                <w:sz w:val="20"/>
                <w:lang w:val="en-GB"/>
              </w:rPr>
              <w:t>partiel</w:t>
            </w:r>
            <w:proofErr w:type="spellEnd"/>
          </w:p>
        </w:tc>
        <w:tc>
          <w:tcPr>
            <w:tcW w:w="806" w:type="dxa"/>
            <w:tcBorders>
              <w:top w:val="single" w:sz="6" w:space="0" w:color="auto"/>
              <w:left w:val="single" w:sz="6" w:space="0" w:color="auto"/>
              <w:bottom w:val="single" w:sz="8" w:space="0" w:color="auto"/>
              <w:right w:val="single" w:sz="6" w:space="0" w:color="auto"/>
            </w:tcBorders>
          </w:tcPr>
          <w:p w:rsidR="008014AA" w:rsidRPr="009E18E9" w:rsidRDefault="008014AA" w:rsidP="007C5949">
            <w:pPr>
              <w:pStyle w:val="Heading6"/>
            </w:pPr>
          </w:p>
        </w:tc>
        <w:tc>
          <w:tcPr>
            <w:tcW w:w="806" w:type="dxa"/>
            <w:tcBorders>
              <w:top w:val="single" w:sz="6" w:space="0" w:color="auto"/>
              <w:left w:val="single" w:sz="6" w:space="0" w:color="auto"/>
              <w:bottom w:val="single" w:sz="8"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8" w:space="0" w:color="auto"/>
              <w:right w:val="double" w:sz="4" w:space="0" w:color="auto"/>
            </w:tcBorders>
          </w:tcPr>
          <w:p w:rsidR="008014AA" w:rsidRPr="009E18E9" w:rsidRDefault="008014AA" w:rsidP="007C5949">
            <w:pPr>
              <w:rPr>
                <w:sz w:val="20"/>
                <w:lang w:val="en-GB"/>
              </w:rPr>
            </w:pPr>
          </w:p>
        </w:tc>
      </w:tr>
      <w:tr w:rsidR="008014AA" w:rsidRPr="009E18E9" w:rsidTr="007C5949">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8014AA" w:rsidRPr="009E18E9" w:rsidRDefault="008014AA" w:rsidP="007C5949">
            <w:pPr>
              <w:pStyle w:val="xl41"/>
              <w:spacing w:before="0" w:after="0"/>
              <w:rPr>
                <w:b/>
                <w:lang w:val="en-GB"/>
              </w:rPr>
            </w:pPr>
            <w:r w:rsidRPr="009E18E9">
              <w:rPr>
                <w:rFonts w:eastAsia="Times New Roman"/>
                <w:b/>
                <w:lang w:val="en-GB"/>
              </w:rPr>
              <w:t>Local</w:t>
            </w:r>
          </w:p>
        </w:tc>
        <w:tc>
          <w:tcPr>
            <w:tcW w:w="619"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620"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806"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806" w:type="dxa"/>
            <w:tcBorders>
              <w:top w:val="single" w:sz="8" w:space="0" w:color="auto"/>
              <w:left w:val="nil"/>
              <w:bottom w:val="single" w:sz="6" w:space="0" w:color="auto"/>
              <w:right w:val="nil"/>
            </w:tcBorders>
          </w:tcPr>
          <w:p w:rsidR="008014AA" w:rsidRPr="009E18E9" w:rsidRDefault="008014AA" w:rsidP="007C5949">
            <w:pPr>
              <w:rPr>
                <w:sz w:val="20"/>
                <w:lang w:val="en-GB"/>
              </w:rPr>
            </w:pPr>
          </w:p>
        </w:tc>
        <w:tc>
          <w:tcPr>
            <w:tcW w:w="806" w:type="dxa"/>
            <w:tcBorders>
              <w:top w:val="single" w:sz="8" w:space="0" w:color="auto"/>
              <w:left w:val="nil"/>
              <w:bottom w:val="single" w:sz="6" w:space="0" w:color="auto"/>
              <w:right w:val="double" w:sz="4" w:space="0" w:color="auto"/>
            </w:tcBorders>
          </w:tcPr>
          <w:p w:rsidR="008014AA" w:rsidRPr="009E18E9" w:rsidRDefault="008014AA" w:rsidP="007C5949">
            <w:pPr>
              <w:rPr>
                <w:sz w:val="20"/>
                <w:lang w:val="en-GB"/>
              </w:rPr>
            </w:pPr>
          </w:p>
        </w:tc>
      </w:tr>
      <w:tr w:rsidR="008014AA" w:rsidRPr="009E18E9" w:rsidTr="007C5949">
        <w:trPr>
          <w:cantSplit/>
          <w:jc w:val="center"/>
        </w:trPr>
        <w:tc>
          <w:tcPr>
            <w:tcW w:w="495" w:type="dxa"/>
            <w:vMerge w:val="restart"/>
            <w:tcBorders>
              <w:top w:val="single" w:sz="6" w:space="0" w:color="auto"/>
              <w:left w:val="double" w:sz="4" w:space="0" w:color="auto"/>
              <w:right w:val="single" w:sz="6" w:space="0" w:color="auto"/>
            </w:tcBorders>
            <w:vAlign w:val="center"/>
          </w:tcPr>
          <w:p w:rsidR="008014AA" w:rsidRPr="009E18E9" w:rsidRDefault="008014AA" w:rsidP="007C5949">
            <w:pPr>
              <w:jc w:val="center"/>
              <w:rPr>
                <w:sz w:val="20"/>
                <w:lang w:val="en-GB"/>
              </w:rPr>
            </w:pPr>
            <w:r w:rsidRPr="009E18E9">
              <w:rPr>
                <w:sz w:val="20"/>
                <w:lang w:val="en-GB"/>
              </w:rPr>
              <w:t>1</w:t>
            </w:r>
          </w:p>
        </w:tc>
        <w:tc>
          <w:tcPr>
            <w:tcW w:w="1858" w:type="dxa"/>
            <w:vMerge w:val="restart"/>
            <w:tcBorders>
              <w:top w:val="single" w:sz="6" w:space="0" w:color="auto"/>
              <w:left w:val="single" w:sz="6" w:space="0" w:color="auto"/>
              <w:right w:val="single" w:sz="6" w:space="0" w:color="auto"/>
            </w:tcBorders>
          </w:tcPr>
          <w:p w:rsidR="008014AA" w:rsidRPr="009E18E9" w:rsidRDefault="008014AA" w:rsidP="007C5949">
            <w:pPr>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tcPr>
          <w:p w:rsidR="008014AA" w:rsidRPr="009E18E9" w:rsidRDefault="008014AA" w:rsidP="007C5949">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nil"/>
              <w:right w:val="double" w:sz="4" w:space="0" w:color="auto"/>
            </w:tcBorders>
            <w:vAlign w:val="center"/>
          </w:tcPr>
          <w:p w:rsidR="008014AA" w:rsidRPr="009E18E9" w:rsidRDefault="008014AA" w:rsidP="007C5949">
            <w:pPr>
              <w:rPr>
                <w:sz w:val="20"/>
                <w:lang w:val="en-GB"/>
              </w:rPr>
            </w:pPr>
          </w:p>
        </w:tc>
      </w:tr>
      <w:tr w:rsidR="008014AA" w:rsidRPr="009E18E9" w:rsidTr="007C5949">
        <w:trPr>
          <w:cantSplit/>
          <w:jc w:val="center"/>
        </w:trPr>
        <w:tc>
          <w:tcPr>
            <w:tcW w:w="495" w:type="dxa"/>
            <w:vMerge/>
            <w:tcBorders>
              <w:left w:val="double" w:sz="4" w:space="0" w:color="auto"/>
              <w:right w:val="single" w:sz="6" w:space="0" w:color="auto"/>
            </w:tcBorders>
            <w:vAlign w:val="center"/>
          </w:tcPr>
          <w:p w:rsidR="008014AA" w:rsidRPr="009E18E9" w:rsidRDefault="008014AA" w:rsidP="007C5949">
            <w:pPr>
              <w:jc w:val="center"/>
              <w:rPr>
                <w:sz w:val="20"/>
                <w:lang w:val="en-GB"/>
              </w:rPr>
            </w:pPr>
          </w:p>
        </w:tc>
        <w:tc>
          <w:tcPr>
            <w:tcW w:w="1858" w:type="dxa"/>
            <w:vMerge/>
            <w:tcBorders>
              <w:left w:val="single" w:sz="6" w:space="0" w:color="auto"/>
              <w:right w:val="single" w:sz="6" w:space="0" w:color="auto"/>
            </w:tcBorders>
          </w:tcPr>
          <w:p w:rsidR="008014AA" w:rsidRPr="009E18E9" w:rsidRDefault="008014AA" w:rsidP="007C5949">
            <w:pPr>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tcPr>
          <w:p w:rsidR="008014AA" w:rsidRPr="009E18E9" w:rsidRDefault="008014AA" w:rsidP="007C5949">
            <w:pPr>
              <w:rPr>
                <w:sz w:val="16"/>
                <w:lang w:val="en-GB"/>
              </w:rPr>
            </w:pPr>
            <w:r w:rsidRPr="009E18E9">
              <w:rPr>
                <w:sz w:val="16"/>
                <w:lang w:val="en-GB"/>
              </w:rPr>
              <w:t>[Terr.]</w:t>
            </w: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nil"/>
              <w:left w:val="single" w:sz="6" w:space="0" w:color="auto"/>
              <w:right w:val="double" w:sz="4" w:space="0" w:color="auto"/>
            </w:tcBorders>
            <w:vAlign w:val="center"/>
          </w:tcPr>
          <w:p w:rsidR="008014AA" w:rsidRPr="009E18E9" w:rsidRDefault="008014AA" w:rsidP="007C5949">
            <w:pPr>
              <w:rPr>
                <w:sz w:val="20"/>
                <w:lang w:val="en-GB"/>
              </w:rPr>
            </w:pPr>
          </w:p>
        </w:tc>
      </w:tr>
      <w:tr w:rsidR="008014AA" w:rsidRPr="009E18E9" w:rsidTr="007C5949">
        <w:trPr>
          <w:cantSplit/>
          <w:jc w:val="center"/>
        </w:trPr>
        <w:tc>
          <w:tcPr>
            <w:tcW w:w="495" w:type="dxa"/>
            <w:vMerge w:val="restart"/>
            <w:tcBorders>
              <w:top w:val="single" w:sz="6" w:space="0" w:color="auto"/>
              <w:left w:val="double" w:sz="4" w:space="0" w:color="auto"/>
              <w:right w:val="single" w:sz="6" w:space="0" w:color="auto"/>
            </w:tcBorders>
            <w:vAlign w:val="center"/>
          </w:tcPr>
          <w:p w:rsidR="008014AA" w:rsidRPr="009E18E9" w:rsidRDefault="008014AA" w:rsidP="007C5949">
            <w:pPr>
              <w:jc w:val="center"/>
              <w:rPr>
                <w:sz w:val="20"/>
                <w:lang w:val="en-GB"/>
              </w:rPr>
            </w:pPr>
            <w:r w:rsidRPr="009E18E9">
              <w:rPr>
                <w:sz w:val="20"/>
                <w:lang w:val="en-GB"/>
              </w:rPr>
              <w:t>2</w:t>
            </w:r>
          </w:p>
        </w:tc>
        <w:tc>
          <w:tcPr>
            <w:tcW w:w="1858" w:type="dxa"/>
            <w:vMerge w:val="restart"/>
            <w:tcBorders>
              <w:top w:val="single" w:sz="6" w:space="0" w:color="auto"/>
              <w:left w:val="single" w:sz="6" w:space="0" w:color="auto"/>
              <w:right w:val="single" w:sz="6" w:space="0" w:color="auto"/>
            </w:tcBorders>
          </w:tcPr>
          <w:p w:rsidR="008014AA" w:rsidRPr="009E18E9" w:rsidRDefault="008014AA" w:rsidP="007C5949">
            <w:pPr>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nil"/>
              <w:right w:val="double" w:sz="4" w:space="0" w:color="auto"/>
            </w:tcBorders>
            <w:vAlign w:val="center"/>
          </w:tcPr>
          <w:p w:rsidR="008014AA" w:rsidRPr="009E18E9" w:rsidRDefault="008014AA" w:rsidP="007C5949">
            <w:pPr>
              <w:rPr>
                <w:sz w:val="20"/>
                <w:lang w:val="en-GB"/>
              </w:rPr>
            </w:pPr>
          </w:p>
        </w:tc>
      </w:tr>
      <w:tr w:rsidR="008014AA" w:rsidRPr="009E18E9" w:rsidTr="007C5949">
        <w:trPr>
          <w:cantSplit/>
          <w:jc w:val="center"/>
        </w:trPr>
        <w:tc>
          <w:tcPr>
            <w:tcW w:w="495" w:type="dxa"/>
            <w:vMerge/>
            <w:tcBorders>
              <w:left w:val="double" w:sz="4" w:space="0" w:color="auto"/>
              <w:right w:val="single" w:sz="6" w:space="0" w:color="auto"/>
            </w:tcBorders>
            <w:vAlign w:val="center"/>
          </w:tcPr>
          <w:p w:rsidR="008014AA" w:rsidRPr="009E18E9" w:rsidRDefault="008014AA" w:rsidP="007C5949">
            <w:pPr>
              <w:jc w:val="center"/>
              <w:rPr>
                <w:sz w:val="20"/>
                <w:lang w:val="en-GB"/>
              </w:rPr>
            </w:pPr>
          </w:p>
        </w:tc>
        <w:tc>
          <w:tcPr>
            <w:tcW w:w="1858" w:type="dxa"/>
            <w:vMerge/>
            <w:tcBorders>
              <w:left w:val="single" w:sz="6" w:space="0" w:color="auto"/>
              <w:right w:val="single" w:sz="6" w:space="0" w:color="auto"/>
            </w:tcBorders>
          </w:tcPr>
          <w:p w:rsidR="008014AA" w:rsidRPr="009E18E9" w:rsidRDefault="008014AA" w:rsidP="007C5949">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nil"/>
              <w:left w:val="single" w:sz="6" w:space="0" w:color="auto"/>
              <w:right w:val="double" w:sz="4" w:space="0" w:color="auto"/>
            </w:tcBorders>
            <w:vAlign w:val="center"/>
          </w:tcPr>
          <w:p w:rsidR="008014AA" w:rsidRPr="009E18E9" w:rsidRDefault="008014AA" w:rsidP="007C5949">
            <w:pPr>
              <w:rPr>
                <w:sz w:val="20"/>
                <w:lang w:val="en-GB"/>
              </w:rPr>
            </w:pPr>
          </w:p>
        </w:tc>
      </w:tr>
      <w:tr w:rsidR="008014AA" w:rsidRPr="009E18E9" w:rsidTr="007C5949">
        <w:trPr>
          <w:cantSplit/>
          <w:jc w:val="center"/>
        </w:trPr>
        <w:tc>
          <w:tcPr>
            <w:tcW w:w="495" w:type="dxa"/>
            <w:vMerge w:val="restart"/>
            <w:tcBorders>
              <w:top w:val="single" w:sz="6" w:space="0" w:color="auto"/>
              <w:left w:val="double" w:sz="4" w:space="0" w:color="auto"/>
              <w:right w:val="single" w:sz="6" w:space="0" w:color="auto"/>
            </w:tcBorders>
            <w:vAlign w:val="center"/>
          </w:tcPr>
          <w:p w:rsidR="008014AA" w:rsidRPr="009E18E9" w:rsidRDefault="008014AA" w:rsidP="007C5949">
            <w:pPr>
              <w:jc w:val="center"/>
              <w:rPr>
                <w:sz w:val="20"/>
                <w:lang w:val="en-GB"/>
              </w:rPr>
            </w:pPr>
            <w:r w:rsidRPr="009E18E9">
              <w:rPr>
                <w:sz w:val="20"/>
                <w:lang w:val="en-GB"/>
              </w:rPr>
              <w:t>n</w:t>
            </w:r>
          </w:p>
        </w:tc>
        <w:tc>
          <w:tcPr>
            <w:tcW w:w="1858" w:type="dxa"/>
            <w:vMerge w:val="restart"/>
            <w:tcBorders>
              <w:top w:val="single" w:sz="6" w:space="0" w:color="auto"/>
              <w:left w:val="single" w:sz="6" w:space="0" w:color="auto"/>
              <w:right w:val="single" w:sz="6" w:space="0" w:color="auto"/>
            </w:tcBorders>
          </w:tcPr>
          <w:p w:rsidR="008014AA" w:rsidRPr="009E18E9" w:rsidRDefault="008014AA" w:rsidP="007C5949">
            <w:pPr>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nil"/>
              <w:right w:val="double" w:sz="4" w:space="0" w:color="auto"/>
            </w:tcBorders>
            <w:vAlign w:val="center"/>
          </w:tcPr>
          <w:p w:rsidR="008014AA" w:rsidRPr="009E18E9" w:rsidRDefault="008014AA" w:rsidP="007C5949">
            <w:pPr>
              <w:rPr>
                <w:sz w:val="20"/>
                <w:lang w:val="en-GB"/>
              </w:rPr>
            </w:pPr>
          </w:p>
        </w:tc>
      </w:tr>
      <w:tr w:rsidR="008014AA" w:rsidRPr="009E18E9" w:rsidTr="007C5949">
        <w:trPr>
          <w:cantSplit/>
          <w:jc w:val="center"/>
        </w:trPr>
        <w:tc>
          <w:tcPr>
            <w:tcW w:w="495" w:type="dxa"/>
            <w:vMerge/>
            <w:tcBorders>
              <w:left w:val="double" w:sz="4" w:space="0" w:color="auto"/>
              <w:right w:val="single" w:sz="6" w:space="0" w:color="auto"/>
            </w:tcBorders>
            <w:vAlign w:val="center"/>
          </w:tcPr>
          <w:p w:rsidR="008014AA" w:rsidRPr="009E18E9" w:rsidRDefault="008014AA" w:rsidP="007C5949">
            <w:pPr>
              <w:jc w:val="center"/>
              <w:rPr>
                <w:sz w:val="20"/>
                <w:lang w:val="en-GB"/>
              </w:rPr>
            </w:pPr>
          </w:p>
        </w:tc>
        <w:tc>
          <w:tcPr>
            <w:tcW w:w="1858" w:type="dxa"/>
            <w:vMerge/>
            <w:tcBorders>
              <w:left w:val="single" w:sz="6" w:space="0" w:color="auto"/>
              <w:right w:val="single" w:sz="6" w:space="0" w:color="auto"/>
            </w:tcBorders>
          </w:tcPr>
          <w:p w:rsidR="008014AA" w:rsidRPr="009E18E9" w:rsidRDefault="008014AA" w:rsidP="007C5949">
            <w:pPr>
              <w:rPr>
                <w:sz w:val="20"/>
                <w:lang w:val="en-GB"/>
              </w:rPr>
            </w:pPr>
          </w:p>
        </w:tc>
        <w:tc>
          <w:tcPr>
            <w:tcW w:w="619"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nil"/>
              <w:left w:val="single" w:sz="6" w:space="0" w:color="auto"/>
              <w:right w:val="double" w:sz="4" w:space="0" w:color="auto"/>
            </w:tcBorders>
            <w:vAlign w:val="center"/>
          </w:tcPr>
          <w:p w:rsidR="008014AA" w:rsidRPr="009E18E9" w:rsidRDefault="008014AA" w:rsidP="007C5949">
            <w:pPr>
              <w:rPr>
                <w:sz w:val="20"/>
                <w:lang w:val="en-GB"/>
              </w:rPr>
            </w:pPr>
          </w:p>
        </w:tc>
      </w:tr>
      <w:tr w:rsidR="008014AA" w:rsidRPr="009E18E9" w:rsidTr="007C5949">
        <w:trPr>
          <w:cantSplit/>
          <w:trHeight w:hRule="exact" w:val="284"/>
          <w:jc w:val="center"/>
        </w:trPr>
        <w:tc>
          <w:tcPr>
            <w:tcW w:w="495" w:type="dxa"/>
            <w:tcBorders>
              <w:top w:val="single" w:sz="6" w:space="0" w:color="auto"/>
              <w:left w:val="double" w:sz="4" w:space="0" w:color="auto"/>
              <w:bottom w:val="nil"/>
              <w:right w:val="nil"/>
            </w:tcBorders>
          </w:tcPr>
          <w:p w:rsidR="008014AA" w:rsidRPr="009E18E9" w:rsidRDefault="008014AA" w:rsidP="007C5949">
            <w:pPr>
              <w:rPr>
                <w:sz w:val="20"/>
                <w:lang w:val="en-GB"/>
              </w:rPr>
            </w:pPr>
          </w:p>
        </w:tc>
        <w:tc>
          <w:tcPr>
            <w:tcW w:w="1858" w:type="dxa"/>
            <w:tcBorders>
              <w:top w:val="single" w:sz="6" w:space="0" w:color="auto"/>
              <w:left w:val="nil"/>
              <w:bottom w:val="nil"/>
              <w:right w:val="nil"/>
            </w:tcBorders>
          </w:tcPr>
          <w:p w:rsidR="008014AA" w:rsidRPr="009E18E9" w:rsidRDefault="008014AA" w:rsidP="007C5949">
            <w:pPr>
              <w:rPr>
                <w:sz w:val="20"/>
                <w:lang w:val="en-GB"/>
              </w:rPr>
            </w:pPr>
          </w:p>
        </w:tc>
        <w:tc>
          <w:tcPr>
            <w:tcW w:w="619" w:type="dxa"/>
            <w:tcBorders>
              <w:top w:val="single" w:sz="6" w:space="0" w:color="auto"/>
              <w:left w:val="nil"/>
              <w:bottom w:val="nil"/>
              <w:right w:val="nil"/>
            </w:tcBorders>
          </w:tcPr>
          <w:p w:rsidR="008014AA" w:rsidRPr="009E18E9" w:rsidRDefault="008014AA" w:rsidP="007C5949">
            <w:pPr>
              <w:rPr>
                <w:sz w:val="20"/>
                <w:lang w:val="en-GB"/>
              </w:rPr>
            </w:pPr>
          </w:p>
        </w:tc>
        <w:tc>
          <w:tcPr>
            <w:tcW w:w="620" w:type="dxa"/>
            <w:tcBorders>
              <w:top w:val="single" w:sz="6" w:space="0" w:color="auto"/>
              <w:left w:val="nil"/>
              <w:bottom w:val="nil"/>
              <w:right w:val="nil"/>
            </w:tcBorders>
          </w:tcPr>
          <w:p w:rsidR="008014AA" w:rsidRPr="009E18E9" w:rsidRDefault="008014AA" w:rsidP="007C5949">
            <w:pPr>
              <w:rPr>
                <w:sz w:val="20"/>
                <w:lang w:val="en-GB"/>
              </w:rPr>
            </w:pPr>
          </w:p>
        </w:tc>
        <w:tc>
          <w:tcPr>
            <w:tcW w:w="620" w:type="dxa"/>
            <w:tcBorders>
              <w:top w:val="single" w:sz="6" w:space="0" w:color="auto"/>
              <w:left w:val="nil"/>
              <w:bottom w:val="nil"/>
              <w:right w:val="nil"/>
            </w:tcBorders>
          </w:tcPr>
          <w:p w:rsidR="008014AA" w:rsidRPr="009E18E9" w:rsidRDefault="008014AA" w:rsidP="007C5949">
            <w:pPr>
              <w:rPr>
                <w:sz w:val="20"/>
                <w:lang w:val="en-GB"/>
              </w:rPr>
            </w:pPr>
          </w:p>
        </w:tc>
        <w:tc>
          <w:tcPr>
            <w:tcW w:w="620" w:type="dxa"/>
            <w:tcBorders>
              <w:top w:val="single" w:sz="6" w:space="0" w:color="auto"/>
              <w:left w:val="nil"/>
              <w:bottom w:val="nil"/>
              <w:right w:val="nil"/>
            </w:tcBorders>
          </w:tcPr>
          <w:p w:rsidR="008014AA" w:rsidRPr="009E18E9" w:rsidRDefault="008014AA" w:rsidP="007C5949">
            <w:pPr>
              <w:rPr>
                <w:sz w:val="20"/>
                <w:lang w:val="en-GB"/>
              </w:rPr>
            </w:pPr>
          </w:p>
        </w:tc>
        <w:tc>
          <w:tcPr>
            <w:tcW w:w="620" w:type="dxa"/>
            <w:tcBorders>
              <w:top w:val="single" w:sz="6" w:space="0" w:color="auto"/>
              <w:left w:val="nil"/>
              <w:bottom w:val="nil"/>
              <w:right w:val="nil"/>
            </w:tcBorders>
          </w:tcPr>
          <w:p w:rsidR="008014AA" w:rsidRPr="009E18E9" w:rsidRDefault="008014AA" w:rsidP="007C5949">
            <w:pPr>
              <w:rPr>
                <w:sz w:val="20"/>
                <w:lang w:val="en-GB"/>
              </w:rPr>
            </w:pPr>
          </w:p>
        </w:tc>
        <w:tc>
          <w:tcPr>
            <w:tcW w:w="620" w:type="dxa"/>
            <w:tcBorders>
              <w:top w:val="single" w:sz="6" w:space="0" w:color="auto"/>
              <w:left w:val="nil"/>
              <w:bottom w:val="nil"/>
              <w:right w:val="nil"/>
            </w:tcBorders>
          </w:tcPr>
          <w:p w:rsidR="008014AA" w:rsidRPr="009E18E9" w:rsidRDefault="008014AA" w:rsidP="007C5949">
            <w:pPr>
              <w:rPr>
                <w:sz w:val="20"/>
                <w:lang w:val="en-GB"/>
              </w:rPr>
            </w:pPr>
          </w:p>
        </w:tc>
        <w:tc>
          <w:tcPr>
            <w:tcW w:w="620" w:type="dxa"/>
            <w:tcBorders>
              <w:top w:val="single" w:sz="6" w:space="0" w:color="auto"/>
              <w:left w:val="nil"/>
              <w:bottom w:val="nil"/>
              <w:right w:val="nil"/>
            </w:tcBorders>
          </w:tcPr>
          <w:p w:rsidR="008014AA" w:rsidRPr="009E18E9" w:rsidRDefault="008014AA" w:rsidP="007C5949">
            <w:pPr>
              <w:rPr>
                <w:sz w:val="20"/>
                <w:lang w:val="en-GB"/>
              </w:rPr>
            </w:pPr>
          </w:p>
        </w:tc>
        <w:tc>
          <w:tcPr>
            <w:tcW w:w="620" w:type="dxa"/>
            <w:tcBorders>
              <w:top w:val="single" w:sz="6" w:space="0" w:color="auto"/>
              <w:left w:val="nil"/>
              <w:bottom w:val="nil"/>
              <w:right w:val="nil"/>
            </w:tcBorders>
          </w:tcPr>
          <w:p w:rsidR="008014AA" w:rsidRPr="009E18E9" w:rsidRDefault="008014AA" w:rsidP="007C5949">
            <w:pPr>
              <w:rPr>
                <w:sz w:val="20"/>
                <w:lang w:val="en-GB"/>
              </w:rPr>
            </w:pPr>
          </w:p>
        </w:tc>
        <w:tc>
          <w:tcPr>
            <w:tcW w:w="620" w:type="dxa"/>
            <w:tcBorders>
              <w:top w:val="single" w:sz="6" w:space="0" w:color="auto"/>
              <w:left w:val="nil"/>
              <w:bottom w:val="nil"/>
            </w:tcBorders>
          </w:tcPr>
          <w:p w:rsidR="008014AA" w:rsidRPr="009E18E9" w:rsidRDefault="008014AA" w:rsidP="007C5949">
            <w:pPr>
              <w:rPr>
                <w:sz w:val="20"/>
                <w:lang w:val="en-GB"/>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8014AA" w:rsidRPr="009E18E9" w:rsidRDefault="008014AA" w:rsidP="007C5949">
            <w:r w:rsidRPr="009E18E9">
              <w:rPr>
                <w:b/>
                <w:sz w:val="20"/>
                <w:lang w:val="en-GB"/>
              </w:rPr>
              <w:t xml:space="preserve">Total </w:t>
            </w:r>
            <w:proofErr w:type="spellStart"/>
            <w:r w:rsidRPr="009E18E9">
              <w:rPr>
                <w:b/>
                <w:sz w:val="20"/>
                <w:lang w:val="en-GB"/>
              </w:rPr>
              <w:t>partiel</w:t>
            </w:r>
            <w:proofErr w:type="spellEnd"/>
          </w:p>
        </w:tc>
        <w:tc>
          <w:tcPr>
            <w:tcW w:w="806" w:type="dxa"/>
            <w:tcBorders>
              <w:top w:val="single" w:sz="6" w:space="0" w:color="auto"/>
              <w:bottom w:val="single" w:sz="6" w:space="0" w:color="auto"/>
              <w:right w:val="single" w:sz="6" w:space="0" w:color="auto"/>
            </w:tcBorders>
          </w:tcPr>
          <w:p w:rsidR="008014AA" w:rsidRPr="009E18E9" w:rsidRDefault="008014AA" w:rsidP="007C5949">
            <w:pPr>
              <w:pStyle w:val="Heading6"/>
            </w:pPr>
          </w:p>
        </w:tc>
        <w:tc>
          <w:tcPr>
            <w:tcW w:w="806"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sz w:val="20"/>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8014AA" w:rsidRPr="009E18E9" w:rsidRDefault="008014AA" w:rsidP="007C5949">
            <w:pPr>
              <w:rPr>
                <w:sz w:val="20"/>
                <w:lang w:val="en-GB"/>
              </w:rPr>
            </w:pPr>
          </w:p>
        </w:tc>
      </w:tr>
      <w:tr w:rsidR="008014AA" w:rsidRPr="009E18E9" w:rsidTr="007C5949">
        <w:trPr>
          <w:cantSplit/>
          <w:trHeight w:hRule="exact" w:val="284"/>
          <w:jc w:val="center"/>
        </w:trPr>
        <w:tc>
          <w:tcPr>
            <w:tcW w:w="495" w:type="dxa"/>
            <w:tcBorders>
              <w:top w:val="nil"/>
              <w:left w:val="double" w:sz="4" w:space="0" w:color="auto"/>
              <w:bottom w:val="double" w:sz="4" w:space="0" w:color="auto"/>
              <w:right w:val="nil"/>
            </w:tcBorders>
          </w:tcPr>
          <w:p w:rsidR="008014AA" w:rsidRPr="009E18E9" w:rsidRDefault="008014AA" w:rsidP="007C5949">
            <w:pPr>
              <w:rPr>
                <w:sz w:val="20"/>
                <w:lang w:val="en-GB"/>
              </w:rPr>
            </w:pPr>
          </w:p>
        </w:tc>
        <w:tc>
          <w:tcPr>
            <w:tcW w:w="1858" w:type="dxa"/>
            <w:tcBorders>
              <w:top w:val="nil"/>
              <w:left w:val="nil"/>
              <w:bottom w:val="double" w:sz="4" w:space="0" w:color="auto"/>
              <w:right w:val="nil"/>
            </w:tcBorders>
          </w:tcPr>
          <w:p w:rsidR="008014AA" w:rsidRPr="009E18E9" w:rsidRDefault="008014AA" w:rsidP="007C5949">
            <w:pPr>
              <w:rPr>
                <w:sz w:val="20"/>
                <w:lang w:val="en-GB"/>
              </w:rPr>
            </w:pPr>
          </w:p>
        </w:tc>
        <w:tc>
          <w:tcPr>
            <w:tcW w:w="619" w:type="dxa"/>
            <w:tcBorders>
              <w:top w:val="nil"/>
              <w:left w:val="nil"/>
              <w:bottom w:val="double" w:sz="4" w:space="0" w:color="auto"/>
              <w:right w:val="nil"/>
            </w:tcBorders>
          </w:tcPr>
          <w:p w:rsidR="008014AA" w:rsidRPr="009E18E9" w:rsidRDefault="008014AA" w:rsidP="007C5949">
            <w:pPr>
              <w:rPr>
                <w:sz w:val="20"/>
                <w:lang w:val="en-GB"/>
              </w:rPr>
            </w:pPr>
          </w:p>
        </w:tc>
        <w:tc>
          <w:tcPr>
            <w:tcW w:w="620" w:type="dxa"/>
            <w:tcBorders>
              <w:top w:val="nil"/>
              <w:left w:val="nil"/>
              <w:bottom w:val="double" w:sz="4" w:space="0" w:color="auto"/>
              <w:right w:val="nil"/>
            </w:tcBorders>
          </w:tcPr>
          <w:p w:rsidR="008014AA" w:rsidRPr="009E18E9" w:rsidRDefault="008014AA" w:rsidP="007C5949">
            <w:pPr>
              <w:rPr>
                <w:sz w:val="20"/>
                <w:lang w:val="en-GB"/>
              </w:rPr>
            </w:pPr>
          </w:p>
        </w:tc>
        <w:tc>
          <w:tcPr>
            <w:tcW w:w="620" w:type="dxa"/>
            <w:tcBorders>
              <w:top w:val="nil"/>
              <w:left w:val="nil"/>
              <w:bottom w:val="double" w:sz="4" w:space="0" w:color="auto"/>
              <w:right w:val="nil"/>
            </w:tcBorders>
          </w:tcPr>
          <w:p w:rsidR="008014AA" w:rsidRPr="009E18E9" w:rsidRDefault="008014AA" w:rsidP="007C5949">
            <w:pPr>
              <w:rPr>
                <w:sz w:val="20"/>
                <w:lang w:val="en-GB"/>
              </w:rPr>
            </w:pPr>
          </w:p>
        </w:tc>
        <w:tc>
          <w:tcPr>
            <w:tcW w:w="620" w:type="dxa"/>
            <w:tcBorders>
              <w:top w:val="nil"/>
              <w:left w:val="nil"/>
              <w:bottom w:val="double" w:sz="4" w:space="0" w:color="auto"/>
              <w:right w:val="nil"/>
            </w:tcBorders>
          </w:tcPr>
          <w:p w:rsidR="008014AA" w:rsidRPr="009E18E9" w:rsidRDefault="008014AA" w:rsidP="007C5949">
            <w:pPr>
              <w:rPr>
                <w:sz w:val="20"/>
                <w:lang w:val="en-GB"/>
              </w:rPr>
            </w:pPr>
          </w:p>
        </w:tc>
        <w:tc>
          <w:tcPr>
            <w:tcW w:w="620" w:type="dxa"/>
            <w:tcBorders>
              <w:top w:val="nil"/>
              <w:left w:val="nil"/>
              <w:bottom w:val="double" w:sz="4" w:space="0" w:color="auto"/>
              <w:right w:val="nil"/>
            </w:tcBorders>
          </w:tcPr>
          <w:p w:rsidR="008014AA" w:rsidRPr="009E18E9" w:rsidRDefault="008014AA" w:rsidP="007C5949">
            <w:pPr>
              <w:rPr>
                <w:sz w:val="20"/>
                <w:lang w:val="en-GB"/>
              </w:rPr>
            </w:pPr>
          </w:p>
        </w:tc>
        <w:tc>
          <w:tcPr>
            <w:tcW w:w="620" w:type="dxa"/>
            <w:tcBorders>
              <w:top w:val="nil"/>
              <w:left w:val="nil"/>
              <w:bottom w:val="double" w:sz="4" w:space="0" w:color="auto"/>
              <w:right w:val="nil"/>
            </w:tcBorders>
          </w:tcPr>
          <w:p w:rsidR="008014AA" w:rsidRPr="009E18E9" w:rsidRDefault="008014AA" w:rsidP="007C5949">
            <w:pPr>
              <w:rPr>
                <w:sz w:val="20"/>
                <w:lang w:val="en-GB"/>
              </w:rPr>
            </w:pPr>
          </w:p>
        </w:tc>
        <w:tc>
          <w:tcPr>
            <w:tcW w:w="620" w:type="dxa"/>
            <w:tcBorders>
              <w:top w:val="nil"/>
              <w:left w:val="nil"/>
              <w:bottom w:val="double" w:sz="4" w:space="0" w:color="auto"/>
              <w:right w:val="nil"/>
            </w:tcBorders>
          </w:tcPr>
          <w:p w:rsidR="008014AA" w:rsidRPr="009E18E9" w:rsidRDefault="008014AA" w:rsidP="007C5949">
            <w:pPr>
              <w:rPr>
                <w:sz w:val="20"/>
                <w:lang w:val="en-GB"/>
              </w:rPr>
            </w:pPr>
          </w:p>
        </w:tc>
        <w:tc>
          <w:tcPr>
            <w:tcW w:w="620" w:type="dxa"/>
            <w:tcBorders>
              <w:top w:val="nil"/>
              <w:left w:val="nil"/>
              <w:bottom w:val="double" w:sz="4" w:space="0" w:color="auto"/>
              <w:right w:val="nil"/>
            </w:tcBorders>
          </w:tcPr>
          <w:p w:rsidR="008014AA" w:rsidRPr="009E18E9" w:rsidRDefault="008014AA" w:rsidP="007C5949">
            <w:pPr>
              <w:rPr>
                <w:sz w:val="20"/>
                <w:lang w:val="en-GB"/>
              </w:rPr>
            </w:pPr>
          </w:p>
        </w:tc>
        <w:tc>
          <w:tcPr>
            <w:tcW w:w="620" w:type="dxa"/>
            <w:tcBorders>
              <w:top w:val="nil"/>
              <w:left w:val="nil"/>
              <w:bottom w:val="double" w:sz="4" w:space="0" w:color="auto"/>
            </w:tcBorders>
          </w:tcPr>
          <w:p w:rsidR="008014AA" w:rsidRPr="009E18E9" w:rsidRDefault="008014AA" w:rsidP="007C5949">
            <w:pPr>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rsidR="008014AA" w:rsidRPr="009E18E9" w:rsidRDefault="008014AA" w:rsidP="007C5949">
            <w:pPr>
              <w:rPr>
                <w:b/>
                <w:sz w:val="20"/>
                <w:lang w:val="en-GB"/>
              </w:rPr>
            </w:pPr>
            <w:r w:rsidRPr="009E18E9">
              <w:rPr>
                <w:b/>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8014AA" w:rsidRPr="009E18E9" w:rsidRDefault="008014AA" w:rsidP="007C5949">
            <w:pPr>
              <w:rPr>
                <w:sz w:val="20"/>
                <w:lang w:val="en-GB"/>
              </w:rPr>
            </w:pPr>
          </w:p>
        </w:tc>
        <w:tc>
          <w:tcPr>
            <w:tcW w:w="806" w:type="dxa"/>
            <w:tcBorders>
              <w:top w:val="single" w:sz="6" w:space="0" w:color="auto"/>
              <w:left w:val="single" w:sz="6" w:space="0" w:color="auto"/>
              <w:bottom w:val="double" w:sz="4" w:space="0" w:color="auto"/>
              <w:right w:val="double" w:sz="4" w:space="0" w:color="auto"/>
            </w:tcBorders>
          </w:tcPr>
          <w:p w:rsidR="008014AA" w:rsidRPr="009E18E9" w:rsidRDefault="008014AA" w:rsidP="007C5949">
            <w:pPr>
              <w:rPr>
                <w:sz w:val="20"/>
                <w:lang w:val="en-GB"/>
              </w:rPr>
            </w:pPr>
          </w:p>
        </w:tc>
      </w:tr>
    </w:tbl>
    <w:p w:rsidR="008014AA" w:rsidRDefault="008014AA" w:rsidP="008014AA">
      <w:pPr>
        <w:jc w:val="center"/>
        <w:rPr>
          <w:b/>
          <w:sz w:val="28"/>
        </w:rPr>
      </w:pPr>
    </w:p>
    <w:p w:rsidR="008014AA" w:rsidRPr="009E18E9" w:rsidRDefault="008014AA" w:rsidP="008014AA">
      <w:pPr>
        <w:jc w:val="center"/>
        <w:rPr>
          <w:b/>
          <w:smallCaps/>
          <w:sz w:val="28"/>
        </w:rPr>
      </w:pPr>
      <w:r w:rsidRPr="009E18E9">
        <w:rPr>
          <w:b/>
          <w:sz w:val="28"/>
        </w:rPr>
        <w:t xml:space="preserve">Formulaire </w:t>
      </w:r>
      <w:r w:rsidRPr="009E18E9">
        <w:rPr>
          <w:b/>
          <w:smallCaps/>
          <w:sz w:val="28"/>
        </w:rPr>
        <w:t>TECH-8</w:t>
      </w:r>
      <w:r>
        <w:rPr>
          <w:b/>
          <w:smallCaps/>
          <w:sz w:val="28"/>
        </w:rPr>
        <w:t xml:space="preserve"> </w:t>
      </w:r>
      <w:r w:rsidRPr="009E18E9">
        <w:rPr>
          <w:b/>
          <w:smallCaps/>
          <w:sz w:val="28"/>
        </w:rPr>
        <w:t>programme de travail par activité</w:t>
      </w:r>
    </w:p>
    <w:p w:rsidR="008014AA" w:rsidRPr="009E18E9" w:rsidRDefault="008014AA" w:rsidP="008014AA">
      <w:pPr>
        <w:pBdr>
          <w:bottom w:val="single" w:sz="8" w:space="1" w:color="auto"/>
        </w:pBdr>
        <w:jc w:val="right"/>
      </w:pPr>
    </w:p>
    <w:p w:rsidR="008014AA" w:rsidRPr="009E18E9" w:rsidRDefault="008014AA" w:rsidP="008014AA"/>
    <w:p w:rsidR="008014AA" w:rsidRPr="009E18E9" w:rsidRDefault="008014AA" w:rsidP="008014AA"/>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8014AA" w:rsidRPr="009E18E9" w:rsidTr="007C5949">
        <w:trPr>
          <w:cantSplit/>
          <w:trHeight w:hRule="exact" w:val="397"/>
        </w:trPr>
        <w:tc>
          <w:tcPr>
            <w:tcW w:w="454" w:type="dxa"/>
            <w:vMerge w:val="restart"/>
            <w:tcBorders>
              <w:top w:val="double" w:sz="4" w:space="0" w:color="auto"/>
              <w:left w:val="double" w:sz="4" w:space="0" w:color="auto"/>
            </w:tcBorders>
            <w:vAlign w:val="center"/>
          </w:tcPr>
          <w:p w:rsidR="008014AA" w:rsidRPr="009E18E9" w:rsidRDefault="008014AA" w:rsidP="007C5949">
            <w:pPr>
              <w:jc w:val="center"/>
              <w:rPr>
                <w:b/>
                <w:sz w:val="20"/>
                <w:lang w:val="en-GB"/>
              </w:rPr>
            </w:pPr>
            <w:r w:rsidRPr="009E18E9">
              <w:rPr>
                <w:b/>
                <w:sz w:val="20"/>
                <w:lang w:val="en-GB"/>
              </w:rPr>
              <w:t>N°</w:t>
            </w:r>
          </w:p>
        </w:tc>
        <w:tc>
          <w:tcPr>
            <w:tcW w:w="3686" w:type="dxa"/>
            <w:vMerge w:val="restart"/>
            <w:tcBorders>
              <w:top w:val="double" w:sz="4" w:space="0" w:color="auto"/>
              <w:left w:val="single" w:sz="6" w:space="0" w:color="auto"/>
            </w:tcBorders>
            <w:vAlign w:val="center"/>
          </w:tcPr>
          <w:p w:rsidR="008014AA" w:rsidRPr="009E18E9" w:rsidRDefault="008014AA" w:rsidP="007C5949">
            <w:pPr>
              <w:jc w:val="center"/>
              <w:rPr>
                <w:b/>
                <w:sz w:val="20"/>
                <w:lang w:val="en-GB"/>
              </w:rPr>
            </w:pPr>
            <w:r w:rsidRPr="009E18E9">
              <w:rPr>
                <w:b/>
                <w:sz w:val="20"/>
                <w:lang w:val="en-GB"/>
              </w:rPr>
              <w:t>Activité</w:t>
            </w:r>
            <w:r>
              <w:rPr>
                <w:b/>
                <w:sz w:val="20"/>
                <w:lang w:val="en-GB"/>
              </w:rPr>
              <w:t>s</w:t>
            </w:r>
            <w:r w:rsidRPr="009E18E9">
              <w:rPr>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rsidR="008014AA" w:rsidRPr="009E18E9" w:rsidRDefault="008014AA" w:rsidP="007C5949">
            <w:pPr>
              <w:jc w:val="center"/>
              <w:rPr>
                <w:b/>
                <w:sz w:val="20"/>
                <w:lang w:val="en-GB"/>
              </w:rPr>
            </w:pPr>
            <w:r w:rsidRPr="009E18E9">
              <w:rPr>
                <w:b/>
                <w:sz w:val="20"/>
                <w:lang w:val="en-GB"/>
              </w:rPr>
              <w:t>Mois</w:t>
            </w:r>
            <w:r w:rsidRPr="009E18E9">
              <w:rPr>
                <w:vertAlign w:val="superscript"/>
                <w:lang w:val="en-GB"/>
              </w:rPr>
              <w:t>2</w:t>
            </w:r>
          </w:p>
        </w:tc>
      </w:tr>
      <w:tr w:rsidR="008014AA" w:rsidRPr="009E18E9" w:rsidTr="007C5949">
        <w:trPr>
          <w:cantSplit/>
          <w:trHeight w:hRule="exact" w:val="397"/>
        </w:trPr>
        <w:tc>
          <w:tcPr>
            <w:tcW w:w="454" w:type="dxa"/>
            <w:vMerge/>
            <w:tcBorders>
              <w:left w:val="double" w:sz="4" w:space="0" w:color="auto"/>
              <w:bottom w:val="single" w:sz="12" w:space="0" w:color="auto"/>
            </w:tcBorders>
            <w:vAlign w:val="center"/>
          </w:tcPr>
          <w:p w:rsidR="008014AA" w:rsidRPr="009E18E9" w:rsidRDefault="008014AA" w:rsidP="007C5949">
            <w:pPr>
              <w:jc w:val="center"/>
              <w:rPr>
                <w:b/>
                <w:sz w:val="20"/>
                <w:lang w:val="en-GB"/>
              </w:rPr>
            </w:pPr>
          </w:p>
        </w:tc>
        <w:tc>
          <w:tcPr>
            <w:tcW w:w="3686" w:type="dxa"/>
            <w:vMerge/>
            <w:tcBorders>
              <w:left w:val="single" w:sz="6" w:space="0" w:color="auto"/>
              <w:bottom w:val="single" w:sz="12" w:space="0" w:color="auto"/>
            </w:tcBorders>
            <w:vAlign w:val="center"/>
          </w:tcPr>
          <w:p w:rsidR="008014AA" w:rsidRPr="009E18E9" w:rsidRDefault="008014AA" w:rsidP="007C5949">
            <w:pPr>
              <w:jc w:val="center"/>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rsidR="008014AA" w:rsidRPr="009E18E9" w:rsidRDefault="008014AA" w:rsidP="007C5949">
            <w:pPr>
              <w:jc w:val="center"/>
              <w:rPr>
                <w:b/>
                <w:sz w:val="20"/>
                <w:lang w:val="en-GB"/>
              </w:rPr>
            </w:pPr>
            <w:r w:rsidRPr="009E18E9">
              <w:rPr>
                <w:b/>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rsidR="008014AA" w:rsidRPr="009E18E9" w:rsidRDefault="008014AA" w:rsidP="007C5949">
            <w:pPr>
              <w:jc w:val="center"/>
              <w:rPr>
                <w:b/>
                <w:sz w:val="20"/>
                <w:lang w:val="en-GB"/>
              </w:rPr>
            </w:pPr>
            <w:r w:rsidRPr="009E18E9">
              <w:rPr>
                <w:b/>
                <w:sz w:val="20"/>
                <w:lang w:val="en-GB"/>
              </w:rPr>
              <w:t>n</w:t>
            </w:r>
          </w:p>
        </w:tc>
      </w:tr>
      <w:tr w:rsidR="008014AA" w:rsidRPr="009E18E9" w:rsidTr="007C5949">
        <w:tc>
          <w:tcPr>
            <w:tcW w:w="454" w:type="dxa"/>
            <w:tcBorders>
              <w:top w:val="single" w:sz="12" w:space="0" w:color="auto"/>
              <w:left w:val="double" w:sz="4" w:space="0" w:color="auto"/>
              <w:bottom w:val="single" w:sz="6" w:space="0" w:color="auto"/>
            </w:tcBorders>
            <w:vAlign w:val="center"/>
          </w:tcPr>
          <w:p w:rsidR="008014AA" w:rsidRPr="009E18E9" w:rsidRDefault="008014AA" w:rsidP="007C5949">
            <w:pPr>
              <w:jc w:val="center"/>
              <w:rPr>
                <w:sz w:val="20"/>
                <w:lang w:val="en-GB"/>
              </w:rPr>
            </w:pPr>
            <w:r w:rsidRPr="009E18E9">
              <w:rPr>
                <w:sz w:val="20"/>
                <w:lang w:val="en-GB"/>
              </w:rPr>
              <w:t>1</w:t>
            </w:r>
          </w:p>
        </w:tc>
        <w:tc>
          <w:tcPr>
            <w:tcW w:w="3686" w:type="dxa"/>
            <w:tcBorders>
              <w:top w:val="single" w:sz="12"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12"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r w:rsidRPr="009E18E9">
              <w:rPr>
                <w:sz w:val="20"/>
                <w:lang w:val="en-GB"/>
              </w:rPr>
              <w:t>2</w:t>
            </w: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r w:rsidRPr="009E18E9">
              <w:rPr>
                <w:sz w:val="20"/>
                <w:lang w:val="en-GB"/>
              </w:rPr>
              <w:t>3</w:t>
            </w: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r w:rsidRPr="009E18E9">
              <w:rPr>
                <w:sz w:val="20"/>
                <w:lang w:val="en-GB"/>
              </w:rPr>
              <w:t>4</w:t>
            </w: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r w:rsidRPr="009E18E9">
              <w:rPr>
                <w:sz w:val="20"/>
                <w:lang w:val="en-GB"/>
              </w:rPr>
              <w:t>5</w:t>
            </w: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single" w:sz="6" w:space="0" w:color="auto"/>
            </w:tcBorders>
            <w:vAlign w:val="center"/>
          </w:tcPr>
          <w:p w:rsidR="008014AA" w:rsidRPr="009E18E9" w:rsidRDefault="008014AA" w:rsidP="007C5949">
            <w:pPr>
              <w:ind w:left="-25"/>
              <w:jc w:val="center"/>
              <w:rPr>
                <w:sz w:val="20"/>
                <w:lang w:val="en-GB"/>
              </w:rPr>
            </w:pPr>
          </w:p>
        </w:tc>
        <w:tc>
          <w:tcPr>
            <w:tcW w:w="3686" w:type="dxa"/>
            <w:tcBorders>
              <w:top w:val="single" w:sz="6" w:space="0" w:color="auto"/>
              <w:left w:val="single" w:sz="6" w:space="0" w:color="auto"/>
              <w:bottom w:val="single" w:sz="6" w:space="0" w:color="auto"/>
            </w:tcBorders>
          </w:tcPr>
          <w:p w:rsidR="008014AA" w:rsidRPr="009E18E9" w:rsidRDefault="008014AA" w:rsidP="007C5949">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single" w:sz="6" w:space="0" w:color="auto"/>
              <w:right w:val="double" w:sz="4" w:space="0" w:color="auto"/>
            </w:tcBorders>
          </w:tcPr>
          <w:p w:rsidR="008014AA" w:rsidRPr="009E18E9" w:rsidRDefault="008014AA" w:rsidP="007C5949">
            <w:pPr>
              <w:rPr>
                <w:lang w:val="en-GB"/>
              </w:rPr>
            </w:pPr>
          </w:p>
        </w:tc>
      </w:tr>
      <w:tr w:rsidR="008014AA" w:rsidRPr="009E18E9" w:rsidTr="007C5949">
        <w:tc>
          <w:tcPr>
            <w:tcW w:w="454" w:type="dxa"/>
            <w:tcBorders>
              <w:top w:val="single" w:sz="6" w:space="0" w:color="auto"/>
              <w:left w:val="double" w:sz="4" w:space="0" w:color="auto"/>
              <w:bottom w:val="double" w:sz="4" w:space="0" w:color="auto"/>
            </w:tcBorders>
            <w:vAlign w:val="center"/>
          </w:tcPr>
          <w:p w:rsidR="008014AA" w:rsidRPr="009E18E9" w:rsidRDefault="008014AA" w:rsidP="007C5949">
            <w:pPr>
              <w:ind w:left="-25"/>
              <w:jc w:val="center"/>
              <w:rPr>
                <w:sz w:val="20"/>
                <w:lang w:val="en-GB"/>
              </w:rPr>
            </w:pPr>
            <w:r w:rsidRPr="009E18E9">
              <w:rPr>
                <w:sz w:val="20"/>
                <w:lang w:val="en-GB"/>
              </w:rPr>
              <w:t>n</w:t>
            </w:r>
          </w:p>
        </w:tc>
        <w:tc>
          <w:tcPr>
            <w:tcW w:w="3686" w:type="dxa"/>
            <w:tcBorders>
              <w:top w:val="single" w:sz="6" w:space="0" w:color="auto"/>
              <w:left w:val="single" w:sz="6" w:space="0" w:color="auto"/>
              <w:bottom w:val="double" w:sz="4" w:space="0" w:color="auto"/>
            </w:tcBorders>
          </w:tcPr>
          <w:p w:rsidR="008014AA" w:rsidRPr="009E18E9" w:rsidRDefault="008014AA" w:rsidP="007C5949">
            <w:pPr>
              <w:ind w:left="-25"/>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single" w:sz="6" w:space="0" w:color="auto"/>
            </w:tcBorders>
          </w:tcPr>
          <w:p w:rsidR="008014AA" w:rsidRPr="009E18E9" w:rsidRDefault="008014AA" w:rsidP="007C5949">
            <w:pPr>
              <w:rPr>
                <w:lang w:val="en-GB"/>
              </w:rPr>
            </w:pPr>
          </w:p>
        </w:tc>
        <w:tc>
          <w:tcPr>
            <w:tcW w:w="680" w:type="dxa"/>
            <w:tcBorders>
              <w:top w:val="single" w:sz="6" w:space="0" w:color="auto"/>
              <w:left w:val="single" w:sz="6" w:space="0" w:color="auto"/>
              <w:bottom w:val="double" w:sz="4" w:space="0" w:color="auto"/>
              <w:right w:val="double" w:sz="4" w:space="0" w:color="auto"/>
            </w:tcBorders>
          </w:tcPr>
          <w:p w:rsidR="008014AA" w:rsidRPr="009E18E9" w:rsidRDefault="008014AA" w:rsidP="007C5949">
            <w:pPr>
              <w:rPr>
                <w:lang w:val="en-GB"/>
              </w:rPr>
            </w:pPr>
          </w:p>
        </w:tc>
      </w:tr>
    </w:tbl>
    <w:p w:rsidR="008014AA" w:rsidRPr="009E18E9" w:rsidRDefault="008014AA" w:rsidP="008014AA">
      <w:pPr>
        <w:rPr>
          <w:lang w:val="en-GB"/>
        </w:rPr>
      </w:pPr>
    </w:p>
    <w:p w:rsidR="008014AA" w:rsidRPr="009E18E9" w:rsidRDefault="008014AA" w:rsidP="008014AA">
      <w:pPr>
        <w:pStyle w:val="BodyTextIndent"/>
        <w:tabs>
          <w:tab w:val="left" w:pos="360"/>
        </w:tabs>
        <w:ind w:left="360" w:hanging="360"/>
        <w:rPr>
          <w:sz w:val="20"/>
        </w:rPr>
      </w:pPr>
      <w:r w:rsidRPr="009E18E9">
        <w:rPr>
          <w:sz w:val="20"/>
        </w:rPr>
        <w:t>1</w:t>
      </w:r>
      <w:r w:rsidRPr="009E18E9">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rsidR="008014AA" w:rsidRPr="009E18E9" w:rsidRDefault="008014AA" w:rsidP="008014AA">
      <w:pPr>
        <w:pStyle w:val="BodyTextIndent"/>
        <w:tabs>
          <w:tab w:val="left" w:pos="360"/>
        </w:tabs>
        <w:ind w:left="360" w:hanging="360"/>
      </w:pPr>
      <w:r w:rsidRPr="009E18E9">
        <w:rPr>
          <w:sz w:val="20"/>
        </w:rPr>
        <w:t>2</w:t>
      </w:r>
      <w:r w:rsidRPr="009E18E9">
        <w:rPr>
          <w:sz w:val="20"/>
        </w:rPr>
        <w:tab/>
        <w:t xml:space="preserve">La durée des activités doit être présentée sous </w:t>
      </w:r>
      <w:r>
        <w:rPr>
          <w:sz w:val="20"/>
        </w:rPr>
        <w:t xml:space="preserve">la </w:t>
      </w:r>
      <w:r w:rsidRPr="009E18E9">
        <w:rPr>
          <w:sz w:val="20"/>
        </w:rPr>
        <w:t>forme d'un graphique à barres.</w:t>
      </w:r>
    </w:p>
    <w:p w:rsidR="008014AA" w:rsidRDefault="008014AA" w:rsidP="008014AA">
      <w:pPr>
        <w:pStyle w:val="Heading1"/>
        <w:sectPr w:rsidR="008014AA" w:rsidSect="00D47C79">
          <w:pgSz w:w="16838" w:h="11906" w:orient="landscape" w:code="9"/>
          <w:pgMar w:top="1418" w:right="1418" w:bottom="851" w:left="1418" w:header="709" w:footer="709" w:gutter="0"/>
          <w:cols w:space="708"/>
          <w:docGrid w:linePitch="360"/>
        </w:sectPr>
      </w:pPr>
      <w:bookmarkStart w:id="80" w:name="_Toc72513667"/>
      <w:bookmarkStart w:id="81" w:name="_Toc72514647"/>
      <w:bookmarkStart w:id="82" w:name="_Toc72514826"/>
      <w:bookmarkStart w:id="83" w:name="_Toc72515061"/>
      <w:bookmarkStart w:id="84" w:name="_Toc189450394"/>
    </w:p>
    <w:p w:rsidR="008014AA" w:rsidRDefault="008014AA" w:rsidP="008014AA">
      <w:pPr>
        <w:pStyle w:val="Heading1"/>
      </w:pPr>
      <w:r>
        <w:lastRenderedPageBreak/>
        <w:t>Section 5. Proposition financ</w:t>
      </w:r>
      <w:r w:rsidRPr="007C7642">
        <w:t>i</w:t>
      </w:r>
      <w:r>
        <w:t>ère - Formulaires types</w:t>
      </w:r>
      <w:bookmarkEnd w:id="80"/>
      <w:bookmarkEnd w:id="81"/>
      <w:bookmarkEnd w:id="82"/>
      <w:bookmarkEnd w:id="83"/>
      <w:bookmarkEnd w:id="84"/>
    </w:p>
    <w:p w:rsidR="008014AA" w:rsidRDefault="008014AA" w:rsidP="008014AA"/>
    <w:p w:rsidR="008014AA" w:rsidRDefault="008014AA" w:rsidP="008014AA">
      <w:pPr>
        <w:jc w:val="both"/>
      </w:pPr>
      <w:r>
        <w:t>[</w:t>
      </w:r>
      <w:r>
        <w:rPr>
          <w:i/>
        </w:rPr>
        <w:t xml:space="preserve">Les commentaires entre crochets </w:t>
      </w:r>
      <w:r>
        <w:t xml:space="preserve">[ ] </w:t>
      </w:r>
      <w:r>
        <w:rPr>
          <w:i/>
        </w:rPr>
        <w:t>visent à aider les Candidats présélectionnés à élaborer leurs propositions financières ; ils ne doivent pas figurer sur les propositions financières soumises</w:t>
      </w:r>
      <w:r>
        <w:t>]</w:t>
      </w:r>
    </w:p>
    <w:p w:rsidR="008014AA" w:rsidRDefault="008014AA" w:rsidP="008014AA">
      <w:pPr>
        <w:jc w:val="both"/>
      </w:pPr>
    </w:p>
    <w:p w:rsidR="008014AA" w:rsidRDefault="008014AA" w:rsidP="008014AA">
      <w:pPr>
        <w:jc w:val="both"/>
      </w:pPr>
      <w: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rsidR="008014AA" w:rsidRDefault="008014AA" w:rsidP="008014AA">
      <w:pPr>
        <w:jc w:val="both"/>
      </w:pPr>
    </w:p>
    <w:p w:rsidR="008014AA" w:rsidRDefault="008014AA" w:rsidP="008014AA">
      <w:pPr>
        <w:jc w:val="both"/>
      </w:pPr>
      <w:r>
        <w:t>[</w:t>
      </w:r>
      <w:r>
        <w:rPr>
          <w:i/>
        </w:rPr>
        <w:t xml:space="preserve">L’annexe « Négociations financières – Décomposition des taux de rémunération ne doit </w:t>
      </w:r>
      <w:r>
        <w:t>être</w:t>
      </w:r>
      <w:r>
        <w:rPr>
          <w:i/>
        </w:rPr>
        <w:t xml:space="preserve"> utilisée que dans le cas de négociations financières lorsque la méthode " Sélection sur la base de la qualité " est adoptée, conformément aux indications du paragraphe 16 de la Section 2</w:t>
      </w:r>
      <w:r>
        <w:t>]</w:t>
      </w:r>
    </w:p>
    <w:p w:rsidR="008014AA" w:rsidRDefault="008014AA" w:rsidP="008014AA"/>
    <w:p w:rsidR="008014AA" w:rsidRDefault="008014AA" w:rsidP="008014AA">
      <w:r>
        <w:t>FIN-1.</w:t>
      </w:r>
      <w:r>
        <w:tab/>
        <w:t>Lettre de soumission de la Proposition financière</w:t>
      </w:r>
    </w:p>
    <w:p w:rsidR="008014AA" w:rsidRDefault="008014AA" w:rsidP="008014AA"/>
    <w:p w:rsidR="008014AA" w:rsidRDefault="008014AA" w:rsidP="008014AA">
      <w:r>
        <w:t>FIN-2.</w:t>
      </w:r>
      <w:r>
        <w:tab/>
        <w:t>État récapitulatif des coûts</w:t>
      </w:r>
    </w:p>
    <w:p w:rsidR="008014AA" w:rsidRDefault="008014AA" w:rsidP="008014AA"/>
    <w:p w:rsidR="008014AA" w:rsidRDefault="008014AA" w:rsidP="008014AA">
      <w:r>
        <w:t>FIN-3.</w:t>
      </w:r>
      <w:r>
        <w:tab/>
        <w:t>Ventilation des coûts par activité</w:t>
      </w:r>
    </w:p>
    <w:p w:rsidR="008014AA" w:rsidRDefault="008014AA" w:rsidP="008014AA"/>
    <w:p w:rsidR="008014AA" w:rsidRDefault="008014AA" w:rsidP="008014AA">
      <w:r>
        <w:t>FIN-4.</w:t>
      </w:r>
      <w:r>
        <w:tab/>
        <w:t xml:space="preserve"> Ventilation des rémunérations</w:t>
      </w:r>
    </w:p>
    <w:p w:rsidR="008014AA" w:rsidRDefault="008014AA" w:rsidP="008014AA"/>
    <w:p w:rsidR="008014AA" w:rsidRDefault="008014AA" w:rsidP="008014AA">
      <w:r>
        <w:t>FIN-5.</w:t>
      </w:r>
      <w:r>
        <w:tab/>
        <w:t xml:space="preserve">Frais remboursables </w:t>
      </w:r>
    </w:p>
    <w:p w:rsidR="008014AA" w:rsidRDefault="008014AA" w:rsidP="008014AA"/>
    <w:p w:rsidR="008014AA" w:rsidRDefault="008014AA" w:rsidP="008014AA">
      <w:r>
        <w:t>Annexe : Négociations financières – Décomposition des taux de rémunération</w:t>
      </w: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jc w:val="center"/>
        <w:rPr>
          <w:b/>
          <w:sz w:val="28"/>
        </w:rPr>
      </w:pPr>
      <w:r>
        <w:rPr>
          <w:b/>
        </w:rPr>
        <w:t>Formulaire FIN-1</w:t>
      </w:r>
      <w:r>
        <w:rPr>
          <w:b/>
          <w:sz w:val="28"/>
        </w:rPr>
        <w:t xml:space="preserve">. </w:t>
      </w:r>
      <w:r>
        <w:rPr>
          <w:rFonts w:ascii="Times New Roman Bold" w:hAnsi="Times New Roman Bold"/>
          <w:b/>
          <w:smallCaps/>
          <w:sz w:val="28"/>
        </w:rPr>
        <w:t>Lettre de soumission de la Proposition financière</w:t>
      </w:r>
    </w:p>
    <w:p w:rsidR="008014AA" w:rsidRDefault="008014AA" w:rsidP="008014AA">
      <w:pPr>
        <w:pBdr>
          <w:bottom w:val="single" w:sz="12" w:space="1" w:color="auto"/>
        </w:pBdr>
      </w:pPr>
    </w:p>
    <w:p w:rsidR="008014AA" w:rsidRDefault="008014AA" w:rsidP="008014AA">
      <w:pPr>
        <w:rPr>
          <w:b/>
          <w:sz w:val="28"/>
        </w:rPr>
      </w:pPr>
    </w:p>
    <w:p w:rsidR="008014AA" w:rsidRDefault="008014AA" w:rsidP="008014AA">
      <w:pPr>
        <w:jc w:val="right"/>
      </w:pPr>
      <w:r>
        <w:t>[</w:t>
      </w:r>
      <w:r>
        <w:rPr>
          <w:i/>
        </w:rPr>
        <w:t>Lieu, date</w:t>
      </w:r>
      <w:r>
        <w:t>]</w:t>
      </w:r>
    </w:p>
    <w:p w:rsidR="008014AA" w:rsidRDefault="008014AA" w:rsidP="008014AA">
      <w:pPr>
        <w:spacing w:after="200"/>
        <w:ind w:firstLine="720"/>
      </w:pPr>
      <w:r>
        <w:t>À :</w:t>
      </w:r>
      <w:r>
        <w:tab/>
        <w:t>[</w:t>
      </w:r>
      <w:r>
        <w:rPr>
          <w:i/>
        </w:rPr>
        <w:t>Nom et adresse de l’Autorité contractante</w:t>
      </w:r>
      <w:r>
        <w:t>]</w:t>
      </w:r>
    </w:p>
    <w:p w:rsidR="008014AA" w:rsidRDefault="008014AA" w:rsidP="008014AA">
      <w:pPr>
        <w:spacing w:after="200"/>
        <w:ind w:firstLine="720"/>
      </w:pPr>
      <w:r>
        <w:t>Madame/Monsieur,</w:t>
      </w:r>
    </w:p>
    <w:p w:rsidR="008014AA" w:rsidRDefault="008014AA" w:rsidP="008014AA">
      <w:pPr>
        <w:spacing w:after="200"/>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technique. Vous trouverez ci-joint notre Proposition financière qui s’élève à [</w:t>
      </w:r>
      <w:r>
        <w:rPr>
          <w:i/>
        </w:rPr>
        <w:t>montant en lettres et en chiffres</w:t>
      </w:r>
      <w:r>
        <w:t>]</w:t>
      </w:r>
      <w:r>
        <w:rPr>
          <w:rStyle w:val="FootnoteReference"/>
        </w:rPr>
        <w:footnoteReference w:customMarkFollows="1" w:id="5"/>
        <w:t>1</w:t>
      </w:r>
      <w:r>
        <w:t xml:space="preserve"> FCFA, toutes taxes comprises.</w:t>
      </w:r>
    </w:p>
    <w:p w:rsidR="008014AA" w:rsidRDefault="008014AA" w:rsidP="008014AA">
      <w:pPr>
        <w:spacing w:after="200"/>
        <w:jc w:val="both"/>
      </w:pPr>
      <w: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rsidR="008014AA" w:rsidRDefault="008014AA" w:rsidP="008014AA">
      <w:pPr>
        <w:tabs>
          <w:tab w:val="left" w:pos="540"/>
          <w:tab w:val="right" w:pos="9000"/>
        </w:tabs>
        <w:spacing w:after="200"/>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ci-joint, signé par nos soins.</w:t>
      </w:r>
    </w:p>
    <w:p w:rsidR="008014AA" w:rsidRDefault="008014AA" w:rsidP="008014AA">
      <w:pPr>
        <w:tabs>
          <w:tab w:val="left" w:pos="630"/>
        </w:tabs>
      </w:pPr>
    </w:p>
    <w:p w:rsidR="008014AA" w:rsidRDefault="008014AA" w:rsidP="008014AA">
      <w:pPr>
        <w:tabs>
          <w:tab w:val="left" w:pos="630"/>
        </w:tabs>
      </w:pPr>
      <w:r>
        <w:t>Veuillez agréer, Madame/Monsieur, l’assurance de notre considération distinguée.</w:t>
      </w:r>
    </w:p>
    <w:p w:rsidR="008014AA" w:rsidRDefault="008014AA" w:rsidP="008014AA"/>
    <w:p w:rsidR="008014AA" w:rsidRDefault="008014AA" w:rsidP="008014AA">
      <w:pPr>
        <w:jc w:val="center"/>
      </w:pPr>
    </w:p>
    <w:p w:rsidR="008014AA" w:rsidRDefault="008014AA" w:rsidP="008014AA">
      <w:pPr>
        <w:rPr>
          <w:u w:val="single"/>
        </w:rPr>
      </w:pPr>
      <w:r>
        <w:t>Signature du représentant habilité </w:t>
      </w:r>
      <w:proofErr w:type="gramStart"/>
      <w:r>
        <w:t>:  _</w:t>
      </w:r>
      <w:proofErr w:type="gramEnd"/>
      <w:r>
        <w:t>____________________________________________</w:t>
      </w:r>
    </w:p>
    <w:p w:rsidR="008014AA" w:rsidRDefault="008014AA" w:rsidP="008014AA">
      <w:r>
        <w:t>Nom et titre du signataire : ____________________________________________________</w:t>
      </w:r>
    </w:p>
    <w:p w:rsidR="008014AA" w:rsidRDefault="008014AA" w:rsidP="008014AA">
      <w:r>
        <w:t>Nom et adresse du Consultant </w:t>
      </w:r>
      <w:proofErr w:type="gramStart"/>
      <w:r>
        <w:t>:  _</w:t>
      </w:r>
      <w:proofErr w:type="gramEnd"/>
      <w:r>
        <w:t>_______________________________________________</w:t>
      </w:r>
    </w:p>
    <w:p w:rsidR="008014AA" w:rsidRDefault="008014AA" w:rsidP="008014AA">
      <w:r>
        <w:t>Adresse :   __________________________________________________________________</w:t>
      </w:r>
    </w:p>
    <w:p w:rsidR="008014AA" w:rsidRDefault="008014AA" w:rsidP="008014AA">
      <w:pPr>
        <w:ind w:right="900"/>
        <w:jc w:val="center"/>
        <w:sectPr w:rsidR="008014AA" w:rsidSect="008014AA">
          <w:pgSz w:w="11906" w:h="16838" w:code="9"/>
          <w:pgMar w:top="1418" w:right="1418" w:bottom="1418" w:left="1418" w:header="709" w:footer="709" w:gutter="0"/>
          <w:cols w:space="708"/>
          <w:docGrid w:linePitch="360"/>
        </w:sectPr>
      </w:pPr>
    </w:p>
    <w:p w:rsidR="008014AA" w:rsidRDefault="008014AA" w:rsidP="008014AA">
      <w:pPr>
        <w:ind w:right="900"/>
        <w:jc w:val="center"/>
        <w:rPr>
          <w:b/>
          <w:sz w:val="28"/>
        </w:rPr>
      </w:pPr>
      <w:r>
        <w:rPr>
          <w:b/>
          <w:sz w:val="28"/>
        </w:rPr>
        <w:lastRenderedPageBreak/>
        <w:t xml:space="preserve">Formulaire FIN-2 </w:t>
      </w:r>
      <w:r>
        <w:rPr>
          <w:rFonts w:ascii="Times New Roman Bold" w:hAnsi="Times New Roman Bold"/>
          <w:b/>
          <w:smallCaps/>
          <w:sz w:val="28"/>
        </w:rPr>
        <w:t xml:space="preserve">État récapitulatif des coûts </w:t>
      </w:r>
    </w:p>
    <w:p w:rsidR="008014AA" w:rsidRDefault="008014AA" w:rsidP="008014AA"/>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8014AA" w:rsidTr="007C5949">
        <w:trPr>
          <w:cantSplit/>
          <w:trHeight w:val="1171"/>
          <w:jc w:val="center"/>
        </w:trPr>
        <w:tc>
          <w:tcPr>
            <w:tcW w:w="4536" w:type="dxa"/>
            <w:tcBorders>
              <w:top w:val="double" w:sz="4" w:space="0" w:color="auto"/>
              <w:left w:val="double" w:sz="4" w:space="0" w:color="auto"/>
            </w:tcBorders>
            <w:vAlign w:val="center"/>
          </w:tcPr>
          <w:p w:rsidR="008014AA" w:rsidRDefault="008014AA" w:rsidP="007C5949">
            <w:pPr>
              <w:pStyle w:val="Heading8"/>
              <w:jc w:val="center"/>
            </w:pPr>
            <w:r>
              <w:t>Poste</w:t>
            </w:r>
          </w:p>
        </w:tc>
        <w:tc>
          <w:tcPr>
            <w:tcW w:w="7940" w:type="dxa"/>
            <w:gridSpan w:val="4"/>
            <w:tcBorders>
              <w:top w:val="double" w:sz="4" w:space="0" w:color="auto"/>
            </w:tcBorders>
            <w:vAlign w:val="center"/>
          </w:tcPr>
          <w:p w:rsidR="008014AA" w:rsidRDefault="008014AA" w:rsidP="007C5949">
            <w:pPr>
              <w:spacing w:before="40" w:after="40"/>
              <w:jc w:val="center"/>
              <w:rPr>
                <w:b/>
                <w:sz w:val="20"/>
              </w:rPr>
            </w:pPr>
            <w:r>
              <w:rPr>
                <w:b/>
                <w:sz w:val="20"/>
              </w:rPr>
              <w:t>COUTS (FCFA ou DEVISES)</w:t>
            </w:r>
          </w:p>
          <w:p w:rsidR="008014AA" w:rsidRDefault="008014AA" w:rsidP="007C5949">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8014AA" w:rsidTr="007C5949">
        <w:trPr>
          <w:trHeight w:hRule="exact" w:val="851"/>
          <w:jc w:val="center"/>
        </w:trPr>
        <w:tc>
          <w:tcPr>
            <w:tcW w:w="4536" w:type="dxa"/>
            <w:tcBorders>
              <w:top w:val="single" w:sz="12" w:space="0" w:color="auto"/>
              <w:left w:val="double" w:sz="4" w:space="0" w:color="auto"/>
              <w:bottom w:val="double" w:sz="4" w:space="0" w:color="auto"/>
            </w:tcBorders>
            <w:vAlign w:val="center"/>
          </w:tcPr>
          <w:p w:rsidR="008014AA" w:rsidRDefault="008014AA" w:rsidP="007C5949">
            <w:pPr>
              <w:pStyle w:val="Header"/>
              <w:tabs>
                <w:tab w:val="clear" w:pos="4320"/>
                <w:tab w:val="clear" w:pos="8640"/>
              </w:tabs>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r>
      <w:tr w:rsidR="008014AA" w:rsidTr="007C5949">
        <w:trPr>
          <w:trHeight w:hRule="exact" w:val="851"/>
          <w:jc w:val="center"/>
        </w:trPr>
        <w:tc>
          <w:tcPr>
            <w:tcW w:w="4536" w:type="dxa"/>
            <w:tcBorders>
              <w:top w:val="single" w:sz="12" w:space="0" w:color="auto"/>
              <w:left w:val="double" w:sz="4" w:space="0" w:color="auto"/>
              <w:bottom w:val="double" w:sz="4" w:space="0" w:color="auto"/>
            </w:tcBorders>
            <w:vAlign w:val="center"/>
          </w:tcPr>
          <w:p w:rsidR="008014AA" w:rsidRDefault="008014AA" w:rsidP="007C5949">
            <w:pPr>
              <w:pStyle w:val="Header"/>
              <w:tabs>
                <w:tab w:val="clear" w:pos="4320"/>
                <w:tab w:val="clear" w:pos="8640"/>
              </w:tabs>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r>
      <w:tr w:rsidR="008014AA" w:rsidTr="007C5949">
        <w:trPr>
          <w:trHeight w:hRule="exact" w:val="851"/>
          <w:jc w:val="center"/>
        </w:trPr>
        <w:tc>
          <w:tcPr>
            <w:tcW w:w="4536" w:type="dxa"/>
            <w:tcBorders>
              <w:top w:val="single" w:sz="12" w:space="0" w:color="auto"/>
              <w:left w:val="double" w:sz="4" w:space="0" w:color="auto"/>
              <w:bottom w:val="double" w:sz="4" w:space="0" w:color="auto"/>
            </w:tcBorders>
            <w:vAlign w:val="center"/>
          </w:tcPr>
          <w:p w:rsidR="008014AA" w:rsidRDefault="008014AA" w:rsidP="007C5949">
            <w:pPr>
              <w:pStyle w:val="Header"/>
              <w:tabs>
                <w:tab w:val="clear" w:pos="4320"/>
                <w:tab w:val="clear" w:pos="8640"/>
              </w:tabs>
              <w:spacing w:before="40"/>
              <w:rPr>
                <w:lang w:eastAsia="it-IT"/>
              </w:rPr>
            </w:pPr>
            <w:r>
              <w:t>Coût total de la proposition financière</w:t>
            </w:r>
            <w:r>
              <w:rPr>
                <w:rStyle w:val="FootnoteReference"/>
              </w:rPr>
              <w:footnoteReference w:id="6"/>
            </w:r>
          </w:p>
        </w:tc>
        <w:tc>
          <w:tcPr>
            <w:tcW w:w="1985" w:type="dxa"/>
            <w:tcBorders>
              <w:top w:val="single" w:sz="12" w:space="0" w:color="auto"/>
              <w:bottom w:val="double" w:sz="4" w:space="0" w:color="auto"/>
            </w:tcBorders>
            <w:vAlign w:val="center"/>
          </w:tcPr>
          <w:p w:rsidR="008014AA" w:rsidRDefault="008014AA" w:rsidP="007C5949">
            <w:pPr>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c>
          <w:tcPr>
            <w:tcW w:w="1985" w:type="dxa"/>
            <w:tcBorders>
              <w:top w:val="single" w:sz="12" w:space="0" w:color="auto"/>
              <w:bottom w:val="double" w:sz="4" w:space="0" w:color="auto"/>
            </w:tcBorders>
            <w:vAlign w:val="center"/>
          </w:tcPr>
          <w:p w:rsidR="008014AA" w:rsidRDefault="008014AA" w:rsidP="007C5949">
            <w:pPr>
              <w:spacing w:before="40"/>
            </w:pPr>
          </w:p>
        </w:tc>
      </w:tr>
    </w:tbl>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8014AA" w:rsidRDefault="008014AA" w:rsidP="008014AA">
      <w:pPr>
        <w:ind w:right="900"/>
        <w:jc w:val="center"/>
      </w:pPr>
    </w:p>
    <w:p w:rsidR="00181AAA" w:rsidRDefault="00181AAA" w:rsidP="008014AA">
      <w:pPr>
        <w:ind w:right="900"/>
        <w:jc w:val="center"/>
      </w:pPr>
    </w:p>
    <w:p w:rsidR="00181AAA" w:rsidRDefault="00181AAA" w:rsidP="008014AA">
      <w:pPr>
        <w:ind w:right="900"/>
        <w:jc w:val="center"/>
      </w:pPr>
    </w:p>
    <w:p w:rsidR="00D47C79" w:rsidRDefault="00D47C79" w:rsidP="008014AA">
      <w:pPr>
        <w:ind w:right="900"/>
        <w:jc w:val="center"/>
      </w:pPr>
    </w:p>
    <w:p w:rsidR="008014AA" w:rsidRDefault="008014AA" w:rsidP="008014AA">
      <w:pPr>
        <w:ind w:right="900"/>
        <w:jc w:val="center"/>
      </w:pPr>
    </w:p>
    <w:p w:rsidR="008014AA" w:rsidRDefault="008014AA" w:rsidP="008014AA">
      <w:pPr>
        <w:ind w:right="900"/>
        <w:jc w:val="center"/>
        <w:rPr>
          <w:b/>
          <w:sz w:val="28"/>
        </w:rPr>
      </w:pPr>
      <w:r>
        <w:rPr>
          <w:b/>
          <w:sz w:val="28"/>
        </w:rPr>
        <w:lastRenderedPageBreak/>
        <w:t xml:space="preserve">Formulaire FIN-3. </w:t>
      </w:r>
      <w:r>
        <w:rPr>
          <w:rFonts w:ascii="Times New Roman Bold" w:hAnsi="Times New Roman Bold"/>
          <w:b/>
          <w:smallCaps/>
          <w:sz w:val="28"/>
        </w:rPr>
        <w:t>Ventilation des coûts par activité</w:t>
      </w:r>
      <w:r>
        <w:rPr>
          <w:rFonts w:ascii="Times New Roman Bold" w:hAnsi="Times New Roman Bold"/>
          <w:b/>
          <w:smallCaps/>
          <w:sz w:val="28"/>
          <w:vertAlign w:val="superscript"/>
        </w:rPr>
        <w:t>1</w:t>
      </w:r>
    </w:p>
    <w:p w:rsidR="008014AA" w:rsidRDefault="008014AA" w:rsidP="008014AA"/>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8014AA" w:rsidTr="007C5949">
        <w:trPr>
          <w:cantSplit/>
          <w:trHeight w:val="1418"/>
          <w:jc w:val="center"/>
        </w:trPr>
        <w:tc>
          <w:tcPr>
            <w:tcW w:w="4536" w:type="dxa"/>
            <w:tcBorders>
              <w:top w:val="double" w:sz="4" w:space="0" w:color="auto"/>
              <w:bottom w:val="double" w:sz="4" w:space="0" w:color="auto"/>
            </w:tcBorders>
            <w:vAlign w:val="center"/>
          </w:tcPr>
          <w:p w:rsidR="008014AA" w:rsidRDefault="008014AA" w:rsidP="007C5949">
            <w:pPr>
              <w:spacing w:before="80" w:after="80"/>
              <w:rPr>
                <w:b/>
              </w:rPr>
            </w:pPr>
            <w:r>
              <w:rPr>
                <w:b/>
              </w:rPr>
              <w:t>Groupe d'activités (Etapes):</w:t>
            </w:r>
            <w:r>
              <w:rPr>
                <w:vertAlign w:val="superscript"/>
              </w:rPr>
              <w:t>2</w:t>
            </w:r>
          </w:p>
          <w:p w:rsidR="008014AA" w:rsidRDefault="008014AA" w:rsidP="007C5949">
            <w:pPr>
              <w:pStyle w:val="Header"/>
              <w:tabs>
                <w:tab w:val="clear" w:pos="4320"/>
                <w:tab w:val="clear" w:pos="8640"/>
                <w:tab w:val="right" w:pos="4149"/>
              </w:tabs>
              <w:spacing w:after="120"/>
              <w:rPr>
                <w:u w:val="single"/>
                <w:lang w:eastAsia="it-IT"/>
              </w:rPr>
            </w:pPr>
            <w:r>
              <w:rPr>
                <w:u w:val="single"/>
                <w:lang w:eastAsia="it-IT"/>
              </w:rPr>
              <w:tab/>
            </w:r>
          </w:p>
          <w:p w:rsidR="008014AA" w:rsidRDefault="008014AA" w:rsidP="007C5949">
            <w:pPr>
              <w:pStyle w:val="Header"/>
              <w:tabs>
                <w:tab w:val="clear" w:pos="4320"/>
                <w:tab w:val="clear" w:pos="8640"/>
                <w:tab w:val="right" w:pos="4149"/>
              </w:tabs>
              <w:spacing w:after="120"/>
              <w:rPr>
                <w:u w:val="single"/>
              </w:rPr>
            </w:pPr>
            <w:r>
              <w:rPr>
                <w:u w:val="single"/>
                <w:lang w:eastAsia="it-IT"/>
              </w:rPr>
              <w:tab/>
            </w:r>
          </w:p>
        </w:tc>
        <w:tc>
          <w:tcPr>
            <w:tcW w:w="7940" w:type="dxa"/>
            <w:gridSpan w:val="4"/>
            <w:tcBorders>
              <w:top w:val="double" w:sz="4" w:space="0" w:color="auto"/>
              <w:bottom w:val="single" w:sz="8" w:space="0" w:color="auto"/>
            </w:tcBorders>
            <w:vAlign w:val="center"/>
          </w:tcPr>
          <w:p w:rsidR="008014AA" w:rsidRDefault="008014AA" w:rsidP="007C5949">
            <w:pPr>
              <w:spacing w:before="80" w:after="80"/>
            </w:pPr>
            <w:r>
              <w:rPr>
                <w:b/>
              </w:rPr>
              <w:t>Description:</w:t>
            </w:r>
            <w:r>
              <w:rPr>
                <w:vertAlign w:val="superscript"/>
              </w:rPr>
              <w:t>3</w:t>
            </w:r>
          </w:p>
          <w:p w:rsidR="008014AA" w:rsidRDefault="008014AA" w:rsidP="007C5949">
            <w:pPr>
              <w:pStyle w:val="Header"/>
              <w:tabs>
                <w:tab w:val="clear" w:pos="4320"/>
                <w:tab w:val="clear" w:pos="8640"/>
                <w:tab w:val="right" w:pos="7533"/>
              </w:tabs>
              <w:spacing w:after="120"/>
              <w:rPr>
                <w:u w:val="single"/>
                <w:lang w:eastAsia="it-IT"/>
              </w:rPr>
            </w:pPr>
            <w:r>
              <w:rPr>
                <w:u w:val="single"/>
                <w:lang w:eastAsia="it-IT"/>
              </w:rPr>
              <w:tab/>
            </w:r>
          </w:p>
          <w:p w:rsidR="008014AA" w:rsidRDefault="008014AA" w:rsidP="007C5949">
            <w:pPr>
              <w:tabs>
                <w:tab w:val="right" w:pos="7533"/>
              </w:tabs>
              <w:spacing w:before="120" w:after="120"/>
              <w:rPr>
                <w:u w:val="single"/>
              </w:rPr>
            </w:pPr>
            <w:r>
              <w:rPr>
                <w:u w:val="single"/>
              </w:rPr>
              <w:tab/>
            </w:r>
          </w:p>
        </w:tc>
      </w:tr>
      <w:tr w:rsidR="008014AA" w:rsidTr="007C5949">
        <w:trPr>
          <w:cantSplit/>
          <w:trHeight w:val="1215"/>
          <w:jc w:val="center"/>
        </w:trPr>
        <w:tc>
          <w:tcPr>
            <w:tcW w:w="4536" w:type="dxa"/>
            <w:tcBorders>
              <w:top w:val="double" w:sz="4" w:space="0" w:color="auto"/>
            </w:tcBorders>
            <w:vAlign w:val="center"/>
          </w:tcPr>
          <w:p w:rsidR="008014AA" w:rsidRDefault="008014AA" w:rsidP="007C5949">
            <w:pPr>
              <w:pStyle w:val="Heading8"/>
              <w:spacing w:before="40"/>
              <w:jc w:val="center"/>
            </w:pPr>
            <w:r>
              <w:t>Eléments du coût</w:t>
            </w:r>
          </w:p>
        </w:tc>
        <w:tc>
          <w:tcPr>
            <w:tcW w:w="7940" w:type="dxa"/>
            <w:gridSpan w:val="4"/>
            <w:tcBorders>
              <w:top w:val="double" w:sz="4" w:space="0" w:color="auto"/>
            </w:tcBorders>
            <w:vAlign w:val="center"/>
          </w:tcPr>
          <w:p w:rsidR="008014AA" w:rsidRDefault="008014AA" w:rsidP="007C5949">
            <w:pPr>
              <w:spacing w:before="40" w:after="40"/>
              <w:jc w:val="center"/>
              <w:rPr>
                <w:b/>
                <w:sz w:val="20"/>
              </w:rPr>
            </w:pPr>
            <w:r>
              <w:rPr>
                <w:b/>
              </w:rPr>
              <w:t>Coûts</w:t>
            </w:r>
            <w:r>
              <w:rPr>
                <w:b/>
                <w:sz w:val="20"/>
              </w:rPr>
              <w:t xml:space="preserve"> (FCFA ou DEVISES)</w:t>
            </w:r>
          </w:p>
          <w:p w:rsidR="008014AA" w:rsidRDefault="008014AA" w:rsidP="007C5949">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8014AA" w:rsidTr="007C5949">
        <w:trPr>
          <w:trHeight w:hRule="exact" w:val="397"/>
          <w:jc w:val="center"/>
        </w:trPr>
        <w:tc>
          <w:tcPr>
            <w:tcW w:w="4536" w:type="dxa"/>
            <w:tcBorders>
              <w:top w:val="single" w:sz="12" w:space="0" w:color="auto"/>
              <w:bottom w:val="single" w:sz="8" w:space="0" w:color="auto"/>
            </w:tcBorders>
          </w:tcPr>
          <w:p w:rsidR="008014AA" w:rsidRDefault="008014AA" w:rsidP="007C5949">
            <w:pPr>
              <w:pStyle w:val="Header"/>
              <w:tabs>
                <w:tab w:val="clear" w:pos="4320"/>
                <w:tab w:val="clear" w:pos="8640"/>
              </w:tabs>
              <w:spacing w:before="40" w:after="40"/>
              <w:rPr>
                <w:lang w:eastAsia="it-IT"/>
              </w:rPr>
            </w:pPr>
            <w:r>
              <w:rPr>
                <w:lang w:eastAsia="it-IT"/>
              </w:rPr>
              <w:t>Remunération</w:t>
            </w:r>
            <w:r>
              <w:rPr>
                <w:vertAlign w:val="superscript"/>
                <w:lang w:eastAsia="it-IT"/>
              </w:rPr>
              <w:t>4</w:t>
            </w:r>
          </w:p>
        </w:tc>
        <w:tc>
          <w:tcPr>
            <w:tcW w:w="1985" w:type="dxa"/>
            <w:tcBorders>
              <w:top w:val="single" w:sz="12" w:space="0" w:color="auto"/>
              <w:bottom w:val="single" w:sz="8" w:space="0" w:color="auto"/>
            </w:tcBorders>
          </w:tcPr>
          <w:p w:rsidR="008014AA" w:rsidRDefault="008014AA" w:rsidP="007C5949">
            <w:pPr>
              <w:spacing w:before="40" w:after="40"/>
            </w:pPr>
          </w:p>
        </w:tc>
        <w:tc>
          <w:tcPr>
            <w:tcW w:w="1985" w:type="dxa"/>
            <w:tcBorders>
              <w:top w:val="single" w:sz="12" w:space="0" w:color="auto"/>
              <w:bottom w:val="single" w:sz="8" w:space="0" w:color="auto"/>
            </w:tcBorders>
          </w:tcPr>
          <w:p w:rsidR="008014AA" w:rsidRDefault="008014AA" w:rsidP="007C5949">
            <w:pPr>
              <w:spacing w:before="40" w:after="40"/>
            </w:pPr>
          </w:p>
        </w:tc>
        <w:tc>
          <w:tcPr>
            <w:tcW w:w="1985" w:type="dxa"/>
            <w:tcBorders>
              <w:top w:val="single" w:sz="12" w:space="0" w:color="auto"/>
              <w:bottom w:val="single" w:sz="8" w:space="0" w:color="auto"/>
            </w:tcBorders>
          </w:tcPr>
          <w:p w:rsidR="008014AA" w:rsidRDefault="008014AA" w:rsidP="007C5949">
            <w:pPr>
              <w:spacing w:before="40" w:after="40"/>
            </w:pPr>
          </w:p>
        </w:tc>
        <w:tc>
          <w:tcPr>
            <w:tcW w:w="1985" w:type="dxa"/>
            <w:tcBorders>
              <w:top w:val="single" w:sz="12" w:space="0" w:color="auto"/>
              <w:bottom w:val="single" w:sz="8" w:space="0" w:color="auto"/>
            </w:tcBorders>
          </w:tcPr>
          <w:p w:rsidR="008014AA" w:rsidRDefault="008014AA" w:rsidP="007C5949">
            <w:pPr>
              <w:spacing w:before="40" w:after="40"/>
            </w:pPr>
          </w:p>
        </w:tc>
      </w:tr>
      <w:tr w:rsidR="008014AA" w:rsidTr="007C5949">
        <w:trPr>
          <w:trHeight w:hRule="exact" w:val="397"/>
          <w:jc w:val="center"/>
        </w:trPr>
        <w:tc>
          <w:tcPr>
            <w:tcW w:w="4536" w:type="dxa"/>
            <w:tcBorders>
              <w:top w:val="single" w:sz="8" w:space="0" w:color="auto"/>
              <w:right w:val="single" w:sz="8" w:space="0" w:color="auto"/>
            </w:tcBorders>
            <w:vAlign w:val="center"/>
          </w:tcPr>
          <w:p w:rsidR="008014AA" w:rsidRDefault="008014AA" w:rsidP="007C5949">
            <w:pPr>
              <w:spacing w:before="40" w:after="40"/>
            </w:pPr>
            <w:r>
              <w:t>Frais remboursables</w:t>
            </w:r>
          </w:p>
        </w:tc>
        <w:tc>
          <w:tcPr>
            <w:tcW w:w="1985" w:type="dxa"/>
            <w:tcBorders>
              <w:top w:val="single" w:sz="8" w:space="0" w:color="auto"/>
              <w:left w:val="single" w:sz="8" w:space="0" w:color="auto"/>
              <w:bottom w:val="single" w:sz="8" w:space="0" w:color="auto"/>
              <w:right w:val="single" w:sz="8" w:space="0" w:color="auto"/>
            </w:tcBorders>
          </w:tcPr>
          <w:p w:rsidR="008014AA" w:rsidRDefault="008014AA" w:rsidP="007C5949">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8014AA" w:rsidRDefault="008014AA" w:rsidP="007C5949">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8014AA" w:rsidRDefault="008014AA" w:rsidP="007C5949">
            <w:pPr>
              <w:spacing w:before="40" w:after="40"/>
            </w:pPr>
          </w:p>
        </w:tc>
        <w:tc>
          <w:tcPr>
            <w:tcW w:w="1985" w:type="dxa"/>
            <w:tcBorders>
              <w:top w:val="single" w:sz="8" w:space="0" w:color="auto"/>
              <w:left w:val="single" w:sz="8" w:space="0" w:color="auto"/>
              <w:bottom w:val="single" w:sz="8" w:space="0" w:color="auto"/>
            </w:tcBorders>
          </w:tcPr>
          <w:p w:rsidR="008014AA" w:rsidRDefault="008014AA" w:rsidP="007C5949">
            <w:pPr>
              <w:spacing w:before="40" w:after="40"/>
            </w:pPr>
          </w:p>
        </w:tc>
      </w:tr>
      <w:tr w:rsidR="008014AA" w:rsidTr="007C5949">
        <w:trPr>
          <w:trHeight w:hRule="exact" w:val="397"/>
          <w:jc w:val="center"/>
        </w:trPr>
        <w:tc>
          <w:tcPr>
            <w:tcW w:w="4536" w:type="dxa"/>
            <w:tcBorders>
              <w:top w:val="single" w:sz="8" w:space="0" w:color="auto"/>
            </w:tcBorders>
          </w:tcPr>
          <w:p w:rsidR="008014AA" w:rsidRDefault="008014AA" w:rsidP="007C5949">
            <w:pPr>
              <w:spacing w:before="40" w:after="40"/>
            </w:pPr>
            <w:r>
              <w:t>Totaux partiels</w:t>
            </w:r>
          </w:p>
        </w:tc>
        <w:tc>
          <w:tcPr>
            <w:tcW w:w="1985" w:type="dxa"/>
            <w:tcBorders>
              <w:top w:val="single" w:sz="8" w:space="0" w:color="auto"/>
            </w:tcBorders>
          </w:tcPr>
          <w:p w:rsidR="008014AA" w:rsidRDefault="008014AA" w:rsidP="007C5949">
            <w:pPr>
              <w:pStyle w:val="Header"/>
              <w:tabs>
                <w:tab w:val="clear" w:pos="4320"/>
                <w:tab w:val="clear" w:pos="8640"/>
              </w:tabs>
              <w:spacing w:before="40" w:after="40"/>
              <w:rPr>
                <w:lang w:eastAsia="it-IT"/>
              </w:rPr>
            </w:pPr>
          </w:p>
        </w:tc>
        <w:tc>
          <w:tcPr>
            <w:tcW w:w="1985" w:type="dxa"/>
            <w:tcBorders>
              <w:top w:val="single" w:sz="8" w:space="0" w:color="auto"/>
            </w:tcBorders>
          </w:tcPr>
          <w:p w:rsidR="008014AA" w:rsidRDefault="008014AA" w:rsidP="007C5949">
            <w:pPr>
              <w:spacing w:before="40" w:after="40"/>
            </w:pPr>
          </w:p>
        </w:tc>
        <w:tc>
          <w:tcPr>
            <w:tcW w:w="1985" w:type="dxa"/>
            <w:tcBorders>
              <w:top w:val="single" w:sz="8" w:space="0" w:color="auto"/>
            </w:tcBorders>
          </w:tcPr>
          <w:p w:rsidR="008014AA" w:rsidRDefault="008014AA" w:rsidP="007C5949">
            <w:pPr>
              <w:pStyle w:val="Header"/>
              <w:tabs>
                <w:tab w:val="clear" w:pos="4320"/>
                <w:tab w:val="clear" w:pos="8640"/>
              </w:tabs>
              <w:spacing w:before="40" w:after="40"/>
              <w:rPr>
                <w:lang w:eastAsia="it-IT"/>
              </w:rPr>
            </w:pPr>
          </w:p>
        </w:tc>
        <w:tc>
          <w:tcPr>
            <w:tcW w:w="1985" w:type="dxa"/>
            <w:tcBorders>
              <w:top w:val="single" w:sz="8" w:space="0" w:color="auto"/>
            </w:tcBorders>
          </w:tcPr>
          <w:p w:rsidR="008014AA" w:rsidRDefault="008014AA" w:rsidP="007C5949">
            <w:pPr>
              <w:spacing w:before="40" w:after="40"/>
              <w:jc w:val="center"/>
            </w:pPr>
          </w:p>
        </w:tc>
      </w:tr>
    </w:tbl>
    <w:p w:rsidR="008014AA" w:rsidRDefault="008014AA" w:rsidP="008014AA">
      <w:pPr>
        <w:pStyle w:val="Header"/>
        <w:tabs>
          <w:tab w:val="clear" w:pos="4320"/>
          <w:tab w:val="clear" w:pos="8640"/>
        </w:tabs>
        <w:rPr>
          <w:lang w:eastAsia="it-IT"/>
        </w:rPr>
      </w:pPr>
    </w:p>
    <w:p w:rsidR="008014AA" w:rsidRDefault="008014AA" w:rsidP="008014AA">
      <w:pPr>
        <w:pStyle w:val="FootnoteText"/>
      </w:pPr>
      <w:r>
        <w:t>1</w:t>
      </w:r>
      <w: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Candidat complétera un Formulaire FIN-3 différent pour chaque groupe d’activités. Le total des totaux partiels de tous les Formulaires FIN-3 doit correspondre au Coût total de la Proposition financière indiqué sur le Formulaire FIN-2.</w:t>
      </w:r>
    </w:p>
    <w:p w:rsidR="008014AA" w:rsidRDefault="008014AA" w:rsidP="008014AA">
      <w:pPr>
        <w:pStyle w:val="FootnoteText"/>
        <w:tabs>
          <w:tab w:val="left" w:pos="360"/>
        </w:tabs>
        <w:ind w:left="360" w:hanging="360"/>
      </w:pPr>
      <w:r>
        <w:t>2</w:t>
      </w:r>
      <w:r>
        <w:tab/>
        <w:t>Les noms des activités (Etapes) doivent être le même, ou correspondre, à ceux apparaissant à la deuxième colonne du Formulaire TECH-8.</w:t>
      </w:r>
    </w:p>
    <w:p w:rsidR="008014AA" w:rsidRDefault="008014AA" w:rsidP="008014AA">
      <w:pPr>
        <w:pStyle w:val="FootnoteText"/>
        <w:tabs>
          <w:tab w:val="left" w:pos="360"/>
        </w:tabs>
        <w:ind w:left="360" w:hanging="360"/>
      </w:pPr>
      <w:r>
        <w:t>3</w:t>
      </w:r>
      <w:r>
        <w:tab/>
        <w:t>Brèves descriptions des activités dont la ventilation des coûts figure sur le présent Formulaire.</w:t>
      </w:r>
    </w:p>
    <w:p w:rsidR="008014AA" w:rsidRDefault="008014AA" w:rsidP="008014AA">
      <w:pPr>
        <w:pStyle w:val="FootnoteText"/>
        <w:tabs>
          <w:tab w:val="left" w:pos="360"/>
        </w:tabs>
        <w:ind w:left="360" w:hanging="360"/>
      </w:pPr>
      <w:r>
        <w:t>4</w:t>
      </w:r>
      <w:r>
        <w:tab/>
        <w:t>La Rémunération et les Dépenses remboursables doivent correspondre aux Coûts totaux indiqués dans les Formulaires FIN-4 et FIN-5, respectivement.</w:t>
      </w:r>
    </w:p>
    <w:p w:rsidR="008014AA" w:rsidRDefault="008014AA" w:rsidP="008014AA">
      <w:pPr>
        <w:ind w:right="900"/>
        <w:jc w:val="center"/>
      </w:pPr>
    </w:p>
    <w:p w:rsidR="00EE5CB4" w:rsidRDefault="00EE5CB4" w:rsidP="008014AA">
      <w:pPr>
        <w:ind w:right="900"/>
        <w:jc w:val="center"/>
      </w:pPr>
    </w:p>
    <w:p w:rsidR="00EE5CB4" w:rsidRDefault="00EE5CB4" w:rsidP="008014AA">
      <w:pPr>
        <w:ind w:right="900"/>
        <w:jc w:val="center"/>
      </w:pPr>
    </w:p>
    <w:p w:rsidR="00EE5CB4" w:rsidRDefault="00EE5CB4" w:rsidP="008014AA">
      <w:pPr>
        <w:ind w:right="900"/>
        <w:jc w:val="center"/>
      </w:pPr>
    </w:p>
    <w:p w:rsidR="00EE5CB4" w:rsidRDefault="00EE5CB4" w:rsidP="008014AA">
      <w:pPr>
        <w:ind w:right="900"/>
        <w:jc w:val="center"/>
      </w:pPr>
    </w:p>
    <w:p w:rsidR="00EE5CB4" w:rsidRDefault="00EE5CB4" w:rsidP="008014AA">
      <w:pPr>
        <w:ind w:right="900"/>
        <w:jc w:val="center"/>
      </w:pPr>
    </w:p>
    <w:p w:rsidR="00EE5CB4" w:rsidRDefault="00EE5CB4" w:rsidP="008014AA">
      <w:pPr>
        <w:ind w:right="900"/>
        <w:jc w:val="center"/>
      </w:pPr>
    </w:p>
    <w:p w:rsidR="00EE5CB4" w:rsidRDefault="00EE5CB4" w:rsidP="00EE5CB4">
      <w:pPr>
        <w:jc w:val="center"/>
        <w:rPr>
          <w:rFonts w:ascii="Times New Roman Bold" w:hAnsi="Times New Roman Bold"/>
          <w:b/>
          <w:smallCaps/>
        </w:rPr>
      </w:pPr>
      <w:r>
        <w:rPr>
          <w:b/>
          <w:sz w:val="28"/>
        </w:rPr>
        <w:lastRenderedPageBreak/>
        <w:t>Formulaire FIN-4</w:t>
      </w:r>
      <w:r>
        <w:rPr>
          <w:sz w:val="28"/>
        </w:rPr>
        <w:t xml:space="preserve">. </w:t>
      </w:r>
      <w:r>
        <w:rPr>
          <w:rFonts w:ascii="Times New Roman Bold" w:hAnsi="Times New Roman Bold"/>
          <w:b/>
          <w:smallCaps/>
          <w:sz w:val="28"/>
        </w:rPr>
        <w:t xml:space="preserve">Ventilation de la rémunération </w:t>
      </w:r>
      <w:r>
        <w:rPr>
          <w:rStyle w:val="FootnoteReference"/>
          <w:b/>
          <w:smallCaps/>
        </w:rPr>
        <w:footnoteReference w:customMarkFollows="1" w:id="7"/>
        <w:t>1</w:t>
      </w:r>
    </w:p>
    <w:p w:rsidR="00EE5CB4" w:rsidRDefault="00EE5CB4" w:rsidP="00EE5CB4">
      <w:pPr>
        <w:jc w:val="center"/>
      </w:pPr>
    </w:p>
    <w:p w:rsidR="00EE5CB4" w:rsidRDefault="00EE5CB4" w:rsidP="00EE5CB4">
      <w:pPr>
        <w:jc w:val="center"/>
      </w:pPr>
      <w:r>
        <w:t>(Ce Formulaire FIN-4 est à utiliser uniquement dans le cas où  un Marché au temps passé est inclus dans la DDP)</w:t>
      </w:r>
    </w:p>
    <w:p w:rsidR="00EE5CB4" w:rsidRDefault="00EE5CB4" w:rsidP="00EE5CB4">
      <w:pPr>
        <w:jc w:val="cente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8"/>
        <w:gridCol w:w="1654"/>
        <w:gridCol w:w="1361"/>
        <w:gridCol w:w="1565"/>
        <w:gridCol w:w="1384"/>
        <w:gridCol w:w="1531"/>
        <w:gridCol w:w="1531"/>
        <w:gridCol w:w="1583"/>
      </w:tblGrid>
      <w:tr w:rsidR="00EE5CB4" w:rsidTr="007C5949">
        <w:trPr>
          <w:cantSplit/>
          <w:jc w:val="center"/>
        </w:trPr>
        <w:tc>
          <w:tcPr>
            <w:tcW w:w="12707" w:type="dxa"/>
            <w:gridSpan w:val="8"/>
            <w:tcBorders>
              <w:top w:val="double" w:sz="4" w:space="0" w:color="auto"/>
              <w:bottom w:val="double" w:sz="4" w:space="0" w:color="auto"/>
            </w:tcBorders>
            <w:vAlign w:val="center"/>
          </w:tcPr>
          <w:p w:rsidR="00EE5CB4" w:rsidRDefault="00EE5CB4" w:rsidP="007C5949">
            <w:pPr>
              <w:pStyle w:val="Header"/>
              <w:tabs>
                <w:tab w:val="clear" w:pos="4320"/>
                <w:tab w:val="clear" w:pos="8640"/>
                <w:tab w:val="right" w:pos="12070"/>
              </w:tabs>
              <w:spacing w:before="120" w:after="120"/>
              <w:rPr>
                <w:u w:val="single"/>
              </w:rPr>
            </w:pPr>
            <w:r>
              <w:rPr>
                <w:b/>
              </w:rPr>
              <w:t>Groupe d'activités (Etapes):</w:t>
            </w:r>
            <w:r>
              <w:rPr>
                <w:u w:val="single"/>
              </w:rPr>
              <w:tab/>
            </w:r>
          </w:p>
        </w:tc>
      </w:tr>
      <w:tr w:rsidR="00EE5CB4" w:rsidRPr="00232693" w:rsidTr="007C5949">
        <w:trPr>
          <w:jc w:val="center"/>
        </w:trPr>
        <w:tc>
          <w:tcPr>
            <w:tcW w:w="2098" w:type="dxa"/>
            <w:tcBorders>
              <w:top w:val="double" w:sz="4" w:space="0" w:color="auto"/>
              <w:bottom w:val="single" w:sz="12" w:space="0" w:color="auto"/>
            </w:tcBorders>
            <w:vAlign w:val="center"/>
          </w:tcPr>
          <w:p w:rsidR="00EE5CB4" w:rsidRDefault="00EE5CB4" w:rsidP="007C5949">
            <w:pPr>
              <w:spacing w:before="40" w:after="40"/>
              <w:jc w:val="center"/>
              <w:rPr>
                <w:b/>
                <w:sz w:val="20"/>
                <w:lang w:val="en-GB"/>
              </w:rPr>
            </w:pPr>
            <w:r>
              <w:rPr>
                <w:b/>
                <w:sz w:val="20"/>
                <w:lang w:val="en-GB"/>
              </w:rPr>
              <w:t>Nom</w:t>
            </w:r>
            <w:r>
              <w:rPr>
                <w:vertAlign w:val="superscript"/>
                <w:lang w:val="en-GB"/>
              </w:rPr>
              <w:t>2</w:t>
            </w:r>
          </w:p>
        </w:tc>
        <w:tc>
          <w:tcPr>
            <w:tcW w:w="1654" w:type="dxa"/>
            <w:tcBorders>
              <w:top w:val="double" w:sz="4" w:space="0" w:color="auto"/>
              <w:bottom w:val="single" w:sz="12" w:space="0" w:color="auto"/>
            </w:tcBorders>
            <w:vAlign w:val="center"/>
          </w:tcPr>
          <w:p w:rsidR="00EE5CB4" w:rsidRDefault="00EE5CB4" w:rsidP="007C5949">
            <w:pPr>
              <w:spacing w:before="40" w:after="40"/>
              <w:jc w:val="center"/>
              <w:rPr>
                <w:b/>
                <w:sz w:val="20"/>
                <w:lang w:val="en-GB"/>
              </w:rPr>
            </w:pPr>
            <w:r>
              <w:rPr>
                <w:b/>
                <w:sz w:val="20"/>
                <w:lang w:val="en-GB"/>
              </w:rPr>
              <w:t>Poste</w:t>
            </w:r>
            <w:r>
              <w:rPr>
                <w:vertAlign w:val="superscript"/>
                <w:lang w:val="en-GB"/>
              </w:rPr>
              <w:t>3</w:t>
            </w:r>
          </w:p>
        </w:tc>
        <w:tc>
          <w:tcPr>
            <w:tcW w:w="1361" w:type="dxa"/>
            <w:tcBorders>
              <w:top w:val="double" w:sz="4" w:space="0" w:color="auto"/>
              <w:bottom w:val="single" w:sz="12" w:space="0" w:color="auto"/>
            </w:tcBorders>
            <w:vAlign w:val="center"/>
          </w:tcPr>
          <w:p w:rsidR="00EE5CB4" w:rsidRDefault="00EE5CB4" w:rsidP="007C5949">
            <w:pPr>
              <w:spacing w:before="40" w:after="40"/>
              <w:jc w:val="center"/>
              <w:rPr>
                <w:b/>
                <w:sz w:val="20"/>
                <w:lang w:val="en-GB"/>
              </w:rPr>
            </w:pPr>
            <w:r w:rsidRPr="008072D2">
              <w:rPr>
                <w:b/>
                <w:sz w:val="20"/>
              </w:rPr>
              <w:t xml:space="preserve">Taux </w:t>
            </w:r>
            <w:r>
              <w:rPr>
                <w:b/>
                <w:sz w:val="20"/>
                <w:lang w:val="en-GB"/>
              </w:rPr>
              <w:t>personnel/</w:t>
            </w:r>
          </w:p>
          <w:p w:rsidR="00EE5CB4" w:rsidRDefault="00EE5CB4" w:rsidP="007C5949">
            <w:pPr>
              <w:spacing w:before="40" w:after="40"/>
              <w:jc w:val="center"/>
              <w:rPr>
                <w:b/>
                <w:sz w:val="20"/>
                <w:lang w:val="en-GB"/>
              </w:rPr>
            </w:pPr>
            <w:r>
              <w:rPr>
                <w:b/>
                <w:sz w:val="20"/>
                <w:lang w:val="en-GB"/>
              </w:rPr>
              <w:t>mois</w:t>
            </w:r>
            <w:r>
              <w:rPr>
                <w:vertAlign w:val="superscript"/>
                <w:lang w:val="en-GB"/>
              </w:rPr>
              <w:t>4</w:t>
            </w:r>
          </w:p>
        </w:tc>
        <w:tc>
          <w:tcPr>
            <w:tcW w:w="1565" w:type="dxa"/>
            <w:tcBorders>
              <w:top w:val="double" w:sz="4" w:space="0" w:color="auto"/>
              <w:bottom w:val="single" w:sz="12" w:space="0" w:color="auto"/>
            </w:tcBorders>
            <w:vAlign w:val="center"/>
          </w:tcPr>
          <w:p w:rsidR="00EE5CB4" w:rsidRPr="008072D2" w:rsidRDefault="00EE5CB4" w:rsidP="007C5949">
            <w:pPr>
              <w:spacing w:before="40" w:after="40"/>
              <w:jc w:val="center"/>
              <w:rPr>
                <w:b/>
                <w:sz w:val="20"/>
              </w:rPr>
            </w:pPr>
            <w:r w:rsidRPr="008072D2">
              <w:rPr>
                <w:b/>
                <w:sz w:val="20"/>
              </w:rPr>
              <w:t>Temps passé</w:t>
            </w:r>
            <w:r w:rsidRPr="008072D2">
              <w:rPr>
                <w:vertAlign w:val="superscript"/>
              </w:rPr>
              <w:t>5</w:t>
            </w:r>
          </w:p>
          <w:p w:rsidR="00EE5CB4" w:rsidRPr="008072D2" w:rsidRDefault="00EE5CB4" w:rsidP="007C5949">
            <w:pPr>
              <w:spacing w:before="40" w:after="40"/>
              <w:jc w:val="center"/>
              <w:rPr>
                <w:sz w:val="20"/>
              </w:rPr>
            </w:pPr>
            <w:r w:rsidRPr="008072D2">
              <w:rPr>
                <w:sz w:val="20"/>
              </w:rPr>
              <w:t>(</w:t>
            </w:r>
            <w:proofErr w:type="spellStart"/>
            <w:r w:rsidRPr="008072D2">
              <w:rPr>
                <w:sz w:val="20"/>
              </w:rPr>
              <w:t>Persx</w:t>
            </w:r>
            <w:proofErr w:type="spellEnd"/>
            <w:r w:rsidRPr="008072D2">
              <w:rPr>
                <w:sz w:val="20"/>
              </w:rPr>
              <w:t>/mois)</w:t>
            </w:r>
          </w:p>
        </w:tc>
        <w:tc>
          <w:tcPr>
            <w:tcW w:w="6029" w:type="dxa"/>
            <w:gridSpan w:val="4"/>
            <w:tcBorders>
              <w:top w:val="double" w:sz="4" w:space="0" w:color="auto"/>
              <w:bottom w:val="single" w:sz="12" w:space="0" w:color="auto"/>
            </w:tcBorders>
            <w:vAlign w:val="center"/>
          </w:tcPr>
          <w:p w:rsidR="00EE5CB4" w:rsidRDefault="00EE5CB4" w:rsidP="007C5949">
            <w:pPr>
              <w:spacing w:before="40" w:after="40"/>
              <w:jc w:val="center"/>
              <w:rPr>
                <w:b/>
                <w:sz w:val="20"/>
              </w:rPr>
            </w:pPr>
            <w:r>
              <w:rPr>
                <w:b/>
                <w:sz w:val="20"/>
              </w:rPr>
              <w:t>COUTS (FCFA ou DEVISES)</w:t>
            </w:r>
            <w:r w:rsidRPr="00232693">
              <w:rPr>
                <w:vertAlign w:val="superscript"/>
              </w:rPr>
              <w:t xml:space="preserve"> 6</w:t>
            </w:r>
          </w:p>
          <w:p w:rsidR="00EE5CB4" w:rsidRPr="00232693" w:rsidRDefault="00EE5CB4" w:rsidP="007C5949">
            <w:pPr>
              <w:spacing w:before="40" w:after="40"/>
              <w:jc w:val="center"/>
              <w:rPr>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 xml:space="preserve">et peuvent porter, selon les cas, </w:t>
            </w:r>
            <w:r>
              <w:rPr>
                <w:i/>
                <w:sz w:val="20"/>
              </w:rPr>
              <w:t xml:space="preserve">sur les coûts </w:t>
            </w:r>
            <w:r w:rsidRPr="00333736">
              <w:rPr>
                <w:i/>
                <w:sz w:val="20"/>
              </w:rPr>
              <w:t>hors TVA, les coûts en</w:t>
            </w:r>
            <w:r>
              <w:rPr>
                <w:i/>
                <w:sz w:val="20"/>
              </w:rPr>
              <w:t xml:space="preserve"> toutes taxes comprises et </w:t>
            </w:r>
            <w:r w:rsidRPr="00333736">
              <w:rPr>
                <w:i/>
                <w:sz w:val="20"/>
              </w:rPr>
              <w:t xml:space="preserve"> les coûts équivalents en devises)</w:t>
            </w:r>
          </w:p>
        </w:tc>
      </w:tr>
      <w:tr w:rsidR="00EE5CB4" w:rsidTr="007C5949">
        <w:trPr>
          <w:cantSplit/>
          <w:trHeight w:hRule="exact" w:val="284"/>
          <w:jc w:val="center"/>
        </w:trPr>
        <w:tc>
          <w:tcPr>
            <w:tcW w:w="2098" w:type="dxa"/>
            <w:tcBorders>
              <w:top w:val="single" w:sz="12" w:space="0" w:color="auto"/>
              <w:bottom w:val="single" w:sz="6" w:space="0" w:color="auto"/>
              <w:right w:val="nil"/>
            </w:tcBorders>
            <w:vAlign w:val="bottom"/>
          </w:tcPr>
          <w:p w:rsidR="00EE5CB4" w:rsidRDefault="00EE5CB4" w:rsidP="007C5949">
            <w:pPr>
              <w:pStyle w:val="Header"/>
              <w:tabs>
                <w:tab w:val="clear" w:pos="4320"/>
                <w:tab w:val="clear" w:pos="8640"/>
              </w:tabs>
              <w:rPr>
                <w:b/>
                <w:lang w:eastAsia="it-IT"/>
              </w:rPr>
            </w:pPr>
            <w:r>
              <w:rPr>
                <w:b/>
                <w:sz w:val="20"/>
                <w:lang w:eastAsia="it-IT"/>
              </w:rPr>
              <w:t>Personnel Etranger</w:t>
            </w:r>
          </w:p>
        </w:tc>
        <w:tc>
          <w:tcPr>
            <w:tcW w:w="1654" w:type="dxa"/>
            <w:tcBorders>
              <w:top w:val="single" w:sz="12" w:space="0" w:color="auto"/>
              <w:left w:val="nil"/>
              <w:bottom w:val="single" w:sz="6" w:space="0" w:color="auto"/>
              <w:right w:val="nil"/>
            </w:tcBorders>
            <w:vAlign w:val="center"/>
          </w:tcPr>
          <w:p w:rsidR="00EE5CB4" w:rsidRDefault="00EE5CB4" w:rsidP="007C5949">
            <w:pPr>
              <w:pStyle w:val="Header"/>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rsidR="00EE5CB4" w:rsidRDefault="00EE5CB4" w:rsidP="007C5949">
            <w:pPr>
              <w:pStyle w:val="Header"/>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rsidR="00EE5CB4" w:rsidRDefault="00EE5CB4" w:rsidP="007C5949">
            <w:pPr>
              <w:pStyle w:val="Header"/>
              <w:tabs>
                <w:tab w:val="clear" w:pos="4320"/>
                <w:tab w:val="clear" w:pos="8640"/>
              </w:tabs>
              <w:rPr>
                <w:lang w:eastAsia="it-IT"/>
              </w:rPr>
            </w:pPr>
          </w:p>
        </w:tc>
        <w:tc>
          <w:tcPr>
            <w:tcW w:w="1384" w:type="dxa"/>
            <w:tcBorders>
              <w:top w:val="single" w:sz="12" w:space="0" w:color="auto"/>
              <w:left w:val="nil"/>
              <w:bottom w:val="single" w:sz="6" w:space="0" w:color="auto"/>
              <w:right w:val="nil"/>
            </w:tcBorders>
            <w:vAlign w:val="center"/>
          </w:tcPr>
          <w:p w:rsidR="00EE5CB4" w:rsidRDefault="00EE5CB4" w:rsidP="007C5949">
            <w:pPr>
              <w:pStyle w:val="Header"/>
              <w:tabs>
                <w:tab w:val="clear" w:pos="4320"/>
                <w:tab w:val="clear" w:pos="8640"/>
              </w:tabs>
              <w:rPr>
                <w:lang w:eastAsia="it-IT"/>
              </w:rPr>
            </w:pPr>
          </w:p>
        </w:tc>
        <w:tc>
          <w:tcPr>
            <w:tcW w:w="1531" w:type="dxa"/>
            <w:tcBorders>
              <w:top w:val="single" w:sz="12" w:space="0" w:color="auto"/>
              <w:left w:val="nil"/>
              <w:bottom w:val="single" w:sz="6" w:space="0" w:color="auto"/>
              <w:right w:val="nil"/>
            </w:tcBorders>
            <w:vAlign w:val="center"/>
          </w:tcPr>
          <w:p w:rsidR="00EE5CB4" w:rsidRDefault="00EE5CB4" w:rsidP="007C5949">
            <w:pPr>
              <w:pStyle w:val="Header"/>
              <w:tabs>
                <w:tab w:val="clear" w:pos="4320"/>
                <w:tab w:val="clear" w:pos="8640"/>
              </w:tabs>
              <w:rPr>
                <w:lang w:eastAsia="it-IT"/>
              </w:rPr>
            </w:pPr>
          </w:p>
        </w:tc>
        <w:tc>
          <w:tcPr>
            <w:tcW w:w="1531" w:type="dxa"/>
            <w:tcBorders>
              <w:top w:val="single" w:sz="12" w:space="0" w:color="auto"/>
              <w:left w:val="nil"/>
              <w:bottom w:val="single" w:sz="6" w:space="0" w:color="auto"/>
              <w:right w:val="nil"/>
            </w:tcBorders>
            <w:vAlign w:val="center"/>
          </w:tcPr>
          <w:p w:rsidR="00EE5CB4" w:rsidRDefault="00EE5CB4" w:rsidP="007C5949">
            <w:pPr>
              <w:pStyle w:val="Header"/>
              <w:tabs>
                <w:tab w:val="clear" w:pos="4320"/>
                <w:tab w:val="clear" w:pos="8640"/>
              </w:tabs>
              <w:rPr>
                <w:lang w:eastAsia="it-IT"/>
              </w:rPr>
            </w:pPr>
          </w:p>
        </w:tc>
        <w:tc>
          <w:tcPr>
            <w:tcW w:w="1583" w:type="dxa"/>
            <w:tcBorders>
              <w:top w:val="single" w:sz="12" w:space="0" w:color="auto"/>
              <w:left w:val="nil"/>
              <w:bottom w:val="single" w:sz="6" w:space="0" w:color="auto"/>
            </w:tcBorders>
            <w:vAlign w:val="center"/>
          </w:tcPr>
          <w:p w:rsidR="00EE5CB4" w:rsidRDefault="00EE5CB4" w:rsidP="007C5949">
            <w:pPr>
              <w:pStyle w:val="Header"/>
              <w:tabs>
                <w:tab w:val="clear" w:pos="4320"/>
                <w:tab w:val="clear" w:pos="8640"/>
              </w:tabs>
              <w:rPr>
                <w:lang w:eastAsia="it-IT"/>
              </w:rPr>
            </w:pPr>
          </w:p>
        </w:tc>
      </w:tr>
      <w:tr w:rsidR="00EE5CB4" w:rsidTr="007C5949">
        <w:trPr>
          <w:cantSplit/>
          <w:jc w:val="center"/>
        </w:trPr>
        <w:tc>
          <w:tcPr>
            <w:tcW w:w="2098" w:type="dxa"/>
            <w:vMerge w:val="restart"/>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single" w:sz="6" w:space="0" w:color="auto"/>
              <w:bottom w:val="dashSmallGap" w:sz="4" w:space="0" w:color="auto"/>
            </w:tcBorders>
            <w:vAlign w:val="center"/>
          </w:tcPr>
          <w:p w:rsidR="00EE5CB4" w:rsidRPr="008B2B1F" w:rsidRDefault="00EE5CB4" w:rsidP="007C5949">
            <w:pPr>
              <w:rPr>
                <w:sz w:val="16"/>
              </w:rPr>
            </w:pPr>
            <w:r w:rsidRPr="008B2B1F">
              <w:rPr>
                <w:sz w:val="16"/>
              </w:rPr>
              <w:t>[Siège]</w:t>
            </w:r>
          </w:p>
        </w:tc>
        <w:tc>
          <w:tcPr>
            <w:tcW w:w="1565" w:type="dxa"/>
            <w:tcBorders>
              <w:top w:val="single" w:sz="6" w:space="0" w:color="auto"/>
              <w:bottom w:val="dashSmallGap" w:sz="4"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tcBorders>
              <w:top w:val="single" w:sz="6" w:space="0" w:color="auto"/>
              <w:bottom w:val="single" w:sz="6" w:space="0" w:color="auto"/>
            </w:tcBorders>
            <w:vAlign w:val="center"/>
          </w:tcPr>
          <w:p w:rsidR="00EE5CB4" w:rsidRDefault="00EE5CB4" w:rsidP="007C5949">
            <w:pPr>
              <w:rPr>
                <w:sz w:val="20"/>
                <w:lang w:val="en-GB"/>
              </w:rPr>
            </w:pPr>
          </w:p>
        </w:tc>
        <w:tc>
          <w:tcPr>
            <w:tcW w:w="1531" w:type="dxa"/>
            <w:tcBorders>
              <w:top w:val="single" w:sz="6" w:space="0" w:color="auto"/>
              <w:bottom w:val="single" w:sz="6" w:space="0" w:color="auto"/>
            </w:tcBorders>
            <w:vAlign w:val="center"/>
          </w:tcPr>
          <w:p w:rsidR="00EE5CB4" w:rsidRDefault="00EE5CB4" w:rsidP="007C5949">
            <w:pPr>
              <w:rPr>
                <w:sz w:val="20"/>
                <w:lang w:val="en-GB"/>
              </w:rPr>
            </w:pPr>
          </w:p>
        </w:tc>
        <w:tc>
          <w:tcPr>
            <w:tcW w:w="1531" w:type="dxa"/>
            <w:tcBorders>
              <w:top w:val="single" w:sz="6" w:space="0" w:color="auto"/>
              <w:bottom w:val="single" w:sz="6" w:space="0" w:color="auto"/>
            </w:tcBorders>
            <w:vAlign w:val="center"/>
          </w:tcPr>
          <w:p w:rsidR="00EE5CB4" w:rsidRDefault="00EE5CB4" w:rsidP="007C5949">
            <w:pPr>
              <w:rPr>
                <w:sz w:val="20"/>
                <w:lang w:val="en-GB"/>
              </w:rPr>
            </w:pPr>
          </w:p>
        </w:tc>
        <w:tc>
          <w:tcPr>
            <w:tcW w:w="1583"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r>
      <w:tr w:rsidR="00EE5CB4" w:rsidTr="007C5949">
        <w:trPr>
          <w:cantSplit/>
          <w:jc w:val="center"/>
        </w:trPr>
        <w:tc>
          <w:tcPr>
            <w:tcW w:w="2098" w:type="dxa"/>
            <w:vMerge/>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dashSmallGap" w:sz="4" w:space="0" w:color="auto"/>
              <w:bottom w:val="single" w:sz="6" w:space="0" w:color="auto"/>
            </w:tcBorders>
            <w:vAlign w:val="center"/>
          </w:tcPr>
          <w:p w:rsidR="00EE5CB4" w:rsidRDefault="00EE5CB4" w:rsidP="007C5949">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83" w:type="dxa"/>
            <w:tcBorders>
              <w:top w:val="single" w:sz="6" w:space="0" w:color="auto"/>
              <w:bottom w:val="single" w:sz="6" w:space="0" w:color="auto"/>
            </w:tcBorders>
            <w:vAlign w:val="center"/>
          </w:tcPr>
          <w:p w:rsidR="00EE5CB4" w:rsidRDefault="00EE5CB4" w:rsidP="007C5949">
            <w:pPr>
              <w:rPr>
                <w:sz w:val="20"/>
                <w:lang w:val="en-GB"/>
              </w:rPr>
            </w:pPr>
          </w:p>
        </w:tc>
      </w:tr>
      <w:tr w:rsidR="00EE5CB4" w:rsidTr="007C5949">
        <w:trPr>
          <w:cantSplit/>
          <w:jc w:val="center"/>
        </w:trPr>
        <w:tc>
          <w:tcPr>
            <w:tcW w:w="2098" w:type="dxa"/>
            <w:vMerge w:val="restart"/>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single" w:sz="6" w:space="0" w:color="auto"/>
              <w:bottom w:val="dashSmallGap" w:sz="4" w:space="0" w:color="auto"/>
            </w:tcBorders>
            <w:vAlign w:val="center"/>
          </w:tcPr>
          <w:p w:rsidR="00EE5CB4" w:rsidRDefault="00EE5CB4" w:rsidP="007C5949">
            <w:pPr>
              <w:rPr>
                <w:sz w:val="20"/>
                <w:lang w:val="en-GB"/>
              </w:rPr>
            </w:pPr>
          </w:p>
        </w:tc>
        <w:tc>
          <w:tcPr>
            <w:tcW w:w="1565" w:type="dxa"/>
            <w:tcBorders>
              <w:top w:val="single" w:sz="6" w:space="0" w:color="auto"/>
              <w:bottom w:val="dashSmallGap" w:sz="4"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tcBorders>
              <w:top w:val="single" w:sz="6" w:space="0" w:color="auto"/>
              <w:bottom w:val="single" w:sz="6" w:space="0" w:color="auto"/>
            </w:tcBorders>
            <w:vAlign w:val="center"/>
          </w:tcPr>
          <w:p w:rsidR="00EE5CB4" w:rsidRDefault="00EE5CB4" w:rsidP="007C5949">
            <w:pPr>
              <w:rPr>
                <w:sz w:val="20"/>
                <w:lang w:val="en-GB"/>
              </w:rPr>
            </w:pPr>
          </w:p>
        </w:tc>
        <w:tc>
          <w:tcPr>
            <w:tcW w:w="1531" w:type="dxa"/>
            <w:tcBorders>
              <w:top w:val="single" w:sz="6" w:space="0" w:color="auto"/>
              <w:bottom w:val="single" w:sz="6" w:space="0" w:color="auto"/>
            </w:tcBorders>
            <w:vAlign w:val="center"/>
          </w:tcPr>
          <w:p w:rsidR="00EE5CB4" w:rsidRDefault="00EE5CB4" w:rsidP="007C5949">
            <w:pPr>
              <w:rPr>
                <w:sz w:val="20"/>
                <w:lang w:val="en-GB"/>
              </w:rPr>
            </w:pPr>
          </w:p>
        </w:tc>
        <w:tc>
          <w:tcPr>
            <w:tcW w:w="1531" w:type="dxa"/>
            <w:tcBorders>
              <w:top w:val="single" w:sz="6" w:space="0" w:color="auto"/>
              <w:bottom w:val="single" w:sz="6" w:space="0" w:color="auto"/>
            </w:tcBorders>
            <w:vAlign w:val="center"/>
          </w:tcPr>
          <w:p w:rsidR="00EE5CB4" w:rsidRDefault="00EE5CB4" w:rsidP="007C5949">
            <w:pPr>
              <w:rPr>
                <w:sz w:val="20"/>
                <w:lang w:val="en-GB"/>
              </w:rPr>
            </w:pPr>
          </w:p>
        </w:tc>
        <w:tc>
          <w:tcPr>
            <w:tcW w:w="1583"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r>
      <w:tr w:rsidR="00EE5CB4" w:rsidTr="007C5949">
        <w:trPr>
          <w:cantSplit/>
          <w:jc w:val="center"/>
        </w:trPr>
        <w:tc>
          <w:tcPr>
            <w:tcW w:w="2098" w:type="dxa"/>
            <w:vMerge/>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dashSmallGap" w:sz="4" w:space="0" w:color="auto"/>
              <w:bottom w:val="single" w:sz="6" w:space="0" w:color="auto"/>
            </w:tcBorders>
            <w:vAlign w:val="center"/>
          </w:tcPr>
          <w:p w:rsidR="00EE5CB4" w:rsidRDefault="00EE5CB4" w:rsidP="007C5949">
            <w:pPr>
              <w:rPr>
                <w:sz w:val="20"/>
                <w:lang w:val="en-GB"/>
              </w:rPr>
            </w:pPr>
          </w:p>
        </w:tc>
        <w:tc>
          <w:tcPr>
            <w:tcW w:w="1565" w:type="dxa"/>
            <w:tcBorders>
              <w:top w:val="dashSmallGap" w:sz="4"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83" w:type="dxa"/>
            <w:tcBorders>
              <w:top w:val="single" w:sz="6" w:space="0" w:color="auto"/>
              <w:bottom w:val="single" w:sz="6" w:space="0" w:color="auto"/>
            </w:tcBorders>
            <w:vAlign w:val="center"/>
          </w:tcPr>
          <w:p w:rsidR="00EE5CB4" w:rsidRDefault="00EE5CB4" w:rsidP="007C5949">
            <w:pPr>
              <w:rPr>
                <w:sz w:val="20"/>
                <w:lang w:val="en-GB"/>
              </w:rPr>
            </w:pPr>
          </w:p>
        </w:tc>
      </w:tr>
      <w:tr w:rsidR="00EE5CB4" w:rsidTr="007C5949">
        <w:trPr>
          <w:cantSplit/>
          <w:jc w:val="center"/>
        </w:trPr>
        <w:tc>
          <w:tcPr>
            <w:tcW w:w="2098" w:type="dxa"/>
            <w:vMerge w:val="restart"/>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single" w:sz="6" w:space="0" w:color="auto"/>
              <w:bottom w:val="dashSmallGap" w:sz="4" w:space="0" w:color="auto"/>
            </w:tcBorders>
            <w:vAlign w:val="center"/>
          </w:tcPr>
          <w:p w:rsidR="00EE5CB4" w:rsidRDefault="00EE5CB4" w:rsidP="007C5949">
            <w:pPr>
              <w:rPr>
                <w:sz w:val="20"/>
                <w:lang w:val="en-GB"/>
              </w:rPr>
            </w:pPr>
          </w:p>
        </w:tc>
        <w:tc>
          <w:tcPr>
            <w:tcW w:w="1565" w:type="dxa"/>
            <w:tcBorders>
              <w:top w:val="single" w:sz="6" w:space="0" w:color="auto"/>
              <w:bottom w:val="dashSmallGap" w:sz="4"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tcBorders>
              <w:top w:val="single" w:sz="6" w:space="0" w:color="auto"/>
              <w:bottom w:val="single" w:sz="6" w:space="0" w:color="auto"/>
            </w:tcBorders>
            <w:vAlign w:val="center"/>
          </w:tcPr>
          <w:p w:rsidR="00EE5CB4" w:rsidRDefault="00EE5CB4" w:rsidP="007C5949">
            <w:pPr>
              <w:rPr>
                <w:sz w:val="20"/>
                <w:lang w:val="en-GB"/>
              </w:rPr>
            </w:pPr>
          </w:p>
        </w:tc>
        <w:tc>
          <w:tcPr>
            <w:tcW w:w="1531" w:type="dxa"/>
            <w:tcBorders>
              <w:top w:val="single" w:sz="6" w:space="0" w:color="auto"/>
              <w:bottom w:val="single" w:sz="6" w:space="0" w:color="auto"/>
            </w:tcBorders>
            <w:vAlign w:val="center"/>
          </w:tcPr>
          <w:p w:rsidR="00EE5CB4" w:rsidRDefault="00EE5CB4" w:rsidP="007C5949">
            <w:pPr>
              <w:rPr>
                <w:sz w:val="20"/>
                <w:lang w:val="en-GB"/>
              </w:rPr>
            </w:pPr>
          </w:p>
        </w:tc>
        <w:tc>
          <w:tcPr>
            <w:tcW w:w="1531" w:type="dxa"/>
            <w:tcBorders>
              <w:top w:val="single" w:sz="6" w:space="0" w:color="auto"/>
              <w:bottom w:val="single" w:sz="6" w:space="0" w:color="auto"/>
            </w:tcBorders>
            <w:vAlign w:val="center"/>
          </w:tcPr>
          <w:p w:rsidR="00EE5CB4" w:rsidRDefault="00EE5CB4" w:rsidP="007C5949">
            <w:pPr>
              <w:rPr>
                <w:sz w:val="20"/>
                <w:lang w:val="en-GB"/>
              </w:rPr>
            </w:pPr>
          </w:p>
        </w:tc>
        <w:tc>
          <w:tcPr>
            <w:tcW w:w="1583"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r>
      <w:tr w:rsidR="00EE5CB4" w:rsidTr="007C5949">
        <w:trPr>
          <w:cantSplit/>
          <w:jc w:val="center"/>
        </w:trPr>
        <w:tc>
          <w:tcPr>
            <w:tcW w:w="2098" w:type="dxa"/>
            <w:vMerge/>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dashSmallGap" w:sz="4" w:space="0" w:color="auto"/>
              <w:bottom w:val="single" w:sz="6" w:space="0" w:color="auto"/>
            </w:tcBorders>
            <w:vAlign w:val="center"/>
          </w:tcPr>
          <w:p w:rsidR="00EE5CB4" w:rsidRDefault="00EE5CB4" w:rsidP="007C5949">
            <w:pPr>
              <w:rPr>
                <w:sz w:val="20"/>
                <w:lang w:val="en-GB"/>
              </w:rPr>
            </w:pPr>
          </w:p>
        </w:tc>
        <w:tc>
          <w:tcPr>
            <w:tcW w:w="1565" w:type="dxa"/>
            <w:tcBorders>
              <w:top w:val="dashSmallGap" w:sz="4"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83" w:type="dxa"/>
            <w:tcBorders>
              <w:top w:val="single" w:sz="6" w:space="0" w:color="auto"/>
              <w:bottom w:val="single" w:sz="6" w:space="0" w:color="auto"/>
            </w:tcBorders>
            <w:vAlign w:val="center"/>
          </w:tcPr>
          <w:p w:rsidR="00EE5CB4" w:rsidRDefault="00EE5CB4" w:rsidP="007C5949">
            <w:pPr>
              <w:rPr>
                <w:sz w:val="20"/>
                <w:lang w:val="en-GB"/>
              </w:rPr>
            </w:pPr>
          </w:p>
        </w:tc>
      </w:tr>
      <w:tr w:rsidR="00EE5CB4" w:rsidTr="007C5949">
        <w:trPr>
          <w:cantSplit/>
          <w:jc w:val="center"/>
        </w:trPr>
        <w:tc>
          <w:tcPr>
            <w:tcW w:w="2098" w:type="dxa"/>
            <w:vMerge w:val="restart"/>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single" w:sz="6" w:space="0" w:color="auto"/>
              <w:bottom w:val="dashSmallGap" w:sz="4" w:space="0" w:color="auto"/>
            </w:tcBorders>
            <w:vAlign w:val="center"/>
          </w:tcPr>
          <w:p w:rsidR="00EE5CB4" w:rsidRDefault="00EE5CB4" w:rsidP="007C5949">
            <w:pPr>
              <w:rPr>
                <w:sz w:val="20"/>
                <w:lang w:val="en-GB"/>
              </w:rPr>
            </w:pPr>
          </w:p>
        </w:tc>
        <w:tc>
          <w:tcPr>
            <w:tcW w:w="1565" w:type="dxa"/>
            <w:tcBorders>
              <w:top w:val="single" w:sz="6" w:space="0" w:color="auto"/>
              <w:bottom w:val="dashSmallGap" w:sz="4"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tcBorders>
              <w:top w:val="single" w:sz="6" w:space="0" w:color="auto"/>
              <w:bottom w:val="single" w:sz="6" w:space="0" w:color="auto"/>
            </w:tcBorders>
            <w:vAlign w:val="center"/>
          </w:tcPr>
          <w:p w:rsidR="00EE5CB4" w:rsidRDefault="00EE5CB4" w:rsidP="007C5949">
            <w:pPr>
              <w:rPr>
                <w:sz w:val="20"/>
                <w:lang w:val="en-GB"/>
              </w:rPr>
            </w:pPr>
          </w:p>
        </w:tc>
        <w:tc>
          <w:tcPr>
            <w:tcW w:w="1531" w:type="dxa"/>
            <w:tcBorders>
              <w:top w:val="single" w:sz="6" w:space="0" w:color="auto"/>
              <w:bottom w:val="single" w:sz="6" w:space="0" w:color="auto"/>
            </w:tcBorders>
            <w:vAlign w:val="center"/>
          </w:tcPr>
          <w:p w:rsidR="00EE5CB4" w:rsidRDefault="00EE5CB4" w:rsidP="007C5949">
            <w:pPr>
              <w:rPr>
                <w:sz w:val="20"/>
                <w:lang w:val="en-GB"/>
              </w:rPr>
            </w:pPr>
          </w:p>
        </w:tc>
        <w:tc>
          <w:tcPr>
            <w:tcW w:w="1531" w:type="dxa"/>
            <w:tcBorders>
              <w:top w:val="single" w:sz="6" w:space="0" w:color="auto"/>
              <w:bottom w:val="single" w:sz="6" w:space="0" w:color="auto"/>
            </w:tcBorders>
            <w:vAlign w:val="center"/>
          </w:tcPr>
          <w:p w:rsidR="00EE5CB4" w:rsidRDefault="00EE5CB4" w:rsidP="007C5949">
            <w:pPr>
              <w:rPr>
                <w:sz w:val="20"/>
                <w:lang w:val="en-GB"/>
              </w:rPr>
            </w:pPr>
          </w:p>
        </w:tc>
        <w:tc>
          <w:tcPr>
            <w:tcW w:w="1583"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r>
      <w:tr w:rsidR="00EE5CB4" w:rsidTr="007C5949">
        <w:trPr>
          <w:cantSplit/>
          <w:jc w:val="center"/>
        </w:trPr>
        <w:tc>
          <w:tcPr>
            <w:tcW w:w="2098" w:type="dxa"/>
            <w:vMerge/>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dashSmallGap" w:sz="4" w:space="0" w:color="auto"/>
              <w:bottom w:val="single" w:sz="6" w:space="0" w:color="auto"/>
            </w:tcBorders>
            <w:vAlign w:val="center"/>
          </w:tcPr>
          <w:p w:rsidR="00EE5CB4" w:rsidRDefault="00EE5CB4" w:rsidP="007C5949">
            <w:pPr>
              <w:rPr>
                <w:sz w:val="20"/>
                <w:lang w:val="en-GB"/>
              </w:rPr>
            </w:pPr>
          </w:p>
        </w:tc>
        <w:tc>
          <w:tcPr>
            <w:tcW w:w="1565" w:type="dxa"/>
            <w:tcBorders>
              <w:top w:val="dashSmallGap" w:sz="4"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83" w:type="dxa"/>
            <w:tcBorders>
              <w:top w:val="single" w:sz="6" w:space="0" w:color="auto"/>
              <w:bottom w:val="single" w:sz="6" w:space="0" w:color="auto"/>
            </w:tcBorders>
            <w:vAlign w:val="center"/>
          </w:tcPr>
          <w:p w:rsidR="00EE5CB4" w:rsidRDefault="00EE5CB4" w:rsidP="007C5949">
            <w:pPr>
              <w:rPr>
                <w:sz w:val="20"/>
                <w:lang w:val="en-GB"/>
              </w:rPr>
            </w:pPr>
          </w:p>
        </w:tc>
      </w:tr>
      <w:tr w:rsidR="00EE5CB4" w:rsidTr="007C5949">
        <w:trPr>
          <w:trHeight w:hRule="exact" w:val="284"/>
          <w:jc w:val="center"/>
        </w:trPr>
        <w:tc>
          <w:tcPr>
            <w:tcW w:w="2098" w:type="dxa"/>
            <w:tcBorders>
              <w:top w:val="single" w:sz="8" w:space="0" w:color="auto"/>
              <w:bottom w:val="single" w:sz="6" w:space="0" w:color="auto"/>
              <w:right w:val="nil"/>
            </w:tcBorders>
            <w:vAlign w:val="bottom"/>
          </w:tcPr>
          <w:p w:rsidR="00EE5CB4" w:rsidRDefault="00EE5CB4" w:rsidP="007C5949">
            <w:pPr>
              <w:pStyle w:val="Header"/>
              <w:tabs>
                <w:tab w:val="clear" w:pos="4320"/>
                <w:tab w:val="clear" w:pos="8640"/>
              </w:tabs>
              <w:rPr>
                <w:b/>
                <w:sz w:val="20"/>
                <w:lang w:eastAsia="it-IT"/>
              </w:rPr>
            </w:pPr>
            <w:r>
              <w:rPr>
                <w:b/>
                <w:sz w:val="20"/>
                <w:lang w:eastAsia="it-IT"/>
              </w:rPr>
              <w:t>Personnel local</w:t>
            </w:r>
          </w:p>
        </w:tc>
        <w:tc>
          <w:tcPr>
            <w:tcW w:w="1654" w:type="dxa"/>
            <w:tcBorders>
              <w:top w:val="single" w:sz="8" w:space="0" w:color="auto"/>
              <w:left w:val="nil"/>
              <w:bottom w:val="single" w:sz="6" w:space="0" w:color="auto"/>
              <w:right w:val="nil"/>
            </w:tcBorders>
            <w:vAlign w:val="center"/>
          </w:tcPr>
          <w:p w:rsidR="00EE5CB4" w:rsidRDefault="00EE5CB4" w:rsidP="007C5949">
            <w:pPr>
              <w:pStyle w:val="Header"/>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rsidR="00EE5CB4" w:rsidRDefault="00EE5CB4" w:rsidP="007C5949">
            <w:pPr>
              <w:pStyle w:val="Header"/>
            </w:pPr>
          </w:p>
        </w:tc>
        <w:tc>
          <w:tcPr>
            <w:tcW w:w="1565" w:type="dxa"/>
            <w:tcBorders>
              <w:top w:val="single" w:sz="8" w:space="0" w:color="auto"/>
              <w:left w:val="nil"/>
              <w:bottom w:val="single" w:sz="6" w:space="0" w:color="auto"/>
              <w:right w:val="nil"/>
            </w:tcBorders>
            <w:vAlign w:val="center"/>
          </w:tcPr>
          <w:p w:rsidR="00EE5CB4" w:rsidRDefault="00EE5CB4" w:rsidP="007C5949">
            <w:pPr>
              <w:rPr>
                <w:lang w:val="en-GB"/>
              </w:rPr>
            </w:pPr>
          </w:p>
        </w:tc>
        <w:tc>
          <w:tcPr>
            <w:tcW w:w="1384" w:type="dxa"/>
            <w:tcBorders>
              <w:top w:val="single" w:sz="8" w:space="0" w:color="auto"/>
              <w:left w:val="nil"/>
              <w:bottom w:val="single" w:sz="6" w:space="0" w:color="auto"/>
              <w:right w:val="nil"/>
            </w:tcBorders>
            <w:vAlign w:val="center"/>
          </w:tcPr>
          <w:p w:rsidR="00EE5CB4" w:rsidRDefault="00EE5CB4" w:rsidP="007C5949">
            <w:pPr>
              <w:pStyle w:val="Header"/>
              <w:tabs>
                <w:tab w:val="clear" w:pos="4320"/>
                <w:tab w:val="clear" w:pos="8640"/>
              </w:tabs>
              <w:rPr>
                <w:lang w:eastAsia="it-IT"/>
              </w:rPr>
            </w:pPr>
          </w:p>
        </w:tc>
        <w:tc>
          <w:tcPr>
            <w:tcW w:w="1531" w:type="dxa"/>
            <w:tcBorders>
              <w:top w:val="single" w:sz="8" w:space="0" w:color="auto"/>
              <w:left w:val="nil"/>
              <w:bottom w:val="single" w:sz="6" w:space="0" w:color="auto"/>
              <w:right w:val="nil"/>
            </w:tcBorders>
            <w:vAlign w:val="center"/>
          </w:tcPr>
          <w:p w:rsidR="00EE5CB4" w:rsidRDefault="00EE5CB4" w:rsidP="007C5949">
            <w:pPr>
              <w:rPr>
                <w:lang w:val="en-GB"/>
              </w:rPr>
            </w:pPr>
          </w:p>
        </w:tc>
        <w:tc>
          <w:tcPr>
            <w:tcW w:w="1531" w:type="dxa"/>
            <w:tcBorders>
              <w:top w:val="single" w:sz="8" w:space="0" w:color="auto"/>
              <w:left w:val="nil"/>
              <w:bottom w:val="single" w:sz="6" w:space="0" w:color="auto"/>
              <w:right w:val="nil"/>
            </w:tcBorders>
            <w:vAlign w:val="center"/>
          </w:tcPr>
          <w:p w:rsidR="00EE5CB4" w:rsidRDefault="00EE5CB4" w:rsidP="007C5949">
            <w:pPr>
              <w:rPr>
                <w:lang w:val="en-GB"/>
              </w:rPr>
            </w:pPr>
          </w:p>
        </w:tc>
        <w:tc>
          <w:tcPr>
            <w:tcW w:w="1583" w:type="dxa"/>
            <w:tcBorders>
              <w:top w:val="single" w:sz="8" w:space="0" w:color="auto"/>
              <w:left w:val="nil"/>
              <w:bottom w:val="single" w:sz="6" w:space="0" w:color="auto"/>
            </w:tcBorders>
            <w:vAlign w:val="center"/>
          </w:tcPr>
          <w:p w:rsidR="00EE5CB4" w:rsidRDefault="00EE5CB4" w:rsidP="007C5949">
            <w:pPr>
              <w:rPr>
                <w:lang w:val="en-GB"/>
              </w:rPr>
            </w:pPr>
          </w:p>
        </w:tc>
      </w:tr>
      <w:tr w:rsidR="00EE5CB4" w:rsidTr="007C5949">
        <w:trPr>
          <w:cantSplit/>
          <w:jc w:val="center"/>
        </w:trPr>
        <w:tc>
          <w:tcPr>
            <w:tcW w:w="2098" w:type="dxa"/>
            <w:vMerge w:val="restart"/>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rsidR="00EE5CB4" w:rsidRDefault="00EE5CB4" w:rsidP="007C5949">
            <w:pPr>
              <w:rPr>
                <w:sz w:val="16"/>
                <w:lang w:val="en-GB"/>
              </w:rPr>
            </w:pPr>
            <w:r>
              <w:rPr>
                <w:sz w:val="16"/>
                <w:lang w:val="en-GB"/>
              </w:rPr>
              <w:t>[</w:t>
            </w:r>
            <w:r w:rsidRPr="008B2B1F">
              <w:rPr>
                <w:sz w:val="16"/>
              </w:rPr>
              <w:t>Siège</w:t>
            </w:r>
            <w:r>
              <w:rPr>
                <w:sz w:val="16"/>
                <w:lang w:val="en-GB"/>
              </w:rPr>
              <w:t>]</w:t>
            </w:r>
          </w:p>
        </w:tc>
        <w:tc>
          <w:tcPr>
            <w:tcW w:w="1565" w:type="dxa"/>
            <w:tcBorders>
              <w:top w:val="single" w:sz="6" w:space="0" w:color="auto"/>
              <w:bottom w:val="dashSmallGap" w:sz="4"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vMerge w:val="restart"/>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83" w:type="dxa"/>
            <w:tcBorders>
              <w:top w:val="single" w:sz="6" w:space="0" w:color="auto"/>
              <w:bottom w:val="single" w:sz="6" w:space="0" w:color="auto"/>
            </w:tcBorders>
            <w:vAlign w:val="center"/>
          </w:tcPr>
          <w:p w:rsidR="00EE5CB4" w:rsidRDefault="00EE5CB4" w:rsidP="007C5949">
            <w:pPr>
              <w:rPr>
                <w:sz w:val="20"/>
                <w:lang w:val="en-GB"/>
              </w:rPr>
            </w:pPr>
          </w:p>
        </w:tc>
      </w:tr>
      <w:tr w:rsidR="00EE5CB4" w:rsidTr="007C5949">
        <w:trPr>
          <w:cantSplit/>
          <w:jc w:val="center"/>
        </w:trPr>
        <w:tc>
          <w:tcPr>
            <w:tcW w:w="2098" w:type="dxa"/>
            <w:vMerge/>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rsidR="00EE5CB4" w:rsidRDefault="00EE5CB4" w:rsidP="007C5949">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vMerge/>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83" w:type="dxa"/>
            <w:tcBorders>
              <w:top w:val="single" w:sz="6" w:space="0" w:color="auto"/>
              <w:bottom w:val="single" w:sz="6" w:space="0" w:color="auto"/>
            </w:tcBorders>
            <w:vAlign w:val="center"/>
          </w:tcPr>
          <w:p w:rsidR="00EE5CB4" w:rsidRDefault="00EE5CB4" w:rsidP="007C5949">
            <w:pPr>
              <w:rPr>
                <w:sz w:val="20"/>
                <w:lang w:val="en-GB"/>
              </w:rPr>
            </w:pPr>
          </w:p>
        </w:tc>
      </w:tr>
      <w:tr w:rsidR="00EE5CB4" w:rsidTr="007C5949">
        <w:trPr>
          <w:cantSplit/>
          <w:jc w:val="center"/>
        </w:trPr>
        <w:tc>
          <w:tcPr>
            <w:tcW w:w="2098" w:type="dxa"/>
            <w:vMerge w:val="restart"/>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single" w:sz="6" w:space="0" w:color="auto"/>
              <w:bottom w:val="dashSmallGap" w:sz="4" w:space="0" w:color="auto"/>
            </w:tcBorders>
            <w:vAlign w:val="center"/>
          </w:tcPr>
          <w:p w:rsidR="00EE5CB4" w:rsidRDefault="00EE5CB4" w:rsidP="007C5949">
            <w:pPr>
              <w:rPr>
                <w:sz w:val="20"/>
                <w:lang w:val="en-GB"/>
              </w:rPr>
            </w:pPr>
          </w:p>
        </w:tc>
        <w:tc>
          <w:tcPr>
            <w:tcW w:w="1565" w:type="dxa"/>
            <w:tcBorders>
              <w:top w:val="single" w:sz="6" w:space="0" w:color="auto"/>
              <w:bottom w:val="dashSmallGap" w:sz="4"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vMerge w:val="restart"/>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83" w:type="dxa"/>
            <w:tcBorders>
              <w:top w:val="single" w:sz="6" w:space="0" w:color="auto"/>
              <w:bottom w:val="single" w:sz="6" w:space="0" w:color="auto"/>
            </w:tcBorders>
            <w:vAlign w:val="center"/>
          </w:tcPr>
          <w:p w:rsidR="00EE5CB4" w:rsidRDefault="00EE5CB4" w:rsidP="007C5949">
            <w:pPr>
              <w:rPr>
                <w:sz w:val="20"/>
                <w:lang w:val="en-GB"/>
              </w:rPr>
            </w:pPr>
          </w:p>
        </w:tc>
      </w:tr>
      <w:tr w:rsidR="00EE5CB4" w:rsidTr="007C5949">
        <w:trPr>
          <w:cantSplit/>
          <w:jc w:val="center"/>
        </w:trPr>
        <w:tc>
          <w:tcPr>
            <w:tcW w:w="2098" w:type="dxa"/>
            <w:vMerge/>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dashSmallGap" w:sz="4" w:space="0" w:color="auto"/>
              <w:bottom w:val="single" w:sz="6" w:space="0" w:color="auto"/>
            </w:tcBorders>
            <w:vAlign w:val="center"/>
          </w:tcPr>
          <w:p w:rsidR="00EE5CB4" w:rsidRDefault="00EE5CB4" w:rsidP="007C5949">
            <w:pPr>
              <w:rPr>
                <w:sz w:val="20"/>
                <w:lang w:val="en-GB"/>
              </w:rPr>
            </w:pPr>
          </w:p>
        </w:tc>
        <w:tc>
          <w:tcPr>
            <w:tcW w:w="1565" w:type="dxa"/>
            <w:tcBorders>
              <w:top w:val="dashSmallGap" w:sz="4"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vMerge/>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83" w:type="dxa"/>
            <w:tcBorders>
              <w:top w:val="single" w:sz="6" w:space="0" w:color="auto"/>
              <w:bottom w:val="single" w:sz="6" w:space="0" w:color="auto"/>
            </w:tcBorders>
            <w:vAlign w:val="center"/>
          </w:tcPr>
          <w:p w:rsidR="00EE5CB4" w:rsidRDefault="00EE5CB4" w:rsidP="007C5949">
            <w:pPr>
              <w:rPr>
                <w:sz w:val="20"/>
                <w:lang w:val="en-GB"/>
              </w:rPr>
            </w:pPr>
          </w:p>
        </w:tc>
      </w:tr>
      <w:tr w:rsidR="00EE5CB4" w:rsidTr="007C5949">
        <w:trPr>
          <w:cantSplit/>
          <w:jc w:val="center"/>
        </w:trPr>
        <w:tc>
          <w:tcPr>
            <w:tcW w:w="2098" w:type="dxa"/>
            <w:vMerge w:val="restart"/>
            <w:tcBorders>
              <w:top w:val="single" w:sz="6" w:space="0" w:color="auto"/>
              <w:bottom w:val="single" w:sz="6"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EE5CB4" w:rsidRDefault="00EE5CB4" w:rsidP="007C5949">
            <w:pPr>
              <w:rPr>
                <w:sz w:val="20"/>
                <w:lang w:val="en-GB"/>
              </w:rPr>
            </w:pPr>
          </w:p>
        </w:tc>
        <w:tc>
          <w:tcPr>
            <w:tcW w:w="1361" w:type="dxa"/>
            <w:tcBorders>
              <w:top w:val="single" w:sz="6" w:space="0" w:color="auto"/>
              <w:bottom w:val="dashSmallGap" w:sz="4" w:space="0" w:color="auto"/>
            </w:tcBorders>
            <w:vAlign w:val="center"/>
          </w:tcPr>
          <w:p w:rsidR="00EE5CB4" w:rsidRDefault="00EE5CB4" w:rsidP="007C5949">
            <w:pPr>
              <w:rPr>
                <w:sz w:val="20"/>
                <w:lang w:val="en-GB"/>
              </w:rPr>
            </w:pPr>
          </w:p>
        </w:tc>
        <w:tc>
          <w:tcPr>
            <w:tcW w:w="1565" w:type="dxa"/>
            <w:tcBorders>
              <w:top w:val="single" w:sz="6" w:space="0" w:color="auto"/>
              <w:bottom w:val="dashSmallGap" w:sz="4"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vMerge w:val="restart"/>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val="restart"/>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83" w:type="dxa"/>
            <w:tcBorders>
              <w:top w:val="single" w:sz="6" w:space="0" w:color="auto"/>
              <w:bottom w:val="single" w:sz="6" w:space="0" w:color="auto"/>
            </w:tcBorders>
            <w:vAlign w:val="center"/>
          </w:tcPr>
          <w:p w:rsidR="00EE5CB4" w:rsidRDefault="00EE5CB4" w:rsidP="007C5949">
            <w:pPr>
              <w:rPr>
                <w:sz w:val="20"/>
                <w:lang w:val="en-GB"/>
              </w:rPr>
            </w:pPr>
          </w:p>
        </w:tc>
      </w:tr>
      <w:tr w:rsidR="00EE5CB4" w:rsidTr="007C5949">
        <w:trPr>
          <w:cantSplit/>
          <w:jc w:val="center"/>
        </w:trPr>
        <w:tc>
          <w:tcPr>
            <w:tcW w:w="2098" w:type="dxa"/>
            <w:vMerge/>
            <w:tcBorders>
              <w:top w:val="single" w:sz="6" w:space="0" w:color="auto"/>
              <w:bottom w:val="single" w:sz="8" w:space="0" w:color="auto"/>
            </w:tcBorders>
            <w:vAlign w:val="center"/>
          </w:tcPr>
          <w:p w:rsidR="00EE5CB4" w:rsidRDefault="00EE5CB4" w:rsidP="007C5949">
            <w:pPr>
              <w:pStyle w:val="Header"/>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rsidR="00EE5CB4" w:rsidRDefault="00EE5CB4" w:rsidP="007C5949">
            <w:pPr>
              <w:rPr>
                <w:sz w:val="20"/>
                <w:lang w:val="en-GB"/>
              </w:rPr>
            </w:pPr>
          </w:p>
        </w:tc>
        <w:tc>
          <w:tcPr>
            <w:tcW w:w="1361" w:type="dxa"/>
            <w:tcBorders>
              <w:top w:val="dashSmallGap" w:sz="4" w:space="0" w:color="auto"/>
              <w:bottom w:val="single" w:sz="8" w:space="0" w:color="auto"/>
            </w:tcBorders>
            <w:vAlign w:val="center"/>
          </w:tcPr>
          <w:p w:rsidR="00EE5CB4" w:rsidRDefault="00EE5CB4" w:rsidP="007C5949">
            <w:pPr>
              <w:rPr>
                <w:sz w:val="20"/>
                <w:lang w:val="en-GB"/>
              </w:rPr>
            </w:pPr>
          </w:p>
        </w:tc>
        <w:tc>
          <w:tcPr>
            <w:tcW w:w="1565" w:type="dxa"/>
            <w:tcBorders>
              <w:top w:val="dashSmallGap" w:sz="4" w:space="0" w:color="auto"/>
              <w:bottom w:val="single" w:sz="8" w:space="0" w:color="auto"/>
            </w:tcBorders>
            <w:vAlign w:val="center"/>
          </w:tcPr>
          <w:p w:rsidR="00EE5CB4" w:rsidRDefault="00EE5CB4" w:rsidP="007C5949">
            <w:pPr>
              <w:pStyle w:val="Header"/>
              <w:tabs>
                <w:tab w:val="clear" w:pos="4320"/>
                <w:tab w:val="clear" w:pos="8640"/>
              </w:tabs>
              <w:rPr>
                <w:sz w:val="20"/>
                <w:lang w:eastAsia="it-IT"/>
              </w:rPr>
            </w:pPr>
          </w:p>
        </w:tc>
        <w:tc>
          <w:tcPr>
            <w:tcW w:w="1384" w:type="dxa"/>
            <w:vMerge/>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31" w:type="dxa"/>
            <w:vMerge/>
            <w:tcBorders>
              <w:top w:val="single" w:sz="6" w:space="0" w:color="auto"/>
              <w:bottom w:val="single" w:sz="6" w:space="0" w:color="auto"/>
            </w:tcBorders>
            <w:shd w:val="thinDiagCross" w:color="auto" w:fill="auto"/>
            <w:vAlign w:val="center"/>
          </w:tcPr>
          <w:p w:rsidR="00EE5CB4" w:rsidRDefault="00EE5CB4" w:rsidP="007C5949">
            <w:pPr>
              <w:rPr>
                <w:sz w:val="20"/>
                <w:lang w:val="en-GB"/>
              </w:rPr>
            </w:pPr>
          </w:p>
        </w:tc>
        <w:tc>
          <w:tcPr>
            <w:tcW w:w="1583" w:type="dxa"/>
            <w:tcBorders>
              <w:top w:val="single" w:sz="6" w:space="0" w:color="auto"/>
              <w:bottom w:val="single" w:sz="8" w:space="0" w:color="auto"/>
            </w:tcBorders>
            <w:vAlign w:val="center"/>
          </w:tcPr>
          <w:p w:rsidR="00EE5CB4" w:rsidRDefault="00EE5CB4" w:rsidP="007C5949">
            <w:pPr>
              <w:rPr>
                <w:sz w:val="20"/>
                <w:lang w:val="en-GB"/>
              </w:rPr>
            </w:pPr>
          </w:p>
        </w:tc>
      </w:tr>
      <w:tr w:rsidR="00EE5CB4" w:rsidTr="007C5949">
        <w:trPr>
          <w:trHeight w:hRule="exact" w:val="397"/>
          <w:jc w:val="center"/>
        </w:trPr>
        <w:tc>
          <w:tcPr>
            <w:tcW w:w="2098" w:type="dxa"/>
            <w:tcBorders>
              <w:top w:val="single" w:sz="8" w:space="0" w:color="auto"/>
              <w:bottom w:val="single" w:sz="8" w:space="0" w:color="auto"/>
              <w:right w:val="nil"/>
            </w:tcBorders>
            <w:vAlign w:val="center"/>
          </w:tcPr>
          <w:p w:rsidR="00EE5CB4" w:rsidRDefault="00EE5CB4" w:rsidP="007C5949">
            <w:pPr>
              <w:rPr>
                <w:lang w:val="en-GB"/>
              </w:rPr>
            </w:pPr>
          </w:p>
        </w:tc>
        <w:tc>
          <w:tcPr>
            <w:tcW w:w="1654" w:type="dxa"/>
            <w:tcBorders>
              <w:top w:val="single" w:sz="8" w:space="0" w:color="auto"/>
              <w:left w:val="nil"/>
              <w:bottom w:val="single" w:sz="8" w:space="0" w:color="auto"/>
              <w:right w:val="nil"/>
            </w:tcBorders>
            <w:vAlign w:val="center"/>
          </w:tcPr>
          <w:p w:rsidR="00EE5CB4" w:rsidRDefault="00EE5CB4" w:rsidP="007C5949">
            <w:pPr>
              <w:rPr>
                <w:lang w:val="en-GB"/>
              </w:rPr>
            </w:pPr>
          </w:p>
        </w:tc>
        <w:tc>
          <w:tcPr>
            <w:tcW w:w="1361" w:type="dxa"/>
            <w:tcBorders>
              <w:top w:val="single" w:sz="8" w:space="0" w:color="auto"/>
              <w:left w:val="nil"/>
              <w:bottom w:val="single" w:sz="8" w:space="0" w:color="auto"/>
              <w:right w:val="nil"/>
            </w:tcBorders>
            <w:vAlign w:val="center"/>
          </w:tcPr>
          <w:p w:rsidR="00EE5CB4" w:rsidRDefault="00EE5CB4" w:rsidP="007C5949">
            <w:pPr>
              <w:rPr>
                <w:lang w:val="en-GB"/>
              </w:rPr>
            </w:pPr>
          </w:p>
        </w:tc>
        <w:tc>
          <w:tcPr>
            <w:tcW w:w="1565" w:type="dxa"/>
            <w:tcBorders>
              <w:top w:val="single" w:sz="8" w:space="0" w:color="auto"/>
              <w:left w:val="nil"/>
              <w:bottom w:val="single" w:sz="8" w:space="0" w:color="auto"/>
            </w:tcBorders>
            <w:vAlign w:val="center"/>
          </w:tcPr>
          <w:p w:rsidR="00EE5CB4" w:rsidRDefault="00EE5CB4" w:rsidP="007C5949">
            <w:pPr>
              <w:rPr>
                <w:lang w:val="en-GB"/>
              </w:rPr>
            </w:pPr>
            <w:r w:rsidRPr="008B2B1F">
              <w:t>Coût</w:t>
            </w:r>
            <w:r>
              <w:rPr>
                <w:lang w:val="en-GB"/>
              </w:rPr>
              <w:t xml:space="preserve"> total</w:t>
            </w:r>
          </w:p>
        </w:tc>
        <w:tc>
          <w:tcPr>
            <w:tcW w:w="1384" w:type="dxa"/>
            <w:tcBorders>
              <w:top w:val="single" w:sz="6" w:space="0" w:color="auto"/>
              <w:bottom w:val="single" w:sz="6" w:space="0" w:color="auto"/>
            </w:tcBorders>
            <w:vAlign w:val="center"/>
          </w:tcPr>
          <w:p w:rsidR="00EE5CB4" w:rsidRDefault="00EE5CB4" w:rsidP="007C5949">
            <w:pPr>
              <w:rPr>
                <w:lang w:val="en-GB"/>
              </w:rPr>
            </w:pPr>
          </w:p>
        </w:tc>
        <w:tc>
          <w:tcPr>
            <w:tcW w:w="1531" w:type="dxa"/>
            <w:tcBorders>
              <w:top w:val="single" w:sz="6" w:space="0" w:color="auto"/>
              <w:bottom w:val="single" w:sz="6" w:space="0" w:color="auto"/>
            </w:tcBorders>
            <w:vAlign w:val="center"/>
          </w:tcPr>
          <w:p w:rsidR="00EE5CB4" w:rsidRDefault="00EE5CB4" w:rsidP="007C5949">
            <w:pPr>
              <w:rPr>
                <w:lang w:val="en-GB"/>
              </w:rPr>
            </w:pPr>
          </w:p>
        </w:tc>
        <w:tc>
          <w:tcPr>
            <w:tcW w:w="1531" w:type="dxa"/>
            <w:tcBorders>
              <w:top w:val="single" w:sz="6" w:space="0" w:color="auto"/>
              <w:bottom w:val="single" w:sz="6" w:space="0" w:color="auto"/>
            </w:tcBorders>
            <w:vAlign w:val="center"/>
          </w:tcPr>
          <w:p w:rsidR="00EE5CB4" w:rsidRDefault="00EE5CB4" w:rsidP="007C5949">
            <w:pPr>
              <w:rPr>
                <w:lang w:val="en-GB"/>
              </w:rPr>
            </w:pPr>
          </w:p>
        </w:tc>
        <w:tc>
          <w:tcPr>
            <w:tcW w:w="1583" w:type="dxa"/>
            <w:tcBorders>
              <w:top w:val="single" w:sz="8" w:space="0" w:color="auto"/>
              <w:bottom w:val="single" w:sz="8" w:space="0" w:color="auto"/>
            </w:tcBorders>
            <w:vAlign w:val="center"/>
          </w:tcPr>
          <w:p w:rsidR="00EE5CB4" w:rsidRDefault="00EE5CB4" w:rsidP="007C5949">
            <w:pPr>
              <w:rPr>
                <w:lang w:val="en-GB"/>
              </w:rPr>
            </w:pPr>
          </w:p>
        </w:tc>
      </w:tr>
    </w:tbl>
    <w:p w:rsidR="00971CFD" w:rsidRDefault="00971CFD" w:rsidP="00971CFD">
      <w:pPr>
        <w:spacing w:after="200"/>
        <w:jc w:val="center"/>
        <w:rPr>
          <w:rFonts w:ascii="Times New Roman Bold" w:hAnsi="Times New Roman Bold"/>
          <w:b/>
          <w:bCs/>
          <w:smallCaps/>
          <w:sz w:val="28"/>
        </w:rPr>
        <w:sectPr w:rsidR="00971CFD" w:rsidSect="00C94311">
          <w:pgSz w:w="16838" w:h="11906" w:orient="landscape" w:code="9"/>
          <w:pgMar w:top="993" w:right="1418" w:bottom="284" w:left="1418" w:header="709" w:footer="709" w:gutter="0"/>
          <w:cols w:space="708"/>
          <w:docGrid w:linePitch="360"/>
        </w:sectPr>
      </w:pPr>
      <w:bookmarkStart w:id="85" w:name="_Toc72513668"/>
      <w:bookmarkStart w:id="86" w:name="_Toc72514648"/>
      <w:bookmarkStart w:id="87" w:name="_Toc72514827"/>
    </w:p>
    <w:p w:rsidR="00971CFD" w:rsidRDefault="00971CFD" w:rsidP="00971CFD">
      <w:pPr>
        <w:spacing w:after="200"/>
        <w:jc w:val="center"/>
        <w:rPr>
          <w:rFonts w:ascii="Times New Roman Bold" w:hAnsi="Times New Roman Bold"/>
          <w:b/>
          <w:bCs/>
          <w:smallCaps/>
          <w:sz w:val="28"/>
        </w:rPr>
      </w:pPr>
      <w:r>
        <w:rPr>
          <w:rFonts w:ascii="Times New Roman Bold" w:hAnsi="Times New Roman Bold"/>
          <w:b/>
          <w:bCs/>
          <w:smallCaps/>
          <w:sz w:val="28"/>
        </w:rPr>
        <w:lastRenderedPageBreak/>
        <w:t>Formulaire FIN-4 Ventilation de la rémunération</w:t>
      </w:r>
      <w:r>
        <w:rPr>
          <w:rFonts w:ascii="Times New Roman Bold" w:hAnsi="Times New Roman Bold"/>
          <w:b/>
          <w:bCs/>
          <w:smallCaps/>
          <w:sz w:val="28"/>
          <w:vertAlign w:val="superscript"/>
        </w:rPr>
        <w:t>1</w:t>
      </w:r>
      <w:bookmarkEnd w:id="85"/>
      <w:bookmarkEnd w:id="86"/>
      <w:bookmarkEnd w:id="87"/>
    </w:p>
    <w:p w:rsidR="00971CFD" w:rsidRDefault="00971CFD" w:rsidP="00971CFD">
      <w:pPr>
        <w:jc w:val="both"/>
      </w:pPr>
      <w:r>
        <w:t>(Ce Formulaire est à utiliser uniquement dans le cas où un Marché forfaitaire est inclus dans la DDP. Les informations présentées sur ce Formulaire seront uniquement utilisées pour définir les montants des paiements au Consultant au titre de services supplémentaires demandés par l’Autorité contractante)</w:t>
      </w:r>
    </w:p>
    <w:p w:rsidR="00971CFD" w:rsidRDefault="00971CFD" w:rsidP="00971CFD"/>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971CFD" w:rsidTr="007C5949">
        <w:trPr>
          <w:trHeight w:hRule="exact" w:val="567"/>
          <w:jc w:val="center"/>
        </w:trPr>
        <w:tc>
          <w:tcPr>
            <w:tcW w:w="2552" w:type="dxa"/>
            <w:tcBorders>
              <w:top w:val="double" w:sz="4" w:space="0" w:color="auto"/>
              <w:bottom w:val="single" w:sz="12" w:space="0" w:color="auto"/>
            </w:tcBorders>
            <w:vAlign w:val="center"/>
          </w:tcPr>
          <w:p w:rsidR="00971CFD" w:rsidRDefault="00971CFD" w:rsidP="007C5949">
            <w:pPr>
              <w:spacing w:before="40" w:after="40"/>
              <w:jc w:val="center"/>
              <w:rPr>
                <w:b/>
                <w:lang w:val="en-GB"/>
              </w:rPr>
            </w:pPr>
            <w:r>
              <w:rPr>
                <w:b/>
                <w:lang w:val="en-GB"/>
              </w:rPr>
              <w:t>Nom</w:t>
            </w:r>
            <w:r>
              <w:rPr>
                <w:vertAlign w:val="superscript"/>
                <w:lang w:val="en-GB"/>
              </w:rPr>
              <w:t>2</w:t>
            </w:r>
          </w:p>
        </w:tc>
        <w:tc>
          <w:tcPr>
            <w:tcW w:w="2552" w:type="dxa"/>
            <w:tcBorders>
              <w:top w:val="double" w:sz="4" w:space="0" w:color="auto"/>
              <w:bottom w:val="single" w:sz="12" w:space="0" w:color="auto"/>
            </w:tcBorders>
            <w:vAlign w:val="center"/>
          </w:tcPr>
          <w:p w:rsidR="00971CFD" w:rsidRDefault="00971CFD" w:rsidP="007C5949">
            <w:pPr>
              <w:spacing w:before="40" w:after="40"/>
              <w:jc w:val="center"/>
              <w:rPr>
                <w:b/>
                <w:lang w:val="en-GB"/>
              </w:rPr>
            </w:pPr>
            <w:r>
              <w:rPr>
                <w:b/>
                <w:lang w:val="en-GB"/>
              </w:rPr>
              <w:t>Poste</w:t>
            </w:r>
            <w:r>
              <w:rPr>
                <w:vertAlign w:val="superscript"/>
                <w:lang w:val="en-GB"/>
              </w:rPr>
              <w:t>3</w:t>
            </w:r>
          </w:p>
        </w:tc>
        <w:tc>
          <w:tcPr>
            <w:tcW w:w="2552" w:type="dxa"/>
            <w:tcBorders>
              <w:top w:val="double" w:sz="4" w:space="0" w:color="auto"/>
              <w:bottom w:val="single" w:sz="12" w:space="0" w:color="auto"/>
            </w:tcBorders>
            <w:vAlign w:val="center"/>
          </w:tcPr>
          <w:p w:rsidR="00971CFD" w:rsidRPr="008B2B1F" w:rsidRDefault="00971CFD" w:rsidP="007C5949">
            <w:pPr>
              <w:spacing w:before="40" w:after="40"/>
              <w:jc w:val="center"/>
              <w:rPr>
                <w:b/>
              </w:rPr>
            </w:pPr>
            <w:r w:rsidRPr="008B2B1F">
              <w:rPr>
                <w:b/>
              </w:rPr>
              <w:t>Taux personnel/mois</w:t>
            </w:r>
          </w:p>
        </w:tc>
      </w:tr>
      <w:tr w:rsidR="00971CFD" w:rsidTr="007C5949">
        <w:trPr>
          <w:cantSplit/>
          <w:trHeight w:hRule="exact" w:val="397"/>
          <w:jc w:val="center"/>
        </w:trPr>
        <w:tc>
          <w:tcPr>
            <w:tcW w:w="2552" w:type="dxa"/>
            <w:tcBorders>
              <w:top w:val="single" w:sz="12" w:space="0" w:color="auto"/>
              <w:bottom w:val="single" w:sz="6" w:space="0" w:color="auto"/>
              <w:right w:val="nil"/>
            </w:tcBorders>
            <w:vAlign w:val="center"/>
          </w:tcPr>
          <w:p w:rsidR="00971CFD" w:rsidRDefault="00971CFD" w:rsidP="007C5949">
            <w:pPr>
              <w:pStyle w:val="Header"/>
              <w:tabs>
                <w:tab w:val="clear" w:pos="4320"/>
                <w:tab w:val="clear" w:pos="8640"/>
              </w:tabs>
              <w:rPr>
                <w:b/>
                <w:lang w:eastAsia="it-IT"/>
              </w:rPr>
            </w:pPr>
            <w:r>
              <w:rPr>
                <w:b/>
                <w:sz w:val="20"/>
                <w:lang w:eastAsia="it-IT"/>
              </w:rPr>
              <w:t>Personnel étranger</w:t>
            </w:r>
          </w:p>
        </w:tc>
        <w:tc>
          <w:tcPr>
            <w:tcW w:w="2552" w:type="dxa"/>
            <w:tcBorders>
              <w:top w:val="single" w:sz="12" w:space="0" w:color="auto"/>
              <w:left w:val="nil"/>
              <w:bottom w:val="single" w:sz="6" w:space="0" w:color="auto"/>
              <w:right w:val="nil"/>
            </w:tcBorders>
            <w:vAlign w:val="center"/>
          </w:tcPr>
          <w:p w:rsidR="00971CFD" w:rsidRDefault="00971CFD" w:rsidP="007C5949">
            <w:pPr>
              <w:pStyle w:val="Header"/>
              <w:tabs>
                <w:tab w:val="clear" w:pos="4320"/>
                <w:tab w:val="clear" w:pos="8640"/>
              </w:tabs>
              <w:rPr>
                <w:b/>
                <w:lang w:eastAsia="it-IT"/>
              </w:rPr>
            </w:pPr>
          </w:p>
        </w:tc>
        <w:tc>
          <w:tcPr>
            <w:tcW w:w="2552" w:type="dxa"/>
            <w:tcBorders>
              <w:top w:val="single" w:sz="12" w:space="0" w:color="auto"/>
              <w:left w:val="nil"/>
              <w:bottom w:val="single" w:sz="6" w:space="0" w:color="auto"/>
              <w:right w:val="double" w:sz="4" w:space="0" w:color="auto"/>
            </w:tcBorders>
            <w:vAlign w:val="center"/>
          </w:tcPr>
          <w:p w:rsidR="00971CFD" w:rsidRDefault="00971CFD" w:rsidP="007C5949">
            <w:pPr>
              <w:pStyle w:val="Header"/>
              <w:tabs>
                <w:tab w:val="clear" w:pos="4320"/>
                <w:tab w:val="clear" w:pos="8640"/>
              </w:tabs>
              <w:rPr>
                <w:lang w:eastAsia="it-IT"/>
              </w:rPr>
            </w:pPr>
          </w:p>
        </w:tc>
      </w:tr>
      <w:tr w:rsidR="00971CFD" w:rsidTr="007C5949">
        <w:trPr>
          <w:cantSplit/>
          <w:jc w:val="center"/>
        </w:trPr>
        <w:tc>
          <w:tcPr>
            <w:tcW w:w="2552" w:type="dxa"/>
            <w:vMerge w:val="restart"/>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Pr="008B2B1F" w:rsidRDefault="00971CFD" w:rsidP="007C5949">
            <w:pPr>
              <w:rPr>
                <w:sz w:val="16"/>
              </w:rPr>
            </w:pPr>
            <w:r w:rsidRPr="008B2B1F">
              <w:rPr>
                <w:sz w:val="16"/>
              </w:rPr>
              <w:t>[Siège]</w:t>
            </w:r>
          </w:p>
        </w:tc>
      </w:tr>
      <w:tr w:rsidR="00971CFD" w:rsidTr="007C5949">
        <w:trPr>
          <w:cantSplit/>
          <w:jc w:val="center"/>
        </w:trPr>
        <w:tc>
          <w:tcPr>
            <w:tcW w:w="2552" w:type="dxa"/>
            <w:vMerge/>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971CFD" w:rsidRDefault="00971CFD" w:rsidP="007C5949">
            <w:pPr>
              <w:rPr>
                <w:sz w:val="20"/>
                <w:lang w:val="en-GB"/>
              </w:rPr>
            </w:pPr>
          </w:p>
        </w:tc>
        <w:tc>
          <w:tcPr>
            <w:tcW w:w="2552" w:type="dxa"/>
            <w:tcBorders>
              <w:top w:val="dashSmallGap" w:sz="4" w:space="0" w:color="auto"/>
              <w:bottom w:val="single" w:sz="6" w:space="0" w:color="auto"/>
            </w:tcBorders>
            <w:vAlign w:val="center"/>
          </w:tcPr>
          <w:p w:rsidR="00971CFD" w:rsidRDefault="00971CFD" w:rsidP="007C5949">
            <w:pPr>
              <w:rPr>
                <w:sz w:val="16"/>
                <w:lang w:val="en-GB"/>
              </w:rPr>
            </w:pPr>
            <w:r>
              <w:rPr>
                <w:sz w:val="16"/>
                <w:lang w:val="en-GB"/>
              </w:rPr>
              <w:t>[Terrain]</w:t>
            </w:r>
          </w:p>
        </w:tc>
      </w:tr>
      <w:tr w:rsidR="00971CFD" w:rsidTr="007C5949">
        <w:trPr>
          <w:cantSplit/>
          <w:jc w:val="center"/>
        </w:trPr>
        <w:tc>
          <w:tcPr>
            <w:tcW w:w="2552" w:type="dxa"/>
            <w:vMerge w:val="restart"/>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971CFD" w:rsidRDefault="00971CFD" w:rsidP="007C5949">
            <w:pPr>
              <w:rPr>
                <w:sz w:val="20"/>
                <w:lang w:val="en-GB"/>
              </w:rPr>
            </w:pPr>
          </w:p>
        </w:tc>
        <w:tc>
          <w:tcPr>
            <w:tcW w:w="2552" w:type="dxa"/>
            <w:tcBorders>
              <w:top w:val="dashSmallGap" w:sz="4" w:space="0" w:color="auto"/>
              <w:bottom w:val="single" w:sz="6"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tcBorders>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bottom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ign w:val="center"/>
          </w:tcPr>
          <w:p w:rsidR="00971CFD" w:rsidRDefault="00971CFD" w:rsidP="007C5949">
            <w:pPr>
              <w:pStyle w:val="Header"/>
              <w:tabs>
                <w:tab w:val="clear" w:pos="4320"/>
                <w:tab w:val="clear" w:pos="8640"/>
              </w:tabs>
              <w:rPr>
                <w:sz w:val="20"/>
                <w:lang w:eastAsia="it-IT"/>
              </w:rPr>
            </w:pPr>
          </w:p>
        </w:tc>
        <w:tc>
          <w:tcPr>
            <w:tcW w:w="2552" w:type="dxa"/>
            <w:vMerge/>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ign w:val="center"/>
          </w:tcPr>
          <w:p w:rsidR="00971CFD" w:rsidRDefault="00971CFD" w:rsidP="007C5949">
            <w:pPr>
              <w:pStyle w:val="Header"/>
              <w:tabs>
                <w:tab w:val="clear" w:pos="4320"/>
                <w:tab w:val="clear" w:pos="8640"/>
              </w:tabs>
              <w:rPr>
                <w:sz w:val="20"/>
                <w:lang w:eastAsia="it-IT"/>
              </w:rPr>
            </w:pPr>
          </w:p>
        </w:tc>
        <w:tc>
          <w:tcPr>
            <w:tcW w:w="2552" w:type="dxa"/>
            <w:vMerge/>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tcBorders>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bottom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971CFD" w:rsidRDefault="00971CFD" w:rsidP="007C5949">
            <w:pPr>
              <w:rPr>
                <w:sz w:val="20"/>
                <w:lang w:val="en-GB"/>
              </w:rPr>
            </w:pPr>
          </w:p>
        </w:tc>
        <w:tc>
          <w:tcPr>
            <w:tcW w:w="2552" w:type="dxa"/>
            <w:tcBorders>
              <w:top w:val="dashSmallGap" w:sz="4" w:space="0" w:color="auto"/>
              <w:bottom w:val="single" w:sz="6"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971CFD" w:rsidRDefault="00971CFD" w:rsidP="007C5949">
            <w:pPr>
              <w:rPr>
                <w:sz w:val="20"/>
                <w:lang w:val="en-GB"/>
              </w:rPr>
            </w:pPr>
          </w:p>
        </w:tc>
        <w:tc>
          <w:tcPr>
            <w:tcW w:w="2552" w:type="dxa"/>
            <w:tcBorders>
              <w:top w:val="dashSmallGap" w:sz="4" w:space="0" w:color="auto"/>
              <w:bottom w:val="single" w:sz="6"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tcBorders>
            <w:vAlign w:val="center"/>
          </w:tcPr>
          <w:p w:rsidR="00971CFD" w:rsidRDefault="00971CFD" w:rsidP="007C5949">
            <w:pPr>
              <w:pStyle w:val="FootnoteText"/>
              <w:rPr>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tcBorders>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bottom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tcBorders>
              <w:top w:val="single" w:sz="6" w:space="0" w:color="auto"/>
              <w:bottom w:val="single" w:sz="8"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rsidR="00971CFD" w:rsidRDefault="00971CFD" w:rsidP="007C5949">
            <w:pPr>
              <w:rPr>
                <w:sz w:val="20"/>
                <w:lang w:val="en-GB"/>
              </w:rPr>
            </w:pPr>
          </w:p>
        </w:tc>
        <w:tc>
          <w:tcPr>
            <w:tcW w:w="2552" w:type="dxa"/>
            <w:tcBorders>
              <w:top w:val="dashSmallGap" w:sz="4" w:space="0" w:color="auto"/>
              <w:bottom w:val="single" w:sz="8" w:space="0" w:color="auto"/>
            </w:tcBorders>
            <w:vAlign w:val="center"/>
          </w:tcPr>
          <w:p w:rsidR="00971CFD" w:rsidRDefault="00971CFD" w:rsidP="007C5949">
            <w:pPr>
              <w:rPr>
                <w:sz w:val="20"/>
                <w:lang w:val="en-GB"/>
              </w:rPr>
            </w:pPr>
          </w:p>
        </w:tc>
      </w:tr>
      <w:tr w:rsidR="00971CFD" w:rsidTr="007C5949">
        <w:trPr>
          <w:trHeight w:hRule="exact" w:val="397"/>
          <w:jc w:val="center"/>
        </w:trPr>
        <w:tc>
          <w:tcPr>
            <w:tcW w:w="2552" w:type="dxa"/>
            <w:tcBorders>
              <w:top w:val="single" w:sz="8" w:space="0" w:color="auto"/>
              <w:bottom w:val="single" w:sz="6" w:space="0" w:color="auto"/>
              <w:right w:val="nil"/>
            </w:tcBorders>
            <w:vAlign w:val="center"/>
          </w:tcPr>
          <w:p w:rsidR="00971CFD" w:rsidRDefault="00971CFD" w:rsidP="007C5949">
            <w:pPr>
              <w:pStyle w:val="Header"/>
              <w:tabs>
                <w:tab w:val="clear" w:pos="4320"/>
                <w:tab w:val="clear" w:pos="8640"/>
              </w:tabs>
              <w:rPr>
                <w:b/>
                <w:sz w:val="20"/>
                <w:lang w:eastAsia="it-IT"/>
              </w:rPr>
            </w:pPr>
            <w:r>
              <w:rPr>
                <w:b/>
                <w:sz w:val="20"/>
                <w:lang w:eastAsia="it-IT"/>
              </w:rPr>
              <w:t>Personnel local</w:t>
            </w:r>
          </w:p>
        </w:tc>
        <w:tc>
          <w:tcPr>
            <w:tcW w:w="2552" w:type="dxa"/>
            <w:tcBorders>
              <w:top w:val="single" w:sz="8" w:space="0" w:color="auto"/>
              <w:left w:val="nil"/>
              <w:bottom w:val="single" w:sz="6" w:space="0" w:color="auto"/>
              <w:right w:val="nil"/>
            </w:tcBorders>
            <w:vAlign w:val="center"/>
          </w:tcPr>
          <w:p w:rsidR="00971CFD" w:rsidRDefault="00971CFD" w:rsidP="007C5949">
            <w:pPr>
              <w:pStyle w:val="Header"/>
              <w:tabs>
                <w:tab w:val="clear" w:pos="4320"/>
                <w:tab w:val="clear" w:pos="8640"/>
              </w:tabs>
              <w:rPr>
                <w:lang w:eastAsia="it-IT"/>
              </w:rPr>
            </w:pPr>
          </w:p>
        </w:tc>
        <w:tc>
          <w:tcPr>
            <w:tcW w:w="2552" w:type="dxa"/>
            <w:tcBorders>
              <w:top w:val="single" w:sz="8" w:space="0" w:color="auto"/>
              <w:left w:val="nil"/>
              <w:bottom w:val="single" w:sz="6" w:space="0" w:color="auto"/>
              <w:right w:val="double" w:sz="4" w:space="0" w:color="auto"/>
            </w:tcBorders>
            <w:vAlign w:val="center"/>
          </w:tcPr>
          <w:p w:rsidR="00971CFD" w:rsidRDefault="00971CFD" w:rsidP="007C5949">
            <w:pPr>
              <w:pStyle w:val="Header"/>
            </w:pPr>
          </w:p>
        </w:tc>
      </w:tr>
      <w:tr w:rsidR="00971CFD" w:rsidTr="007C5949">
        <w:trPr>
          <w:cantSplit/>
          <w:jc w:val="center"/>
        </w:trPr>
        <w:tc>
          <w:tcPr>
            <w:tcW w:w="2552" w:type="dxa"/>
            <w:vMerge w:val="restart"/>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tcBorders>
              <w:top w:val="single" w:sz="6" w:space="0" w:color="auto"/>
              <w:bottom w:val="dashSmallGap" w:sz="4" w:space="0" w:color="auto"/>
            </w:tcBorders>
            <w:vAlign w:val="center"/>
          </w:tcPr>
          <w:p w:rsidR="00971CFD" w:rsidRDefault="00971CFD" w:rsidP="007C5949">
            <w:pPr>
              <w:rPr>
                <w:sz w:val="16"/>
                <w:lang w:val="en-GB"/>
              </w:rPr>
            </w:pPr>
            <w:r w:rsidRPr="008B2B1F">
              <w:rPr>
                <w:sz w:val="16"/>
              </w:rPr>
              <w:t>[Siège</w:t>
            </w:r>
            <w:r>
              <w:rPr>
                <w:sz w:val="16"/>
                <w:lang w:val="en-GB"/>
              </w:rPr>
              <w:t>]</w:t>
            </w:r>
          </w:p>
        </w:tc>
      </w:tr>
      <w:tr w:rsidR="00971CFD" w:rsidTr="007C5949">
        <w:trPr>
          <w:cantSplit/>
          <w:jc w:val="center"/>
        </w:trPr>
        <w:tc>
          <w:tcPr>
            <w:tcW w:w="2552" w:type="dxa"/>
            <w:vMerge/>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tcBorders>
              <w:top w:val="dashSmallGap" w:sz="4" w:space="0" w:color="auto"/>
              <w:bottom w:val="single" w:sz="6" w:space="0" w:color="auto"/>
            </w:tcBorders>
            <w:vAlign w:val="center"/>
          </w:tcPr>
          <w:p w:rsidR="00971CFD" w:rsidRDefault="00971CFD" w:rsidP="007C5949">
            <w:pPr>
              <w:rPr>
                <w:sz w:val="16"/>
                <w:lang w:val="en-GB"/>
              </w:rPr>
            </w:pPr>
            <w:r>
              <w:rPr>
                <w:sz w:val="16"/>
                <w:lang w:val="en-GB"/>
              </w:rPr>
              <w:t>[Terrain]</w:t>
            </w:r>
          </w:p>
        </w:tc>
      </w:tr>
      <w:tr w:rsidR="00971CFD" w:rsidTr="007C5949">
        <w:trPr>
          <w:cantSplit/>
          <w:jc w:val="center"/>
        </w:trPr>
        <w:tc>
          <w:tcPr>
            <w:tcW w:w="2552" w:type="dxa"/>
            <w:vMerge w:val="restart"/>
            <w:tcBorders>
              <w:top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ign w:val="center"/>
          </w:tcPr>
          <w:p w:rsidR="00971CFD" w:rsidRDefault="00971CFD" w:rsidP="007C5949">
            <w:pPr>
              <w:pStyle w:val="Header"/>
              <w:tabs>
                <w:tab w:val="clear" w:pos="4320"/>
                <w:tab w:val="clear" w:pos="8640"/>
              </w:tabs>
              <w:rPr>
                <w:sz w:val="20"/>
                <w:lang w:eastAsia="it-IT"/>
              </w:rPr>
            </w:pPr>
          </w:p>
        </w:tc>
        <w:tc>
          <w:tcPr>
            <w:tcW w:w="2552" w:type="dxa"/>
            <w:vMerge/>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ign w:val="center"/>
          </w:tcPr>
          <w:p w:rsidR="00971CFD" w:rsidRDefault="00971CFD" w:rsidP="007C5949">
            <w:pPr>
              <w:pStyle w:val="Header"/>
              <w:tabs>
                <w:tab w:val="clear" w:pos="4320"/>
                <w:tab w:val="clear" w:pos="8640"/>
              </w:tabs>
              <w:rPr>
                <w:sz w:val="20"/>
                <w:lang w:eastAsia="it-IT"/>
              </w:rPr>
            </w:pPr>
          </w:p>
        </w:tc>
        <w:tc>
          <w:tcPr>
            <w:tcW w:w="2552" w:type="dxa"/>
            <w:vMerge/>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tcBorders>
              <w:bottom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bottom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val="restart"/>
            <w:tcBorders>
              <w:top w:val="single" w:sz="6"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val="restart"/>
            <w:tcBorders>
              <w:top w:val="single" w:sz="6" w:space="0" w:color="auto"/>
            </w:tcBorders>
            <w:vAlign w:val="center"/>
          </w:tcPr>
          <w:p w:rsidR="00971CFD" w:rsidRDefault="00971CFD" w:rsidP="007C5949">
            <w:pPr>
              <w:rPr>
                <w:sz w:val="20"/>
                <w:lang w:val="en-GB"/>
              </w:rPr>
            </w:pPr>
          </w:p>
        </w:tc>
        <w:tc>
          <w:tcPr>
            <w:tcW w:w="2552" w:type="dxa"/>
            <w:tcBorders>
              <w:top w:val="single" w:sz="6" w:space="0" w:color="auto"/>
              <w:bottom w:val="dashSmallGap" w:sz="4" w:space="0" w:color="auto"/>
            </w:tcBorders>
            <w:vAlign w:val="center"/>
          </w:tcPr>
          <w:p w:rsidR="00971CFD" w:rsidRDefault="00971CFD" w:rsidP="007C5949">
            <w:pPr>
              <w:rPr>
                <w:sz w:val="20"/>
                <w:lang w:val="en-GB"/>
              </w:rPr>
            </w:pPr>
          </w:p>
        </w:tc>
      </w:tr>
      <w:tr w:rsidR="00971CFD" w:rsidTr="007C5949">
        <w:trPr>
          <w:cantSplit/>
          <w:jc w:val="center"/>
        </w:trPr>
        <w:tc>
          <w:tcPr>
            <w:tcW w:w="2552" w:type="dxa"/>
            <w:vMerge/>
            <w:tcBorders>
              <w:bottom w:val="double" w:sz="4" w:space="0" w:color="auto"/>
            </w:tcBorders>
            <w:vAlign w:val="center"/>
          </w:tcPr>
          <w:p w:rsidR="00971CFD" w:rsidRDefault="00971CFD" w:rsidP="007C5949">
            <w:pPr>
              <w:pStyle w:val="Header"/>
              <w:tabs>
                <w:tab w:val="clear" w:pos="4320"/>
                <w:tab w:val="clear" w:pos="8640"/>
              </w:tabs>
              <w:rPr>
                <w:sz w:val="20"/>
                <w:lang w:eastAsia="it-IT"/>
              </w:rPr>
            </w:pPr>
          </w:p>
        </w:tc>
        <w:tc>
          <w:tcPr>
            <w:tcW w:w="2552" w:type="dxa"/>
            <w:vMerge/>
            <w:tcBorders>
              <w:bottom w:val="double" w:sz="4" w:space="0" w:color="auto"/>
            </w:tcBorders>
            <w:vAlign w:val="center"/>
          </w:tcPr>
          <w:p w:rsidR="00971CFD" w:rsidRDefault="00971CFD" w:rsidP="007C5949">
            <w:pPr>
              <w:rPr>
                <w:sz w:val="20"/>
                <w:lang w:val="en-GB"/>
              </w:rPr>
            </w:pPr>
          </w:p>
        </w:tc>
        <w:tc>
          <w:tcPr>
            <w:tcW w:w="2552" w:type="dxa"/>
            <w:tcBorders>
              <w:top w:val="single" w:sz="6" w:space="0" w:color="auto"/>
              <w:bottom w:val="double" w:sz="4" w:space="0" w:color="auto"/>
            </w:tcBorders>
            <w:vAlign w:val="center"/>
          </w:tcPr>
          <w:p w:rsidR="00971CFD" w:rsidRDefault="00971CFD" w:rsidP="007C5949">
            <w:pPr>
              <w:rPr>
                <w:sz w:val="20"/>
                <w:lang w:val="en-GB"/>
              </w:rPr>
            </w:pPr>
          </w:p>
        </w:tc>
      </w:tr>
    </w:tbl>
    <w:p w:rsidR="00971CFD" w:rsidRDefault="00971CFD" w:rsidP="00971CFD">
      <w:pPr>
        <w:pStyle w:val="FootnoteText"/>
        <w:tabs>
          <w:tab w:val="left" w:pos="360"/>
        </w:tabs>
        <w:ind w:left="360" w:hanging="360"/>
      </w:pPr>
    </w:p>
    <w:p w:rsidR="00971CFD" w:rsidRDefault="00971CFD" w:rsidP="00971CFD">
      <w:pPr>
        <w:pStyle w:val="FootnoteText"/>
        <w:tabs>
          <w:tab w:val="left" w:pos="360"/>
        </w:tabs>
        <w:ind w:left="360" w:hanging="360"/>
      </w:pPr>
      <w:r>
        <w:t>1.</w:t>
      </w:r>
      <w:r>
        <w:tab/>
        <w:t>Le Formulaire FIN-4 doit être rempli pour le même personnel professionnel et d'appui figurant sur le Formulaire TECH-7.</w:t>
      </w:r>
    </w:p>
    <w:p w:rsidR="00971CFD" w:rsidRDefault="00971CFD" w:rsidP="00971CFD">
      <w:pPr>
        <w:pStyle w:val="FootnoteText"/>
        <w:tabs>
          <w:tab w:val="left" w:pos="360"/>
        </w:tabs>
        <w:ind w:left="360" w:hanging="360"/>
      </w:pPr>
      <w:r>
        <w:t>2</w:t>
      </w:r>
      <w:r>
        <w:tab/>
        <w:t>Le Personnel- Clé doit être indiqué individuellement; le Personnel d'appui doit être indiqué par catégorie (par ex.: dessinateur, administratif).</w:t>
      </w:r>
    </w:p>
    <w:p w:rsidR="00971CFD" w:rsidRDefault="00971CFD" w:rsidP="00971CFD">
      <w:pPr>
        <w:pStyle w:val="FootnoteText"/>
        <w:tabs>
          <w:tab w:val="left" w:pos="360"/>
        </w:tabs>
        <w:ind w:left="360" w:hanging="360"/>
        <w:sectPr w:rsidR="00971CFD" w:rsidSect="00971CFD">
          <w:pgSz w:w="11906" w:h="16838" w:code="9"/>
          <w:pgMar w:top="1418" w:right="1134" w:bottom="1418" w:left="1418" w:header="709" w:footer="709" w:gutter="0"/>
          <w:cols w:space="708"/>
          <w:docGrid w:linePitch="360"/>
        </w:sectPr>
      </w:pPr>
      <w:r>
        <w:t>3</w:t>
      </w:r>
      <w:r>
        <w:tab/>
        <w:t>Les postes du Personnel-Clé doivent correspondre à ceux indiqués sur le Formulaire TECH-5</w:t>
      </w:r>
    </w:p>
    <w:p w:rsidR="00971CFD" w:rsidRDefault="00971CFD" w:rsidP="00971CFD">
      <w:pPr>
        <w:ind w:right="900"/>
        <w:jc w:val="center"/>
        <w:rPr>
          <w:b/>
        </w:rPr>
      </w:pPr>
      <w:r>
        <w:rPr>
          <w:b/>
          <w:sz w:val="28"/>
        </w:rPr>
        <w:lastRenderedPageBreak/>
        <w:t>Formulaire FIN-5. Ventilation des frais remboursables</w:t>
      </w:r>
      <w:r>
        <w:rPr>
          <w:rStyle w:val="FootnoteReference"/>
          <w:b/>
        </w:rPr>
        <w:footnoteReference w:customMarkFollows="1" w:id="8"/>
        <w:t>1</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851"/>
        <w:gridCol w:w="1134"/>
        <w:gridCol w:w="1134"/>
        <w:gridCol w:w="1531"/>
        <w:gridCol w:w="1531"/>
        <w:gridCol w:w="1531"/>
        <w:gridCol w:w="1531"/>
      </w:tblGrid>
      <w:tr w:rsidR="00971CFD" w:rsidTr="007C5949">
        <w:trPr>
          <w:cantSplit/>
          <w:trHeight w:hRule="exact" w:val="454"/>
          <w:jc w:val="center"/>
        </w:trPr>
        <w:tc>
          <w:tcPr>
            <w:tcW w:w="12476" w:type="dxa"/>
            <w:gridSpan w:val="9"/>
            <w:tcBorders>
              <w:top w:val="double" w:sz="4" w:space="0" w:color="auto"/>
              <w:bottom w:val="double" w:sz="4" w:space="0" w:color="auto"/>
            </w:tcBorders>
            <w:vAlign w:val="center"/>
          </w:tcPr>
          <w:p w:rsidR="00971CFD" w:rsidRDefault="00971CFD" w:rsidP="007C5949">
            <w:pPr>
              <w:pStyle w:val="Header"/>
              <w:tabs>
                <w:tab w:val="clear" w:pos="4320"/>
                <w:tab w:val="clear" w:pos="8640"/>
                <w:tab w:val="right" w:pos="12070"/>
              </w:tabs>
              <w:rPr>
                <w:u w:val="single"/>
              </w:rPr>
            </w:pPr>
            <w:r>
              <w:rPr>
                <w:b/>
              </w:rPr>
              <w:t>Groupe d'activités (Etapes):</w:t>
            </w:r>
            <w:r>
              <w:rPr>
                <w:u w:val="single"/>
              </w:rPr>
              <w:tab/>
            </w:r>
          </w:p>
        </w:tc>
      </w:tr>
      <w:tr w:rsidR="00971CFD" w:rsidRPr="00A01540" w:rsidTr="007C5949">
        <w:trPr>
          <w:jc w:val="center"/>
        </w:trPr>
        <w:tc>
          <w:tcPr>
            <w:tcW w:w="454" w:type="dxa"/>
            <w:tcBorders>
              <w:top w:val="double" w:sz="4" w:space="0" w:color="auto"/>
              <w:bottom w:val="single" w:sz="12" w:space="0" w:color="auto"/>
            </w:tcBorders>
            <w:vAlign w:val="center"/>
          </w:tcPr>
          <w:p w:rsidR="00971CFD" w:rsidRPr="00A01540" w:rsidRDefault="00971CFD" w:rsidP="007C5949">
            <w:pPr>
              <w:spacing w:before="40" w:after="40"/>
              <w:jc w:val="center"/>
              <w:rPr>
                <w:b/>
                <w:sz w:val="20"/>
              </w:rPr>
            </w:pPr>
            <w:r w:rsidRPr="00A01540">
              <w:rPr>
                <w:b/>
                <w:sz w:val="20"/>
              </w:rPr>
              <w:t>N°</w:t>
            </w:r>
          </w:p>
        </w:tc>
        <w:tc>
          <w:tcPr>
            <w:tcW w:w="2779" w:type="dxa"/>
            <w:tcBorders>
              <w:top w:val="double" w:sz="4" w:space="0" w:color="auto"/>
              <w:bottom w:val="single" w:sz="12" w:space="0" w:color="auto"/>
            </w:tcBorders>
            <w:vAlign w:val="center"/>
          </w:tcPr>
          <w:p w:rsidR="00971CFD" w:rsidRPr="00A01540" w:rsidRDefault="00971CFD" w:rsidP="007C5949">
            <w:pPr>
              <w:spacing w:before="40" w:after="40"/>
              <w:jc w:val="center"/>
              <w:rPr>
                <w:b/>
                <w:sz w:val="20"/>
              </w:rPr>
            </w:pPr>
            <w:r w:rsidRPr="00A01540">
              <w:rPr>
                <w:b/>
                <w:sz w:val="20"/>
              </w:rPr>
              <w:t>Description</w:t>
            </w:r>
            <w:r w:rsidRPr="00A01540">
              <w:rPr>
                <w:b/>
                <w:vertAlign w:val="superscript"/>
              </w:rPr>
              <w:t>2</w:t>
            </w:r>
          </w:p>
        </w:tc>
        <w:tc>
          <w:tcPr>
            <w:tcW w:w="851" w:type="dxa"/>
            <w:tcBorders>
              <w:top w:val="double" w:sz="4" w:space="0" w:color="auto"/>
              <w:bottom w:val="single" w:sz="12" w:space="0" w:color="auto"/>
            </w:tcBorders>
            <w:vAlign w:val="center"/>
          </w:tcPr>
          <w:p w:rsidR="00971CFD" w:rsidRPr="00A01540" w:rsidRDefault="00971CFD" w:rsidP="007C5949">
            <w:pPr>
              <w:spacing w:before="40" w:after="40"/>
              <w:jc w:val="center"/>
              <w:rPr>
                <w:b/>
                <w:sz w:val="20"/>
              </w:rPr>
            </w:pPr>
            <w:r w:rsidRPr="00A01540">
              <w:rPr>
                <w:b/>
                <w:sz w:val="20"/>
              </w:rPr>
              <w:t>Unité</w:t>
            </w:r>
          </w:p>
        </w:tc>
        <w:tc>
          <w:tcPr>
            <w:tcW w:w="1134" w:type="dxa"/>
            <w:tcBorders>
              <w:top w:val="double" w:sz="4" w:space="0" w:color="auto"/>
              <w:bottom w:val="single" w:sz="12" w:space="0" w:color="auto"/>
            </w:tcBorders>
            <w:vAlign w:val="center"/>
          </w:tcPr>
          <w:p w:rsidR="00971CFD" w:rsidRPr="00A01540" w:rsidRDefault="00971CFD" w:rsidP="007C5949">
            <w:pPr>
              <w:spacing w:before="40" w:after="40"/>
              <w:jc w:val="center"/>
              <w:rPr>
                <w:b/>
                <w:sz w:val="20"/>
              </w:rPr>
            </w:pPr>
            <w:r w:rsidRPr="00A01540">
              <w:rPr>
                <w:b/>
                <w:sz w:val="20"/>
              </w:rPr>
              <w:t>Coût unitaire</w:t>
            </w:r>
            <w:r w:rsidRPr="00A01540">
              <w:rPr>
                <w:b/>
                <w:vertAlign w:val="superscript"/>
              </w:rPr>
              <w:t>3</w:t>
            </w:r>
          </w:p>
        </w:tc>
        <w:tc>
          <w:tcPr>
            <w:tcW w:w="1134" w:type="dxa"/>
            <w:tcBorders>
              <w:top w:val="double" w:sz="4" w:space="0" w:color="auto"/>
              <w:bottom w:val="single" w:sz="12" w:space="0" w:color="auto"/>
            </w:tcBorders>
            <w:vAlign w:val="center"/>
          </w:tcPr>
          <w:p w:rsidR="00971CFD" w:rsidRPr="00A01540" w:rsidRDefault="00971CFD" w:rsidP="007C5949">
            <w:pPr>
              <w:spacing w:before="40" w:after="40"/>
              <w:jc w:val="center"/>
              <w:rPr>
                <w:b/>
                <w:sz w:val="20"/>
              </w:rPr>
            </w:pPr>
            <w:r w:rsidRPr="00A01540">
              <w:rPr>
                <w:b/>
                <w:sz w:val="20"/>
              </w:rPr>
              <w:t>Quantité</w:t>
            </w:r>
          </w:p>
        </w:tc>
        <w:tc>
          <w:tcPr>
            <w:tcW w:w="6124" w:type="dxa"/>
            <w:gridSpan w:val="4"/>
            <w:tcBorders>
              <w:top w:val="double" w:sz="4" w:space="0" w:color="auto"/>
              <w:bottom w:val="single" w:sz="12" w:space="0" w:color="auto"/>
            </w:tcBorders>
            <w:vAlign w:val="center"/>
          </w:tcPr>
          <w:p w:rsidR="00971CFD" w:rsidRDefault="00971CFD" w:rsidP="007C5949">
            <w:pPr>
              <w:spacing w:before="40" w:after="40"/>
              <w:jc w:val="center"/>
              <w:rPr>
                <w:b/>
                <w:sz w:val="20"/>
              </w:rPr>
            </w:pPr>
            <w:r>
              <w:rPr>
                <w:b/>
                <w:sz w:val="20"/>
              </w:rPr>
              <w:t>COUTS (FCFA ou DEVISES)</w:t>
            </w:r>
          </w:p>
          <w:p w:rsidR="00971CFD" w:rsidRPr="00A01540" w:rsidRDefault="00971CFD" w:rsidP="007C5949">
            <w:pPr>
              <w:spacing w:before="40" w:after="40"/>
              <w:jc w:val="center"/>
              <w:rPr>
                <w:b/>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971CFD" w:rsidTr="007C5949">
        <w:trPr>
          <w:trHeight w:hRule="exact" w:val="340"/>
          <w:jc w:val="center"/>
        </w:trPr>
        <w:tc>
          <w:tcPr>
            <w:tcW w:w="454" w:type="dxa"/>
            <w:tcBorders>
              <w:top w:val="single" w:sz="12" w:space="0" w:color="auto"/>
              <w:bottom w:val="single" w:sz="6" w:space="0" w:color="auto"/>
            </w:tcBorders>
            <w:vAlign w:val="center"/>
          </w:tcPr>
          <w:p w:rsidR="00971CFD" w:rsidRDefault="00971CFD" w:rsidP="007C5949">
            <w:pPr>
              <w:pStyle w:val="Header"/>
              <w:tabs>
                <w:tab w:val="clear" w:pos="4320"/>
                <w:tab w:val="clear" w:pos="8640"/>
              </w:tabs>
              <w:spacing w:before="40"/>
              <w:rPr>
                <w:lang w:eastAsia="it-IT"/>
              </w:rPr>
            </w:pPr>
          </w:p>
        </w:tc>
        <w:tc>
          <w:tcPr>
            <w:tcW w:w="2779" w:type="dxa"/>
            <w:tcBorders>
              <w:top w:val="single" w:sz="12" w:space="0" w:color="auto"/>
              <w:bottom w:val="single" w:sz="6" w:space="0" w:color="auto"/>
              <w:right w:val="single" w:sz="8" w:space="0" w:color="auto"/>
            </w:tcBorders>
            <w:vAlign w:val="center"/>
          </w:tcPr>
          <w:p w:rsidR="00971CFD" w:rsidRDefault="00971CFD" w:rsidP="007C5949">
            <w:pPr>
              <w:rPr>
                <w:sz w:val="20"/>
              </w:rPr>
            </w:pPr>
            <w:r>
              <w:rPr>
                <w:sz w:val="20"/>
              </w:rPr>
              <w:t>Per diem</w:t>
            </w:r>
          </w:p>
        </w:tc>
        <w:tc>
          <w:tcPr>
            <w:tcW w:w="851" w:type="dxa"/>
            <w:tcBorders>
              <w:top w:val="single" w:sz="12" w:space="0" w:color="auto"/>
              <w:left w:val="single" w:sz="8" w:space="0" w:color="auto"/>
              <w:bottom w:val="single" w:sz="6" w:space="0" w:color="auto"/>
              <w:right w:val="single" w:sz="8" w:space="0" w:color="auto"/>
            </w:tcBorders>
            <w:vAlign w:val="center"/>
          </w:tcPr>
          <w:p w:rsidR="00971CFD" w:rsidRDefault="00971CFD" w:rsidP="007C5949">
            <w:pPr>
              <w:spacing w:before="40"/>
              <w:jc w:val="center"/>
              <w:rPr>
                <w:sz w:val="20"/>
              </w:rPr>
            </w:pPr>
            <w:r>
              <w:rPr>
                <w:sz w:val="20"/>
              </w:rPr>
              <w:t>Jour</w:t>
            </w:r>
          </w:p>
        </w:tc>
        <w:tc>
          <w:tcPr>
            <w:tcW w:w="1134" w:type="dxa"/>
            <w:tcBorders>
              <w:top w:val="single" w:sz="12" w:space="0" w:color="auto"/>
              <w:left w:val="single" w:sz="8" w:space="0" w:color="auto"/>
              <w:bottom w:val="single" w:sz="6" w:space="0" w:color="auto"/>
              <w:right w:val="single" w:sz="8" w:space="0" w:color="auto"/>
            </w:tcBorders>
            <w:vAlign w:val="center"/>
          </w:tcPr>
          <w:p w:rsidR="00971CFD" w:rsidRDefault="00971CFD" w:rsidP="007C5949">
            <w:pPr>
              <w:spacing w:before="40"/>
              <w:jc w:val="center"/>
              <w:rPr>
                <w:sz w:val="20"/>
              </w:rPr>
            </w:pPr>
          </w:p>
        </w:tc>
        <w:tc>
          <w:tcPr>
            <w:tcW w:w="1134" w:type="dxa"/>
            <w:tcBorders>
              <w:top w:val="single" w:sz="12" w:space="0" w:color="auto"/>
              <w:left w:val="single" w:sz="8" w:space="0" w:color="auto"/>
              <w:bottom w:val="single" w:sz="6" w:space="0" w:color="auto"/>
              <w:right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12" w:space="0" w:color="auto"/>
              <w:left w:val="single" w:sz="8" w:space="0" w:color="auto"/>
              <w:bottom w:val="single" w:sz="6" w:space="0" w:color="auto"/>
              <w:right w:val="single" w:sz="8" w:space="0" w:color="auto"/>
            </w:tcBorders>
            <w:vAlign w:val="center"/>
          </w:tcPr>
          <w:p w:rsidR="00971CFD" w:rsidRDefault="00971CFD" w:rsidP="007C5949">
            <w:pPr>
              <w:spacing w:before="40"/>
              <w:rPr>
                <w:sz w:val="20"/>
              </w:rPr>
            </w:pPr>
          </w:p>
        </w:tc>
        <w:tc>
          <w:tcPr>
            <w:tcW w:w="1531" w:type="dxa"/>
            <w:tcBorders>
              <w:top w:val="single" w:sz="12" w:space="0" w:color="auto"/>
              <w:left w:val="single" w:sz="8" w:space="0" w:color="auto"/>
              <w:bottom w:val="single" w:sz="6" w:space="0" w:color="auto"/>
              <w:right w:val="single" w:sz="8" w:space="0" w:color="auto"/>
            </w:tcBorders>
            <w:vAlign w:val="center"/>
          </w:tcPr>
          <w:p w:rsidR="00971CFD" w:rsidRDefault="00971CFD" w:rsidP="007C5949">
            <w:pPr>
              <w:spacing w:before="40"/>
              <w:jc w:val="center"/>
              <w:rPr>
                <w:sz w:val="20"/>
              </w:rPr>
            </w:pPr>
          </w:p>
        </w:tc>
        <w:tc>
          <w:tcPr>
            <w:tcW w:w="1531" w:type="dxa"/>
            <w:tcBorders>
              <w:top w:val="single" w:sz="12" w:space="0" w:color="auto"/>
              <w:left w:val="single" w:sz="8" w:space="0" w:color="auto"/>
              <w:bottom w:val="single" w:sz="6" w:space="0" w:color="auto"/>
              <w:right w:val="single" w:sz="8" w:space="0" w:color="auto"/>
            </w:tcBorders>
            <w:vAlign w:val="center"/>
          </w:tcPr>
          <w:p w:rsidR="00971CFD" w:rsidRDefault="00971CFD" w:rsidP="007C5949">
            <w:pPr>
              <w:spacing w:before="40"/>
              <w:jc w:val="center"/>
              <w:rPr>
                <w:sz w:val="20"/>
              </w:rPr>
            </w:pPr>
          </w:p>
        </w:tc>
        <w:tc>
          <w:tcPr>
            <w:tcW w:w="1531" w:type="dxa"/>
            <w:tcBorders>
              <w:top w:val="single" w:sz="12" w:space="0" w:color="auto"/>
              <w:left w:val="single" w:sz="8" w:space="0" w:color="auto"/>
              <w:bottom w:val="single" w:sz="6" w:space="0" w:color="auto"/>
            </w:tcBorders>
            <w:vAlign w:val="center"/>
          </w:tcPr>
          <w:p w:rsidR="00971CFD" w:rsidRDefault="00971CFD" w:rsidP="007C5949">
            <w:pPr>
              <w:spacing w:before="40"/>
              <w:jc w:val="center"/>
              <w:rPr>
                <w:sz w:val="20"/>
              </w:rPr>
            </w:pPr>
          </w:p>
        </w:tc>
      </w:tr>
      <w:tr w:rsidR="00971CFD" w:rsidTr="007C5949">
        <w:trPr>
          <w:trHeight w:hRule="exact" w:val="340"/>
          <w:jc w:val="center"/>
        </w:trPr>
        <w:tc>
          <w:tcPr>
            <w:tcW w:w="454" w:type="dxa"/>
            <w:tcBorders>
              <w:top w:val="single" w:sz="6" w:space="0" w:color="auto"/>
            </w:tcBorders>
            <w:vAlign w:val="center"/>
          </w:tcPr>
          <w:p w:rsidR="00971CFD" w:rsidRDefault="00971CFD" w:rsidP="007C5949">
            <w:pPr>
              <w:pStyle w:val="Header"/>
              <w:tabs>
                <w:tab w:val="clear" w:pos="4320"/>
                <w:tab w:val="clear" w:pos="8640"/>
              </w:tabs>
              <w:spacing w:before="40"/>
              <w:rPr>
                <w:lang w:eastAsia="it-IT"/>
              </w:rPr>
            </w:pPr>
          </w:p>
        </w:tc>
        <w:tc>
          <w:tcPr>
            <w:tcW w:w="2779" w:type="dxa"/>
            <w:tcBorders>
              <w:top w:val="single" w:sz="6" w:space="0" w:color="auto"/>
              <w:right w:val="single" w:sz="8" w:space="0" w:color="auto"/>
            </w:tcBorders>
            <w:vAlign w:val="center"/>
          </w:tcPr>
          <w:p w:rsidR="00971CFD" w:rsidRDefault="00971CFD" w:rsidP="007C5949">
            <w:pPr>
              <w:rPr>
                <w:sz w:val="20"/>
              </w:rPr>
            </w:pPr>
            <w:r>
              <w:rPr>
                <w:sz w:val="20"/>
              </w:rPr>
              <w:t>Déplacements internationaux</w:t>
            </w:r>
            <w:r>
              <w:rPr>
                <w:vertAlign w:val="superscript"/>
              </w:rPr>
              <w:t>5</w:t>
            </w:r>
          </w:p>
        </w:tc>
        <w:tc>
          <w:tcPr>
            <w:tcW w:w="851" w:type="dxa"/>
            <w:tcBorders>
              <w:top w:val="single" w:sz="6" w:space="0" w:color="auto"/>
              <w:left w:val="single" w:sz="8" w:space="0" w:color="auto"/>
              <w:bottom w:val="single" w:sz="8" w:space="0" w:color="auto"/>
              <w:right w:val="single" w:sz="8" w:space="0" w:color="auto"/>
            </w:tcBorders>
            <w:vAlign w:val="center"/>
          </w:tcPr>
          <w:p w:rsidR="00971CFD" w:rsidRDefault="00971CFD" w:rsidP="007C5949">
            <w:pPr>
              <w:pStyle w:val="Header"/>
              <w:tabs>
                <w:tab w:val="clear" w:pos="4320"/>
                <w:tab w:val="clear" w:pos="8640"/>
              </w:tabs>
              <w:spacing w:before="40"/>
              <w:jc w:val="center"/>
              <w:rPr>
                <w:sz w:val="20"/>
              </w:rPr>
            </w:pPr>
            <w:r>
              <w:rPr>
                <w:sz w:val="20"/>
                <w:lang w:eastAsia="it-IT"/>
              </w:rPr>
              <w:t>Voyage</w:t>
            </w:r>
          </w:p>
        </w:tc>
        <w:tc>
          <w:tcPr>
            <w:tcW w:w="1134" w:type="dxa"/>
            <w:tcBorders>
              <w:top w:val="single" w:sz="6" w:space="0" w:color="auto"/>
              <w:left w:val="single" w:sz="8" w:space="0" w:color="auto"/>
              <w:bottom w:val="single" w:sz="8" w:space="0" w:color="auto"/>
              <w:right w:val="single" w:sz="8" w:space="0" w:color="auto"/>
            </w:tcBorders>
            <w:vAlign w:val="center"/>
          </w:tcPr>
          <w:p w:rsidR="00971CFD" w:rsidRDefault="00971CFD" w:rsidP="007C5949">
            <w:pPr>
              <w:spacing w:before="40"/>
              <w:jc w:val="center"/>
              <w:rPr>
                <w:sz w:val="20"/>
              </w:rPr>
            </w:pPr>
          </w:p>
        </w:tc>
        <w:tc>
          <w:tcPr>
            <w:tcW w:w="1134" w:type="dxa"/>
            <w:tcBorders>
              <w:top w:val="single" w:sz="6" w:space="0" w:color="auto"/>
              <w:left w:val="single" w:sz="8" w:space="0" w:color="auto"/>
              <w:bottom w:val="single" w:sz="8" w:space="0" w:color="auto"/>
              <w:right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6" w:space="0" w:color="auto"/>
              <w:left w:val="single" w:sz="8" w:space="0" w:color="auto"/>
              <w:bottom w:val="single" w:sz="8" w:space="0" w:color="auto"/>
              <w:right w:val="single" w:sz="8" w:space="0" w:color="auto"/>
            </w:tcBorders>
            <w:vAlign w:val="center"/>
          </w:tcPr>
          <w:p w:rsidR="00971CFD" w:rsidRDefault="00971CFD" w:rsidP="007C5949">
            <w:pPr>
              <w:spacing w:before="40"/>
              <w:jc w:val="center"/>
              <w:rPr>
                <w:sz w:val="20"/>
              </w:rPr>
            </w:pPr>
          </w:p>
        </w:tc>
        <w:tc>
          <w:tcPr>
            <w:tcW w:w="1531" w:type="dxa"/>
            <w:tcBorders>
              <w:top w:val="single" w:sz="6" w:space="0" w:color="auto"/>
              <w:left w:val="single" w:sz="8" w:space="0" w:color="auto"/>
              <w:bottom w:val="single" w:sz="8" w:space="0" w:color="auto"/>
              <w:right w:val="single" w:sz="8" w:space="0" w:color="auto"/>
            </w:tcBorders>
            <w:vAlign w:val="center"/>
          </w:tcPr>
          <w:p w:rsidR="00971CFD" w:rsidRDefault="00971CFD" w:rsidP="007C5949">
            <w:pPr>
              <w:spacing w:before="40"/>
              <w:jc w:val="center"/>
              <w:rPr>
                <w:sz w:val="20"/>
              </w:rPr>
            </w:pPr>
          </w:p>
        </w:tc>
        <w:tc>
          <w:tcPr>
            <w:tcW w:w="1531" w:type="dxa"/>
            <w:tcBorders>
              <w:top w:val="single" w:sz="6" w:space="0" w:color="auto"/>
              <w:left w:val="single" w:sz="8" w:space="0" w:color="auto"/>
              <w:bottom w:val="single" w:sz="8" w:space="0" w:color="auto"/>
              <w:right w:val="single" w:sz="8" w:space="0" w:color="auto"/>
            </w:tcBorders>
            <w:vAlign w:val="center"/>
          </w:tcPr>
          <w:p w:rsidR="00971CFD" w:rsidRDefault="00971CFD" w:rsidP="007C5949">
            <w:pPr>
              <w:spacing w:before="40"/>
              <w:jc w:val="center"/>
              <w:rPr>
                <w:sz w:val="20"/>
              </w:rPr>
            </w:pPr>
          </w:p>
        </w:tc>
        <w:tc>
          <w:tcPr>
            <w:tcW w:w="1531" w:type="dxa"/>
            <w:tcBorders>
              <w:top w:val="single" w:sz="6" w:space="0" w:color="auto"/>
              <w:left w:val="single" w:sz="8" w:space="0" w:color="auto"/>
              <w:bottom w:val="single" w:sz="8" w:space="0" w:color="auto"/>
            </w:tcBorders>
            <w:vAlign w:val="center"/>
          </w:tcPr>
          <w:p w:rsidR="00971CFD" w:rsidRDefault="00971CFD" w:rsidP="007C5949">
            <w:pPr>
              <w:spacing w:before="40"/>
              <w:jc w:val="center"/>
              <w:rPr>
                <w:sz w:val="20"/>
              </w:rPr>
            </w:pPr>
          </w:p>
        </w:tc>
      </w:tr>
      <w:tr w:rsidR="00971CFD" w:rsidTr="007C5949">
        <w:trPr>
          <w:trHeight w:hRule="exact" w:val="340"/>
          <w:jc w:val="center"/>
        </w:trPr>
        <w:tc>
          <w:tcPr>
            <w:tcW w:w="454" w:type="dxa"/>
            <w:tcBorders>
              <w:top w:val="single" w:sz="8" w:space="0" w:color="auto"/>
            </w:tcBorders>
            <w:vAlign w:val="center"/>
          </w:tcPr>
          <w:p w:rsidR="00971CFD" w:rsidRDefault="00971CFD" w:rsidP="007C5949">
            <w:pPr>
              <w:pStyle w:val="Header"/>
              <w:tabs>
                <w:tab w:val="clear" w:pos="4320"/>
                <w:tab w:val="clear" w:pos="8640"/>
              </w:tabs>
              <w:spacing w:before="40"/>
              <w:rPr>
                <w:lang w:eastAsia="it-IT"/>
              </w:rPr>
            </w:pPr>
          </w:p>
        </w:tc>
        <w:tc>
          <w:tcPr>
            <w:tcW w:w="2779" w:type="dxa"/>
            <w:tcBorders>
              <w:top w:val="single" w:sz="8" w:space="0" w:color="auto"/>
            </w:tcBorders>
            <w:vAlign w:val="center"/>
          </w:tcPr>
          <w:p w:rsidR="00971CFD" w:rsidRDefault="00971CFD" w:rsidP="007C5949">
            <w:pPr>
              <w:rPr>
                <w:sz w:val="20"/>
              </w:rPr>
            </w:pPr>
            <w:r>
              <w:rPr>
                <w:sz w:val="20"/>
              </w:rPr>
              <w:t xml:space="preserve"> Frais voyage</w:t>
            </w:r>
          </w:p>
        </w:tc>
        <w:tc>
          <w:tcPr>
            <w:tcW w:w="851" w:type="dxa"/>
            <w:tcBorders>
              <w:top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r>
              <w:rPr>
                <w:sz w:val="20"/>
                <w:lang w:eastAsia="it-IT"/>
              </w:rPr>
              <w:t>Voyage</w:t>
            </w:r>
          </w:p>
        </w:tc>
        <w:tc>
          <w:tcPr>
            <w:tcW w:w="1134" w:type="dxa"/>
            <w:tcBorders>
              <w:top w:val="single" w:sz="8" w:space="0" w:color="auto"/>
            </w:tcBorders>
            <w:vAlign w:val="center"/>
          </w:tcPr>
          <w:p w:rsidR="00971CFD" w:rsidRDefault="00971CFD" w:rsidP="007C5949">
            <w:pPr>
              <w:spacing w:before="40"/>
              <w:jc w:val="center"/>
              <w:rPr>
                <w:sz w:val="20"/>
              </w:rPr>
            </w:pPr>
          </w:p>
        </w:tc>
        <w:tc>
          <w:tcPr>
            <w:tcW w:w="1134" w:type="dxa"/>
            <w:tcBorders>
              <w:top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spacing w:before="40"/>
              <w:jc w:val="center"/>
              <w:rPr>
                <w:sz w:val="20"/>
              </w:rPr>
            </w:pPr>
          </w:p>
        </w:tc>
      </w:tr>
      <w:tr w:rsidR="00971CFD" w:rsidTr="007C5949">
        <w:trPr>
          <w:jc w:val="center"/>
        </w:trPr>
        <w:tc>
          <w:tcPr>
            <w:tcW w:w="454" w:type="dxa"/>
            <w:tcBorders>
              <w:top w:val="single" w:sz="8" w:space="0" w:color="auto"/>
            </w:tcBorders>
            <w:vAlign w:val="center"/>
          </w:tcPr>
          <w:p w:rsidR="00971CFD" w:rsidRDefault="00971CFD" w:rsidP="007C5949">
            <w:pPr>
              <w:spacing w:before="40"/>
            </w:pPr>
          </w:p>
        </w:tc>
        <w:tc>
          <w:tcPr>
            <w:tcW w:w="2779" w:type="dxa"/>
            <w:tcBorders>
              <w:top w:val="single" w:sz="6" w:space="0" w:color="auto"/>
              <w:bottom w:val="single" w:sz="8" w:space="0" w:color="auto"/>
            </w:tcBorders>
            <w:vAlign w:val="center"/>
          </w:tcPr>
          <w:p w:rsidR="00971CFD" w:rsidRDefault="00971CFD" w:rsidP="007C5949">
            <w:pPr>
              <w:rPr>
                <w:sz w:val="20"/>
              </w:rPr>
            </w:pPr>
            <w:r>
              <w:rPr>
                <w:sz w:val="20"/>
              </w:rPr>
              <w:t xml:space="preserve">Frais de communication entre </w:t>
            </w:r>
            <w:r>
              <w:rPr>
                <w:i/>
                <w:sz w:val="20"/>
              </w:rPr>
              <w:t>[nom du lieu]</w:t>
            </w:r>
            <w:r>
              <w:rPr>
                <w:sz w:val="20"/>
              </w:rPr>
              <w:t xml:space="preserve"> et </w:t>
            </w:r>
            <w:r>
              <w:rPr>
                <w:i/>
                <w:sz w:val="20"/>
              </w:rPr>
              <w:t>[nom du lieu]</w:t>
            </w:r>
          </w:p>
        </w:tc>
        <w:tc>
          <w:tcPr>
            <w:tcW w:w="851" w:type="dxa"/>
            <w:tcBorders>
              <w:top w:val="single" w:sz="6" w:space="0" w:color="auto"/>
              <w:bottom w:val="single" w:sz="8" w:space="0" w:color="auto"/>
            </w:tcBorders>
            <w:vAlign w:val="center"/>
          </w:tcPr>
          <w:p w:rsidR="00971CFD" w:rsidRDefault="00971CFD" w:rsidP="007C5949">
            <w:pPr>
              <w:spacing w:before="40"/>
              <w:jc w:val="center"/>
              <w:rPr>
                <w:sz w:val="20"/>
              </w:rPr>
            </w:pPr>
          </w:p>
        </w:tc>
        <w:tc>
          <w:tcPr>
            <w:tcW w:w="1134"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134"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spacing w:before="40"/>
              <w:jc w:val="center"/>
              <w:rPr>
                <w:sz w:val="20"/>
              </w:rPr>
            </w:pPr>
          </w:p>
        </w:tc>
      </w:tr>
      <w:tr w:rsidR="00971CFD" w:rsidTr="007C5949">
        <w:trPr>
          <w:trHeight w:hRule="exact" w:val="340"/>
          <w:jc w:val="center"/>
        </w:trPr>
        <w:tc>
          <w:tcPr>
            <w:tcW w:w="454" w:type="dxa"/>
            <w:tcBorders>
              <w:top w:val="single" w:sz="8" w:space="0" w:color="auto"/>
            </w:tcBorders>
            <w:vAlign w:val="center"/>
          </w:tcPr>
          <w:p w:rsidR="00971CFD" w:rsidRDefault="00971CFD" w:rsidP="007C5949">
            <w:pPr>
              <w:spacing w:before="40"/>
            </w:pPr>
          </w:p>
        </w:tc>
        <w:tc>
          <w:tcPr>
            <w:tcW w:w="2779" w:type="dxa"/>
            <w:tcBorders>
              <w:top w:val="single" w:sz="8" w:space="0" w:color="auto"/>
            </w:tcBorders>
            <w:vAlign w:val="center"/>
          </w:tcPr>
          <w:p w:rsidR="00971CFD" w:rsidRDefault="00971CFD" w:rsidP="007C5949">
            <w:pPr>
              <w:rPr>
                <w:sz w:val="20"/>
              </w:rPr>
            </w:pPr>
            <w:r>
              <w:rPr>
                <w:sz w:val="20"/>
              </w:rPr>
              <w:t>Plans, reproduction de rapports</w:t>
            </w:r>
          </w:p>
        </w:tc>
        <w:tc>
          <w:tcPr>
            <w:tcW w:w="85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134"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134"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spacing w:before="40"/>
              <w:jc w:val="center"/>
              <w:rPr>
                <w:sz w:val="20"/>
              </w:rPr>
            </w:pPr>
          </w:p>
        </w:tc>
      </w:tr>
      <w:tr w:rsidR="00971CFD" w:rsidRPr="0047082A" w:rsidTr="007C5949">
        <w:trPr>
          <w:jc w:val="center"/>
        </w:trPr>
        <w:tc>
          <w:tcPr>
            <w:tcW w:w="454" w:type="dxa"/>
            <w:tcBorders>
              <w:top w:val="single" w:sz="8" w:space="0" w:color="auto"/>
            </w:tcBorders>
            <w:vAlign w:val="center"/>
          </w:tcPr>
          <w:p w:rsidR="00971CFD" w:rsidRDefault="00971CFD" w:rsidP="007C5949">
            <w:pPr>
              <w:spacing w:before="40"/>
            </w:pPr>
          </w:p>
        </w:tc>
        <w:tc>
          <w:tcPr>
            <w:tcW w:w="2779" w:type="dxa"/>
            <w:tcBorders>
              <w:top w:val="single" w:sz="8" w:space="0" w:color="auto"/>
            </w:tcBorders>
            <w:vAlign w:val="center"/>
          </w:tcPr>
          <w:p w:rsidR="00971CFD" w:rsidRDefault="00971CFD" w:rsidP="007C5949">
            <w:pPr>
              <w:pStyle w:val="Header"/>
              <w:tabs>
                <w:tab w:val="clear" w:pos="4320"/>
                <w:tab w:val="clear" w:pos="8640"/>
              </w:tabs>
              <w:rPr>
                <w:sz w:val="20"/>
                <w:lang w:eastAsia="it-IT"/>
              </w:rPr>
            </w:pPr>
            <w:r>
              <w:rPr>
                <w:sz w:val="20"/>
                <w:lang w:eastAsia="it-IT"/>
              </w:rPr>
              <w:t>Equipements, instruments, matériels, fournitures, etc.</w:t>
            </w:r>
          </w:p>
        </w:tc>
        <w:tc>
          <w:tcPr>
            <w:tcW w:w="851" w:type="dxa"/>
            <w:tcBorders>
              <w:top w:val="single" w:sz="8" w:space="0" w:color="auto"/>
              <w:bottom w:val="single" w:sz="8" w:space="0" w:color="auto"/>
            </w:tcBorders>
            <w:vAlign w:val="center"/>
          </w:tcPr>
          <w:p w:rsidR="00971CFD" w:rsidRPr="0047082A" w:rsidRDefault="00971CFD" w:rsidP="007C5949">
            <w:pPr>
              <w:spacing w:before="40"/>
              <w:jc w:val="center"/>
              <w:rPr>
                <w:sz w:val="20"/>
              </w:rPr>
            </w:pPr>
          </w:p>
        </w:tc>
        <w:tc>
          <w:tcPr>
            <w:tcW w:w="1134" w:type="dxa"/>
            <w:tcBorders>
              <w:top w:val="single" w:sz="8" w:space="0" w:color="auto"/>
              <w:bottom w:val="single" w:sz="8" w:space="0" w:color="auto"/>
            </w:tcBorders>
            <w:vAlign w:val="center"/>
          </w:tcPr>
          <w:p w:rsidR="00971CFD" w:rsidRPr="0047082A" w:rsidRDefault="00971CFD" w:rsidP="007C5949">
            <w:pPr>
              <w:spacing w:before="40"/>
              <w:jc w:val="center"/>
              <w:rPr>
                <w:sz w:val="20"/>
              </w:rPr>
            </w:pPr>
          </w:p>
        </w:tc>
        <w:tc>
          <w:tcPr>
            <w:tcW w:w="1134" w:type="dxa"/>
            <w:tcBorders>
              <w:top w:val="single" w:sz="8" w:space="0" w:color="auto"/>
              <w:bottom w:val="single" w:sz="8" w:space="0" w:color="auto"/>
            </w:tcBorders>
            <w:vAlign w:val="center"/>
          </w:tcPr>
          <w:p w:rsidR="00971CFD" w:rsidRPr="0047082A"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8" w:space="0" w:color="auto"/>
            </w:tcBorders>
            <w:vAlign w:val="center"/>
          </w:tcPr>
          <w:p w:rsidR="00971CFD" w:rsidRPr="0047082A" w:rsidRDefault="00971CFD" w:rsidP="007C5949">
            <w:pPr>
              <w:spacing w:before="40"/>
              <w:jc w:val="center"/>
              <w:rPr>
                <w:sz w:val="20"/>
              </w:rPr>
            </w:pPr>
          </w:p>
        </w:tc>
        <w:tc>
          <w:tcPr>
            <w:tcW w:w="1531" w:type="dxa"/>
            <w:tcBorders>
              <w:top w:val="single" w:sz="8" w:space="0" w:color="auto"/>
            </w:tcBorders>
            <w:vAlign w:val="center"/>
          </w:tcPr>
          <w:p w:rsidR="00971CFD" w:rsidRPr="0047082A" w:rsidRDefault="00971CFD" w:rsidP="007C5949">
            <w:pPr>
              <w:spacing w:before="40"/>
              <w:jc w:val="center"/>
              <w:rPr>
                <w:sz w:val="20"/>
              </w:rPr>
            </w:pPr>
          </w:p>
        </w:tc>
        <w:tc>
          <w:tcPr>
            <w:tcW w:w="1531" w:type="dxa"/>
            <w:tcBorders>
              <w:top w:val="single" w:sz="8" w:space="0" w:color="auto"/>
            </w:tcBorders>
            <w:vAlign w:val="center"/>
          </w:tcPr>
          <w:p w:rsidR="00971CFD" w:rsidRPr="0047082A" w:rsidRDefault="00971CFD" w:rsidP="007C5949">
            <w:pPr>
              <w:spacing w:before="40"/>
              <w:jc w:val="center"/>
              <w:rPr>
                <w:sz w:val="20"/>
              </w:rPr>
            </w:pPr>
          </w:p>
        </w:tc>
      </w:tr>
      <w:tr w:rsidR="00971CFD" w:rsidTr="007C5949">
        <w:trPr>
          <w:trHeight w:hRule="exact" w:val="340"/>
          <w:jc w:val="center"/>
        </w:trPr>
        <w:tc>
          <w:tcPr>
            <w:tcW w:w="454" w:type="dxa"/>
            <w:tcBorders>
              <w:top w:val="single" w:sz="8" w:space="0" w:color="auto"/>
            </w:tcBorders>
            <w:vAlign w:val="center"/>
          </w:tcPr>
          <w:p w:rsidR="00971CFD" w:rsidRDefault="00971CFD" w:rsidP="007C5949">
            <w:pPr>
              <w:pStyle w:val="Header"/>
              <w:tabs>
                <w:tab w:val="clear" w:pos="4320"/>
                <w:tab w:val="clear" w:pos="8640"/>
              </w:tabs>
              <w:spacing w:before="40"/>
              <w:rPr>
                <w:lang w:eastAsia="it-IT"/>
              </w:rPr>
            </w:pPr>
          </w:p>
        </w:tc>
        <w:tc>
          <w:tcPr>
            <w:tcW w:w="2779" w:type="dxa"/>
            <w:tcBorders>
              <w:top w:val="single" w:sz="8" w:space="0" w:color="auto"/>
              <w:bottom w:val="single" w:sz="8" w:space="0" w:color="auto"/>
            </w:tcBorders>
            <w:vAlign w:val="center"/>
          </w:tcPr>
          <w:p w:rsidR="00971CFD" w:rsidRDefault="00971CFD" w:rsidP="007C5949">
            <w:pPr>
              <w:pStyle w:val="Header"/>
              <w:tabs>
                <w:tab w:val="clear" w:pos="4320"/>
                <w:tab w:val="clear" w:pos="8640"/>
              </w:tabs>
              <w:rPr>
                <w:sz w:val="20"/>
                <w:lang w:eastAsia="it-IT"/>
              </w:rPr>
            </w:pPr>
            <w:r>
              <w:rPr>
                <w:sz w:val="20"/>
                <w:lang w:eastAsia="it-IT"/>
              </w:rPr>
              <w:t>Envoi effets personnels</w:t>
            </w:r>
          </w:p>
        </w:tc>
        <w:tc>
          <w:tcPr>
            <w:tcW w:w="851" w:type="dxa"/>
            <w:tcBorders>
              <w:top w:val="single" w:sz="8" w:space="0" w:color="auto"/>
              <w:bottom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r>
              <w:rPr>
                <w:sz w:val="20"/>
                <w:lang w:eastAsia="it-IT"/>
              </w:rPr>
              <w:t>Voyage</w:t>
            </w:r>
          </w:p>
        </w:tc>
        <w:tc>
          <w:tcPr>
            <w:tcW w:w="1134"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134" w:type="dxa"/>
            <w:tcBorders>
              <w:top w:val="single" w:sz="8" w:space="0" w:color="auto"/>
              <w:bottom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8" w:space="0" w:color="auto"/>
              <w:bottom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r>
      <w:tr w:rsidR="00971CFD" w:rsidTr="007C5949">
        <w:trPr>
          <w:trHeight w:hRule="exact" w:val="340"/>
          <w:jc w:val="center"/>
        </w:trPr>
        <w:tc>
          <w:tcPr>
            <w:tcW w:w="454" w:type="dxa"/>
            <w:tcBorders>
              <w:top w:val="single" w:sz="8" w:space="0" w:color="auto"/>
            </w:tcBorders>
            <w:vAlign w:val="center"/>
          </w:tcPr>
          <w:p w:rsidR="00971CFD" w:rsidRDefault="00971CFD" w:rsidP="007C5949">
            <w:pPr>
              <w:pStyle w:val="Header"/>
              <w:tabs>
                <w:tab w:val="clear" w:pos="4320"/>
                <w:tab w:val="clear" w:pos="8640"/>
              </w:tabs>
              <w:spacing w:before="40"/>
              <w:rPr>
                <w:lang w:eastAsia="it-IT"/>
              </w:rPr>
            </w:pPr>
          </w:p>
        </w:tc>
        <w:tc>
          <w:tcPr>
            <w:tcW w:w="2779" w:type="dxa"/>
            <w:tcBorders>
              <w:top w:val="single" w:sz="8"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r>
              <w:rPr>
                <w:sz w:val="20"/>
                <w:lang w:eastAsia="it-IT"/>
              </w:rPr>
              <w:t>Emploi ordinateurs, logiciel</w:t>
            </w:r>
          </w:p>
        </w:tc>
        <w:tc>
          <w:tcPr>
            <w:tcW w:w="851" w:type="dxa"/>
            <w:tcBorders>
              <w:top w:val="single" w:sz="8" w:space="0" w:color="auto"/>
              <w:bottom w:val="single" w:sz="6" w:space="0" w:color="auto"/>
            </w:tcBorders>
            <w:vAlign w:val="center"/>
          </w:tcPr>
          <w:p w:rsidR="00971CFD" w:rsidRDefault="00971CFD" w:rsidP="007C5949">
            <w:pPr>
              <w:spacing w:before="40"/>
              <w:jc w:val="center"/>
              <w:rPr>
                <w:sz w:val="20"/>
              </w:rPr>
            </w:pPr>
          </w:p>
        </w:tc>
        <w:tc>
          <w:tcPr>
            <w:tcW w:w="1134" w:type="dxa"/>
            <w:tcBorders>
              <w:top w:val="single" w:sz="8" w:space="0" w:color="auto"/>
            </w:tcBorders>
            <w:vAlign w:val="center"/>
          </w:tcPr>
          <w:p w:rsidR="00971CFD" w:rsidRDefault="00971CFD" w:rsidP="007C5949">
            <w:pPr>
              <w:spacing w:before="40"/>
              <w:jc w:val="center"/>
              <w:rPr>
                <w:sz w:val="20"/>
              </w:rPr>
            </w:pPr>
          </w:p>
        </w:tc>
        <w:tc>
          <w:tcPr>
            <w:tcW w:w="1134" w:type="dxa"/>
            <w:tcBorders>
              <w:top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spacing w:before="40"/>
              <w:jc w:val="center"/>
              <w:rPr>
                <w:sz w:val="20"/>
              </w:rPr>
            </w:pPr>
          </w:p>
        </w:tc>
      </w:tr>
      <w:tr w:rsidR="00971CFD" w:rsidTr="007C5949">
        <w:trPr>
          <w:trHeight w:hRule="exact" w:val="340"/>
          <w:jc w:val="center"/>
        </w:trPr>
        <w:tc>
          <w:tcPr>
            <w:tcW w:w="454" w:type="dxa"/>
            <w:tcBorders>
              <w:top w:val="single" w:sz="8" w:space="0" w:color="auto"/>
            </w:tcBorders>
            <w:vAlign w:val="center"/>
          </w:tcPr>
          <w:p w:rsidR="00971CFD" w:rsidRDefault="00971CFD" w:rsidP="007C5949">
            <w:pPr>
              <w:pStyle w:val="Header"/>
              <w:tabs>
                <w:tab w:val="clear" w:pos="4320"/>
                <w:tab w:val="clear" w:pos="8640"/>
              </w:tabs>
              <w:spacing w:before="40"/>
              <w:rPr>
                <w:lang w:eastAsia="it-IT"/>
              </w:rPr>
            </w:pPr>
          </w:p>
        </w:tc>
        <w:tc>
          <w:tcPr>
            <w:tcW w:w="2779" w:type="dxa"/>
            <w:tcBorders>
              <w:top w:val="single" w:sz="8" w:space="0" w:color="auto"/>
            </w:tcBorders>
            <w:vAlign w:val="center"/>
          </w:tcPr>
          <w:p w:rsidR="00971CFD" w:rsidRDefault="00971CFD" w:rsidP="007C5949">
            <w:pPr>
              <w:pStyle w:val="Header"/>
              <w:tabs>
                <w:tab w:val="clear" w:pos="4320"/>
                <w:tab w:val="clear" w:pos="8640"/>
              </w:tabs>
              <w:rPr>
                <w:sz w:val="20"/>
                <w:lang w:val="en-GB"/>
              </w:rPr>
            </w:pPr>
            <w:r w:rsidRPr="008B2B1F">
              <w:rPr>
                <w:sz w:val="20"/>
              </w:rPr>
              <w:t>Essais</w:t>
            </w:r>
            <w:r>
              <w:rPr>
                <w:sz w:val="20"/>
              </w:rPr>
              <w:t xml:space="preserve"> </w:t>
            </w:r>
            <w:r w:rsidRPr="008B2B1F">
              <w:rPr>
                <w:sz w:val="20"/>
              </w:rPr>
              <w:t>laboratoire</w:t>
            </w:r>
            <w:r>
              <w:rPr>
                <w:sz w:val="20"/>
                <w:lang w:val="en-GB"/>
              </w:rPr>
              <w:t>.</w:t>
            </w:r>
          </w:p>
        </w:tc>
        <w:tc>
          <w:tcPr>
            <w:tcW w:w="851" w:type="dxa"/>
            <w:tcBorders>
              <w:top w:val="single" w:sz="8" w:space="0" w:color="auto"/>
            </w:tcBorders>
            <w:vAlign w:val="center"/>
          </w:tcPr>
          <w:p w:rsidR="00971CFD" w:rsidRDefault="00971CFD" w:rsidP="007C5949">
            <w:pPr>
              <w:spacing w:before="40"/>
              <w:jc w:val="center"/>
              <w:rPr>
                <w:sz w:val="20"/>
              </w:rPr>
            </w:pPr>
          </w:p>
        </w:tc>
        <w:tc>
          <w:tcPr>
            <w:tcW w:w="1134" w:type="dxa"/>
            <w:tcBorders>
              <w:top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134" w:type="dxa"/>
            <w:tcBorders>
              <w:top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8" w:space="0" w:color="auto"/>
              <w:bottom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spacing w:before="40"/>
              <w:jc w:val="center"/>
              <w:rPr>
                <w:sz w:val="20"/>
              </w:rPr>
            </w:pPr>
          </w:p>
        </w:tc>
      </w:tr>
      <w:tr w:rsidR="00971CFD" w:rsidTr="007C5949">
        <w:trPr>
          <w:trHeight w:hRule="exact" w:val="340"/>
          <w:jc w:val="center"/>
        </w:trPr>
        <w:tc>
          <w:tcPr>
            <w:tcW w:w="454" w:type="dxa"/>
            <w:tcBorders>
              <w:top w:val="single" w:sz="8" w:space="0" w:color="auto"/>
            </w:tcBorders>
            <w:vAlign w:val="center"/>
          </w:tcPr>
          <w:p w:rsidR="00971CFD" w:rsidRDefault="00971CFD" w:rsidP="007C5949">
            <w:pPr>
              <w:spacing w:before="40"/>
            </w:pPr>
          </w:p>
        </w:tc>
        <w:tc>
          <w:tcPr>
            <w:tcW w:w="2779" w:type="dxa"/>
            <w:tcBorders>
              <w:top w:val="single" w:sz="8" w:space="0" w:color="auto"/>
            </w:tcBorders>
            <w:vAlign w:val="center"/>
          </w:tcPr>
          <w:p w:rsidR="00971CFD" w:rsidRDefault="00971CFD" w:rsidP="007C5949">
            <w:pPr>
              <w:pStyle w:val="Header"/>
              <w:tabs>
                <w:tab w:val="clear" w:pos="4320"/>
                <w:tab w:val="clear" w:pos="8640"/>
              </w:tabs>
              <w:rPr>
                <w:sz w:val="20"/>
                <w:lang w:eastAsia="it-IT"/>
              </w:rPr>
            </w:pPr>
            <w:r>
              <w:rPr>
                <w:sz w:val="20"/>
                <w:lang w:eastAsia="it-IT"/>
              </w:rPr>
              <w:t>Transport local</w:t>
            </w:r>
          </w:p>
        </w:tc>
        <w:tc>
          <w:tcPr>
            <w:tcW w:w="851" w:type="dxa"/>
            <w:tcBorders>
              <w:top w:val="single" w:sz="8" w:space="0" w:color="auto"/>
            </w:tcBorders>
            <w:vAlign w:val="center"/>
          </w:tcPr>
          <w:p w:rsidR="00971CFD" w:rsidRDefault="00971CFD" w:rsidP="007C5949">
            <w:pPr>
              <w:spacing w:before="40"/>
              <w:jc w:val="center"/>
              <w:rPr>
                <w:sz w:val="20"/>
              </w:rPr>
            </w:pPr>
          </w:p>
        </w:tc>
        <w:tc>
          <w:tcPr>
            <w:tcW w:w="1134" w:type="dxa"/>
            <w:tcBorders>
              <w:top w:val="single" w:sz="8" w:space="0" w:color="auto"/>
            </w:tcBorders>
            <w:vAlign w:val="center"/>
          </w:tcPr>
          <w:p w:rsidR="00971CFD" w:rsidRDefault="00971CFD" w:rsidP="007C5949">
            <w:pPr>
              <w:spacing w:before="40"/>
              <w:jc w:val="center"/>
              <w:rPr>
                <w:sz w:val="20"/>
              </w:rPr>
            </w:pPr>
          </w:p>
        </w:tc>
        <w:tc>
          <w:tcPr>
            <w:tcW w:w="1134" w:type="dxa"/>
            <w:tcBorders>
              <w:top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spacing w:before="40"/>
              <w:jc w:val="center"/>
              <w:rPr>
                <w:sz w:val="20"/>
              </w:rPr>
            </w:pPr>
          </w:p>
        </w:tc>
        <w:tc>
          <w:tcPr>
            <w:tcW w:w="1531" w:type="dxa"/>
            <w:tcBorders>
              <w:top w:val="single" w:sz="8" w:space="0" w:color="auto"/>
            </w:tcBorders>
            <w:vAlign w:val="center"/>
          </w:tcPr>
          <w:p w:rsidR="00971CFD" w:rsidRDefault="00971CFD" w:rsidP="007C5949">
            <w:pPr>
              <w:spacing w:before="40"/>
              <w:jc w:val="center"/>
              <w:rPr>
                <w:sz w:val="20"/>
              </w:rPr>
            </w:pPr>
          </w:p>
        </w:tc>
      </w:tr>
      <w:tr w:rsidR="00971CFD" w:rsidTr="007C5949">
        <w:trPr>
          <w:trHeight w:hRule="exact" w:val="340"/>
          <w:jc w:val="center"/>
        </w:trPr>
        <w:tc>
          <w:tcPr>
            <w:tcW w:w="454" w:type="dxa"/>
            <w:tcBorders>
              <w:top w:val="single" w:sz="8" w:space="0" w:color="auto"/>
            </w:tcBorders>
            <w:vAlign w:val="center"/>
          </w:tcPr>
          <w:p w:rsidR="00971CFD" w:rsidRDefault="00971CFD" w:rsidP="007C5949">
            <w:pPr>
              <w:spacing w:before="40"/>
              <w:rPr>
                <w:lang w:val="en-GB"/>
              </w:rPr>
            </w:pPr>
          </w:p>
        </w:tc>
        <w:tc>
          <w:tcPr>
            <w:tcW w:w="2779" w:type="dxa"/>
            <w:tcBorders>
              <w:top w:val="single" w:sz="8" w:space="0" w:color="auto"/>
            </w:tcBorders>
            <w:vAlign w:val="center"/>
          </w:tcPr>
          <w:p w:rsidR="00971CFD" w:rsidRDefault="00971CFD" w:rsidP="007C5949">
            <w:pPr>
              <w:pStyle w:val="Header"/>
              <w:tabs>
                <w:tab w:val="clear" w:pos="4320"/>
                <w:tab w:val="clear" w:pos="8640"/>
              </w:tabs>
              <w:rPr>
                <w:sz w:val="20"/>
                <w:lang w:eastAsia="it-IT"/>
              </w:rPr>
            </w:pPr>
            <w:r>
              <w:rPr>
                <w:sz w:val="20"/>
                <w:lang w:eastAsia="it-IT"/>
              </w:rPr>
              <w:t xml:space="preserve">Location bureaux, aide </w:t>
            </w:r>
            <w:proofErr w:type="spellStart"/>
            <w:r>
              <w:rPr>
                <w:sz w:val="20"/>
                <w:lang w:eastAsia="it-IT"/>
              </w:rPr>
              <w:t>admin</w:t>
            </w:r>
            <w:proofErr w:type="spellEnd"/>
            <w:r>
              <w:rPr>
                <w:sz w:val="20"/>
                <w:lang w:eastAsia="it-IT"/>
              </w:rPr>
              <w:t>.</w:t>
            </w:r>
          </w:p>
        </w:tc>
        <w:tc>
          <w:tcPr>
            <w:tcW w:w="851" w:type="dxa"/>
            <w:tcBorders>
              <w:top w:val="single" w:sz="8" w:space="0" w:color="auto"/>
              <w:bottom w:val="single" w:sz="8" w:space="0" w:color="auto"/>
            </w:tcBorders>
            <w:vAlign w:val="center"/>
          </w:tcPr>
          <w:p w:rsidR="00971CFD" w:rsidRDefault="00971CFD" w:rsidP="007C5949">
            <w:pPr>
              <w:spacing w:before="40"/>
              <w:jc w:val="center"/>
              <w:rPr>
                <w:sz w:val="20"/>
                <w:lang w:val="en-GB"/>
              </w:rPr>
            </w:pPr>
          </w:p>
        </w:tc>
        <w:tc>
          <w:tcPr>
            <w:tcW w:w="1134" w:type="dxa"/>
            <w:tcBorders>
              <w:top w:val="single" w:sz="8" w:space="0" w:color="auto"/>
              <w:bottom w:val="single" w:sz="8" w:space="0" w:color="auto"/>
            </w:tcBorders>
            <w:vAlign w:val="center"/>
          </w:tcPr>
          <w:p w:rsidR="00971CFD" w:rsidRDefault="00971CFD" w:rsidP="007C5949">
            <w:pPr>
              <w:spacing w:before="40"/>
              <w:jc w:val="center"/>
              <w:rPr>
                <w:sz w:val="20"/>
                <w:lang w:val="en-GB"/>
              </w:rPr>
            </w:pPr>
          </w:p>
        </w:tc>
        <w:tc>
          <w:tcPr>
            <w:tcW w:w="1134" w:type="dxa"/>
            <w:tcBorders>
              <w:top w:val="single" w:sz="8" w:space="0" w:color="auto"/>
              <w:bottom w:val="single" w:sz="8" w:space="0" w:color="auto"/>
            </w:tcBorders>
            <w:vAlign w:val="center"/>
          </w:tcPr>
          <w:p w:rsidR="00971CFD" w:rsidRDefault="00971CFD" w:rsidP="007C5949">
            <w:pPr>
              <w:spacing w:before="40"/>
              <w:jc w:val="center"/>
              <w:rPr>
                <w:sz w:val="20"/>
                <w:lang w:val="en-GB"/>
              </w:rPr>
            </w:pPr>
          </w:p>
        </w:tc>
        <w:tc>
          <w:tcPr>
            <w:tcW w:w="1531" w:type="dxa"/>
            <w:tcBorders>
              <w:top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8" w:space="0" w:color="auto"/>
            </w:tcBorders>
            <w:vAlign w:val="center"/>
          </w:tcPr>
          <w:p w:rsidR="00971CFD" w:rsidRDefault="00971CFD" w:rsidP="007C5949">
            <w:pPr>
              <w:spacing w:before="40"/>
              <w:jc w:val="center"/>
              <w:rPr>
                <w:sz w:val="20"/>
                <w:lang w:val="en-GB"/>
              </w:rPr>
            </w:pPr>
          </w:p>
        </w:tc>
        <w:tc>
          <w:tcPr>
            <w:tcW w:w="1531" w:type="dxa"/>
            <w:tcBorders>
              <w:top w:val="single" w:sz="8" w:space="0" w:color="auto"/>
            </w:tcBorders>
            <w:vAlign w:val="center"/>
          </w:tcPr>
          <w:p w:rsidR="00971CFD" w:rsidRDefault="00971CFD" w:rsidP="007C5949">
            <w:pPr>
              <w:spacing w:before="40"/>
              <w:jc w:val="center"/>
              <w:rPr>
                <w:sz w:val="20"/>
                <w:lang w:val="en-GB"/>
              </w:rPr>
            </w:pPr>
          </w:p>
        </w:tc>
        <w:tc>
          <w:tcPr>
            <w:tcW w:w="1531" w:type="dxa"/>
            <w:tcBorders>
              <w:top w:val="single" w:sz="8" w:space="0" w:color="auto"/>
            </w:tcBorders>
            <w:vAlign w:val="center"/>
          </w:tcPr>
          <w:p w:rsidR="00971CFD" w:rsidRDefault="00971CFD" w:rsidP="007C5949">
            <w:pPr>
              <w:spacing w:before="40"/>
              <w:jc w:val="center"/>
              <w:rPr>
                <w:sz w:val="20"/>
                <w:lang w:val="en-GB"/>
              </w:rPr>
            </w:pPr>
          </w:p>
        </w:tc>
      </w:tr>
      <w:tr w:rsidR="00971CFD" w:rsidRPr="0047082A" w:rsidTr="007C5949">
        <w:trPr>
          <w:jc w:val="center"/>
        </w:trPr>
        <w:tc>
          <w:tcPr>
            <w:tcW w:w="454" w:type="dxa"/>
            <w:tcBorders>
              <w:top w:val="single" w:sz="8" w:space="0" w:color="auto"/>
              <w:bottom w:val="double" w:sz="4" w:space="0" w:color="auto"/>
            </w:tcBorders>
            <w:vAlign w:val="center"/>
          </w:tcPr>
          <w:p w:rsidR="00971CFD" w:rsidRDefault="00971CFD" w:rsidP="007C5949">
            <w:pPr>
              <w:spacing w:before="40"/>
              <w:rPr>
                <w:lang w:val="en-GB"/>
              </w:rPr>
            </w:pPr>
          </w:p>
        </w:tc>
        <w:tc>
          <w:tcPr>
            <w:tcW w:w="2779" w:type="dxa"/>
            <w:tcBorders>
              <w:top w:val="single" w:sz="8" w:space="0" w:color="auto"/>
              <w:bottom w:val="double" w:sz="4" w:space="0" w:color="auto"/>
            </w:tcBorders>
            <w:vAlign w:val="center"/>
          </w:tcPr>
          <w:p w:rsidR="00971CFD" w:rsidRDefault="00971CFD" w:rsidP="007C5949">
            <w:pPr>
              <w:pStyle w:val="Header"/>
              <w:tabs>
                <w:tab w:val="clear" w:pos="4320"/>
                <w:tab w:val="clear" w:pos="8640"/>
              </w:tabs>
              <w:rPr>
                <w:sz w:val="20"/>
                <w:lang w:eastAsia="it-IT"/>
              </w:rPr>
            </w:pPr>
            <w:r w:rsidRPr="0047082A">
              <w:rPr>
                <w:sz w:val="20"/>
              </w:rPr>
              <w:t xml:space="preserve"> Formation du personnel </w:t>
            </w:r>
            <w:r>
              <w:rPr>
                <w:sz w:val="20"/>
              </w:rPr>
              <w:t>de l’Autorité contractante</w:t>
            </w:r>
            <w:r w:rsidRPr="0047082A">
              <w:rPr>
                <w:vertAlign w:val="superscript"/>
              </w:rPr>
              <w:t>6</w:t>
            </w:r>
          </w:p>
        </w:tc>
        <w:tc>
          <w:tcPr>
            <w:tcW w:w="851" w:type="dxa"/>
            <w:tcBorders>
              <w:top w:val="single" w:sz="8" w:space="0" w:color="auto"/>
              <w:bottom w:val="double" w:sz="4" w:space="0" w:color="auto"/>
            </w:tcBorders>
            <w:vAlign w:val="center"/>
          </w:tcPr>
          <w:p w:rsidR="00971CFD" w:rsidRPr="0047082A" w:rsidRDefault="00971CFD" w:rsidP="007C5949">
            <w:pPr>
              <w:spacing w:before="40"/>
              <w:jc w:val="center"/>
              <w:rPr>
                <w:sz w:val="20"/>
              </w:rPr>
            </w:pPr>
          </w:p>
        </w:tc>
        <w:tc>
          <w:tcPr>
            <w:tcW w:w="1134" w:type="dxa"/>
            <w:tcBorders>
              <w:top w:val="single" w:sz="8" w:space="0" w:color="auto"/>
              <w:bottom w:val="double" w:sz="4" w:space="0" w:color="auto"/>
            </w:tcBorders>
            <w:vAlign w:val="center"/>
          </w:tcPr>
          <w:p w:rsidR="00971CFD" w:rsidRPr="0047082A" w:rsidRDefault="00971CFD" w:rsidP="007C5949">
            <w:pPr>
              <w:spacing w:before="40"/>
              <w:jc w:val="center"/>
              <w:rPr>
                <w:sz w:val="20"/>
              </w:rPr>
            </w:pPr>
          </w:p>
        </w:tc>
        <w:tc>
          <w:tcPr>
            <w:tcW w:w="1134" w:type="dxa"/>
            <w:tcBorders>
              <w:top w:val="single" w:sz="8" w:space="0" w:color="auto"/>
              <w:bottom w:val="double" w:sz="4" w:space="0" w:color="auto"/>
            </w:tcBorders>
            <w:vAlign w:val="center"/>
          </w:tcPr>
          <w:p w:rsidR="00971CFD" w:rsidRPr="0047082A" w:rsidRDefault="00971CFD" w:rsidP="007C5949">
            <w:pPr>
              <w:spacing w:before="40"/>
              <w:jc w:val="center"/>
              <w:rPr>
                <w:sz w:val="20"/>
              </w:rPr>
            </w:pPr>
          </w:p>
        </w:tc>
        <w:tc>
          <w:tcPr>
            <w:tcW w:w="1531" w:type="dxa"/>
            <w:tcBorders>
              <w:top w:val="single" w:sz="8" w:space="0" w:color="auto"/>
              <w:bottom w:val="double" w:sz="4"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c>
          <w:tcPr>
            <w:tcW w:w="1531" w:type="dxa"/>
            <w:tcBorders>
              <w:top w:val="single" w:sz="8" w:space="0" w:color="auto"/>
              <w:bottom w:val="double" w:sz="4" w:space="0" w:color="auto"/>
            </w:tcBorders>
            <w:vAlign w:val="center"/>
          </w:tcPr>
          <w:p w:rsidR="00971CFD" w:rsidRPr="0047082A" w:rsidRDefault="00971CFD" w:rsidP="007C5949">
            <w:pPr>
              <w:spacing w:before="40"/>
              <w:jc w:val="center"/>
              <w:rPr>
                <w:sz w:val="20"/>
              </w:rPr>
            </w:pPr>
          </w:p>
        </w:tc>
        <w:tc>
          <w:tcPr>
            <w:tcW w:w="1531" w:type="dxa"/>
            <w:tcBorders>
              <w:top w:val="single" w:sz="8" w:space="0" w:color="auto"/>
              <w:bottom w:val="double" w:sz="4" w:space="0" w:color="auto"/>
            </w:tcBorders>
            <w:vAlign w:val="center"/>
          </w:tcPr>
          <w:p w:rsidR="00971CFD" w:rsidRPr="0047082A" w:rsidRDefault="00971CFD" w:rsidP="007C5949">
            <w:pPr>
              <w:spacing w:before="40"/>
              <w:jc w:val="center"/>
              <w:rPr>
                <w:sz w:val="20"/>
              </w:rPr>
            </w:pPr>
          </w:p>
        </w:tc>
        <w:tc>
          <w:tcPr>
            <w:tcW w:w="1531" w:type="dxa"/>
            <w:tcBorders>
              <w:top w:val="single" w:sz="8" w:space="0" w:color="auto"/>
              <w:bottom w:val="double" w:sz="4" w:space="0" w:color="auto"/>
            </w:tcBorders>
            <w:vAlign w:val="center"/>
          </w:tcPr>
          <w:p w:rsidR="00971CFD" w:rsidRPr="0047082A" w:rsidRDefault="00971CFD" w:rsidP="007C5949">
            <w:pPr>
              <w:spacing w:before="40"/>
              <w:jc w:val="center"/>
              <w:rPr>
                <w:sz w:val="20"/>
              </w:rPr>
            </w:pPr>
          </w:p>
        </w:tc>
      </w:tr>
    </w:tbl>
    <w:p w:rsidR="00971CFD" w:rsidRDefault="00971CFD" w:rsidP="00971CFD">
      <w:pPr>
        <w:pStyle w:val="FootnoteText"/>
        <w:tabs>
          <w:tab w:val="left" w:pos="360"/>
        </w:tabs>
        <w:ind w:left="360" w:hanging="360"/>
        <w:sectPr w:rsidR="00971CFD" w:rsidSect="00971CFD">
          <w:pgSz w:w="16838" w:h="11906" w:orient="landscape" w:code="9"/>
          <w:pgMar w:top="1418" w:right="1418" w:bottom="1134" w:left="1418" w:header="709" w:footer="709" w:gutter="0"/>
          <w:cols w:space="708"/>
          <w:docGrid w:linePitch="360"/>
        </w:sectPr>
      </w:pPr>
    </w:p>
    <w:p w:rsidR="00971CFD" w:rsidRDefault="00971CFD" w:rsidP="00971CFD">
      <w:pPr>
        <w:spacing w:after="200"/>
        <w:jc w:val="center"/>
        <w:rPr>
          <w:rFonts w:ascii="Times New Roman Bold" w:hAnsi="Times New Roman Bold"/>
          <w:b/>
          <w:bCs/>
          <w:smallCaps/>
          <w:sz w:val="28"/>
        </w:rPr>
      </w:pPr>
      <w:bookmarkStart w:id="88" w:name="_Toc72513350"/>
      <w:bookmarkStart w:id="89" w:name="_Toc72513669"/>
      <w:bookmarkStart w:id="90" w:name="_Toc72514649"/>
      <w:bookmarkStart w:id="91" w:name="_Toc72514828"/>
      <w:bookmarkStart w:id="92" w:name="_Toc72515062"/>
      <w:r>
        <w:rPr>
          <w:rFonts w:ascii="Times New Roman Bold" w:hAnsi="Times New Roman Bold"/>
          <w:b/>
          <w:bCs/>
          <w:smallCaps/>
          <w:sz w:val="28"/>
        </w:rPr>
        <w:lastRenderedPageBreak/>
        <w:t xml:space="preserve">Formulaire FIN-5 </w:t>
      </w:r>
      <w:r w:rsidRPr="00FD67CA">
        <w:rPr>
          <w:rFonts w:ascii="Times New Roman Bold" w:hAnsi="Times New Roman Bold"/>
          <w:b/>
          <w:bCs/>
          <w:smallCaps/>
          <w:sz w:val="28"/>
        </w:rPr>
        <w:t>Ventilation des dépenses remboursables</w:t>
      </w:r>
      <w:bookmarkEnd w:id="88"/>
      <w:bookmarkEnd w:id="89"/>
      <w:bookmarkEnd w:id="90"/>
      <w:bookmarkEnd w:id="91"/>
      <w:bookmarkEnd w:id="92"/>
    </w:p>
    <w:p w:rsidR="00971CFD" w:rsidRDefault="00971CFD" w:rsidP="00971CFD">
      <w:pPr>
        <w:rPr>
          <w:i/>
          <w:iCs/>
        </w:rPr>
      </w:pPr>
      <w:bookmarkStart w:id="93" w:name="_Toc72513351"/>
      <w:bookmarkStart w:id="94" w:name="_Toc72513670"/>
      <w:bookmarkStart w:id="95" w:name="_Toc72514650"/>
      <w:bookmarkStart w:id="96" w:name="_Toc72514829"/>
      <w:bookmarkStart w:id="97" w:name="_Toc72515063"/>
      <w:r>
        <w:rPr>
          <w:i/>
          <w:iCs/>
        </w:rPr>
        <w:t>(Ce Formulaire est à utiliser uniquement dans le cas où un Marché forfaitaire est inclus dans la DDP. Les informations figurant sur ce Formulaire sont utilisées uniquement pour définir des paiements au Consultant au titre de services supplémentaires éventuellement demandés par l’Autorité contractante)</w:t>
      </w:r>
      <w:bookmarkEnd w:id="93"/>
      <w:bookmarkEnd w:id="94"/>
      <w:bookmarkEnd w:id="95"/>
      <w:bookmarkEnd w:id="96"/>
      <w:bookmarkEnd w:id="97"/>
    </w:p>
    <w:p w:rsidR="00971CFD" w:rsidRPr="0047082A" w:rsidRDefault="00971CFD" w:rsidP="00971CFD">
      <w:pPr>
        <w:tabs>
          <w:tab w:val="right" w:pos="9000"/>
          <w:tab w:val="right" w:pos="12960"/>
        </w:tabs>
        <w:jc w:val="both"/>
        <w:rPr>
          <w:u w:val="single"/>
        </w:rPr>
      </w:pPr>
      <w:r w:rsidRPr="0047082A">
        <w:rPr>
          <w:u w:val="single"/>
        </w:rPr>
        <w:tab/>
      </w:r>
    </w:p>
    <w:p w:rsidR="00971CFD" w:rsidRDefault="00971CFD" w:rsidP="00971CFD">
      <w:pPr>
        <w:pStyle w:val="Header"/>
        <w:tabs>
          <w:tab w:val="clear" w:pos="4320"/>
          <w:tab w:val="clear" w:pos="8640"/>
        </w:tabs>
        <w:rPr>
          <w:lang w:eastAsia="it-IT"/>
        </w:rPr>
      </w:pPr>
    </w:p>
    <w:p w:rsidR="00971CFD" w:rsidRDefault="00971CFD" w:rsidP="00971CFD">
      <w:pPr>
        <w:pStyle w:val="Header"/>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1701"/>
        <w:gridCol w:w="2268"/>
      </w:tblGrid>
      <w:tr w:rsidR="00971CFD" w:rsidTr="007C5949">
        <w:trPr>
          <w:trHeight w:hRule="exact" w:val="567"/>
          <w:jc w:val="center"/>
        </w:trPr>
        <w:tc>
          <w:tcPr>
            <w:tcW w:w="567" w:type="dxa"/>
            <w:tcBorders>
              <w:top w:val="double" w:sz="4" w:space="0" w:color="auto"/>
              <w:bottom w:val="single" w:sz="12" w:space="0" w:color="auto"/>
            </w:tcBorders>
            <w:vAlign w:val="center"/>
          </w:tcPr>
          <w:p w:rsidR="00971CFD" w:rsidRDefault="00971CFD" w:rsidP="007C5949">
            <w:pPr>
              <w:spacing w:before="40" w:after="40"/>
              <w:jc w:val="center"/>
              <w:rPr>
                <w:b/>
              </w:rPr>
            </w:pPr>
            <w:r>
              <w:rPr>
                <w:b/>
              </w:rPr>
              <w:t>N°</w:t>
            </w:r>
          </w:p>
        </w:tc>
        <w:tc>
          <w:tcPr>
            <w:tcW w:w="3402" w:type="dxa"/>
            <w:tcBorders>
              <w:top w:val="double" w:sz="4" w:space="0" w:color="auto"/>
              <w:bottom w:val="single" w:sz="12" w:space="0" w:color="auto"/>
            </w:tcBorders>
            <w:vAlign w:val="center"/>
          </w:tcPr>
          <w:p w:rsidR="00971CFD" w:rsidRDefault="00971CFD" w:rsidP="007C5949">
            <w:pPr>
              <w:spacing w:before="40" w:after="40"/>
              <w:jc w:val="center"/>
              <w:rPr>
                <w:b/>
              </w:rPr>
            </w:pPr>
            <w:r>
              <w:rPr>
                <w:b/>
              </w:rPr>
              <w:t>Description</w:t>
            </w:r>
            <w:r>
              <w:rPr>
                <w:b/>
                <w:vertAlign w:val="superscript"/>
              </w:rPr>
              <w:t>1</w:t>
            </w:r>
          </w:p>
        </w:tc>
        <w:tc>
          <w:tcPr>
            <w:tcW w:w="1701" w:type="dxa"/>
            <w:tcBorders>
              <w:top w:val="double" w:sz="4" w:space="0" w:color="auto"/>
              <w:bottom w:val="single" w:sz="12" w:space="0" w:color="auto"/>
            </w:tcBorders>
            <w:vAlign w:val="center"/>
          </w:tcPr>
          <w:p w:rsidR="00971CFD" w:rsidRDefault="00971CFD" w:rsidP="007C5949">
            <w:pPr>
              <w:spacing w:before="40" w:after="40"/>
              <w:jc w:val="center"/>
              <w:rPr>
                <w:b/>
              </w:rPr>
            </w:pPr>
            <w:r>
              <w:rPr>
                <w:b/>
              </w:rPr>
              <w:t>Unité</w:t>
            </w:r>
          </w:p>
        </w:tc>
        <w:tc>
          <w:tcPr>
            <w:tcW w:w="2268" w:type="dxa"/>
            <w:tcBorders>
              <w:top w:val="double" w:sz="4" w:space="0" w:color="auto"/>
              <w:bottom w:val="single" w:sz="12" w:space="0" w:color="auto"/>
            </w:tcBorders>
            <w:vAlign w:val="center"/>
          </w:tcPr>
          <w:p w:rsidR="00971CFD" w:rsidRDefault="00971CFD" w:rsidP="007C5949">
            <w:pPr>
              <w:spacing w:before="40" w:after="40"/>
              <w:jc w:val="center"/>
              <w:rPr>
                <w:b/>
                <w:lang w:val="en-GB"/>
              </w:rPr>
            </w:pPr>
            <w:r w:rsidRPr="008B2B1F">
              <w:rPr>
                <w:b/>
              </w:rPr>
              <w:t>Coût</w:t>
            </w:r>
            <w:r>
              <w:rPr>
                <w:b/>
                <w:lang w:val="en-GB"/>
              </w:rPr>
              <w:t xml:space="preserve"> unitaire</w:t>
            </w:r>
            <w:r>
              <w:rPr>
                <w:b/>
                <w:vertAlign w:val="superscript"/>
                <w:lang w:val="en-GB"/>
              </w:rPr>
              <w:t>2</w:t>
            </w:r>
          </w:p>
        </w:tc>
      </w:tr>
      <w:tr w:rsidR="00971CFD" w:rsidTr="007C5949">
        <w:trPr>
          <w:trHeight w:hRule="exact" w:val="567"/>
          <w:jc w:val="center"/>
        </w:trPr>
        <w:tc>
          <w:tcPr>
            <w:tcW w:w="567" w:type="dxa"/>
            <w:tcBorders>
              <w:top w:val="single" w:sz="12" w:space="0" w:color="auto"/>
              <w:bottom w:val="single" w:sz="6" w:space="0" w:color="auto"/>
            </w:tcBorders>
            <w:vAlign w:val="center"/>
          </w:tcPr>
          <w:p w:rsidR="00971CFD" w:rsidRDefault="00971CFD" w:rsidP="007C5949">
            <w:pPr>
              <w:pStyle w:val="Header"/>
              <w:tabs>
                <w:tab w:val="clear" w:pos="4320"/>
                <w:tab w:val="clear" w:pos="8640"/>
              </w:tabs>
              <w:spacing w:before="40"/>
              <w:rPr>
                <w:lang w:eastAsia="it-IT"/>
              </w:rPr>
            </w:pPr>
          </w:p>
        </w:tc>
        <w:tc>
          <w:tcPr>
            <w:tcW w:w="3402" w:type="dxa"/>
            <w:tcBorders>
              <w:top w:val="single" w:sz="12" w:space="0" w:color="auto"/>
              <w:bottom w:val="single" w:sz="6" w:space="0" w:color="auto"/>
              <w:right w:val="single" w:sz="8" w:space="0" w:color="auto"/>
            </w:tcBorders>
            <w:vAlign w:val="center"/>
          </w:tcPr>
          <w:p w:rsidR="00971CFD" w:rsidRDefault="00971CFD" w:rsidP="007C5949">
            <w:pPr>
              <w:rPr>
                <w:sz w:val="20"/>
              </w:rPr>
            </w:pPr>
            <w:r>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rsidR="00971CFD" w:rsidRDefault="00971CFD" w:rsidP="007C5949">
            <w:pPr>
              <w:spacing w:before="40"/>
              <w:jc w:val="center"/>
              <w:rPr>
                <w:sz w:val="20"/>
              </w:rPr>
            </w:pPr>
            <w:r>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rsidR="00971CFD" w:rsidRDefault="00971CFD" w:rsidP="007C5949">
            <w:pPr>
              <w:spacing w:before="40"/>
              <w:jc w:val="center"/>
              <w:rPr>
                <w:sz w:val="20"/>
              </w:rPr>
            </w:pPr>
          </w:p>
        </w:tc>
      </w:tr>
      <w:tr w:rsidR="00971CFD" w:rsidTr="007C5949">
        <w:trPr>
          <w:trHeight w:hRule="exact" w:val="567"/>
          <w:jc w:val="center"/>
        </w:trPr>
        <w:tc>
          <w:tcPr>
            <w:tcW w:w="567" w:type="dxa"/>
            <w:tcBorders>
              <w:top w:val="single" w:sz="6" w:space="0" w:color="auto"/>
            </w:tcBorders>
            <w:vAlign w:val="center"/>
          </w:tcPr>
          <w:p w:rsidR="00971CFD" w:rsidRDefault="00971CFD" w:rsidP="007C5949">
            <w:pPr>
              <w:pStyle w:val="Header"/>
              <w:tabs>
                <w:tab w:val="clear" w:pos="4320"/>
                <w:tab w:val="clear" w:pos="8640"/>
              </w:tabs>
              <w:spacing w:before="40"/>
              <w:rPr>
                <w:lang w:eastAsia="it-IT"/>
              </w:rPr>
            </w:pPr>
          </w:p>
        </w:tc>
        <w:tc>
          <w:tcPr>
            <w:tcW w:w="3402" w:type="dxa"/>
            <w:tcBorders>
              <w:top w:val="single" w:sz="6" w:space="0" w:color="auto"/>
              <w:right w:val="single" w:sz="8" w:space="0" w:color="auto"/>
            </w:tcBorders>
            <w:vAlign w:val="center"/>
          </w:tcPr>
          <w:p w:rsidR="00971CFD" w:rsidRDefault="00971CFD" w:rsidP="007C5949">
            <w:pPr>
              <w:rPr>
                <w:sz w:val="20"/>
              </w:rPr>
            </w:pPr>
            <w:r>
              <w:rPr>
                <w:sz w:val="20"/>
              </w:rPr>
              <w:t>Déplacements internationaux</w:t>
            </w:r>
            <w:r>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rsidR="00971CFD" w:rsidRDefault="00971CFD" w:rsidP="007C5949">
            <w:pPr>
              <w:pStyle w:val="Header"/>
              <w:tabs>
                <w:tab w:val="clear" w:pos="4320"/>
                <w:tab w:val="clear" w:pos="8640"/>
              </w:tabs>
              <w:spacing w:before="40"/>
              <w:jc w:val="center"/>
              <w:rPr>
                <w:sz w:val="20"/>
              </w:rPr>
            </w:pPr>
            <w:r>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rsidR="00971CFD" w:rsidRDefault="00971CFD" w:rsidP="007C5949">
            <w:pPr>
              <w:spacing w:before="40"/>
              <w:jc w:val="center"/>
              <w:rPr>
                <w:sz w:val="20"/>
              </w:rPr>
            </w:pPr>
          </w:p>
        </w:tc>
      </w:tr>
      <w:tr w:rsidR="00971CFD" w:rsidTr="007C5949">
        <w:trPr>
          <w:trHeight w:hRule="exact" w:val="567"/>
          <w:jc w:val="center"/>
        </w:trPr>
        <w:tc>
          <w:tcPr>
            <w:tcW w:w="567" w:type="dxa"/>
            <w:tcBorders>
              <w:top w:val="single" w:sz="8" w:space="0" w:color="auto"/>
            </w:tcBorders>
            <w:vAlign w:val="center"/>
          </w:tcPr>
          <w:p w:rsidR="00971CFD" w:rsidRDefault="00971CFD" w:rsidP="007C5949">
            <w:pPr>
              <w:spacing w:before="40"/>
            </w:pPr>
          </w:p>
        </w:tc>
        <w:tc>
          <w:tcPr>
            <w:tcW w:w="3402" w:type="dxa"/>
            <w:tcBorders>
              <w:top w:val="single" w:sz="6" w:space="0" w:color="auto"/>
              <w:bottom w:val="single" w:sz="8" w:space="0" w:color="auto"/>
            </w:tcBorders>
            <w:vAlign w:val="center"/>
          </w:tcPr>
          <w:p w:rsidR="00971CFD" w:rsidRDefault="00971CFD" w:rsidP="007C5949">
            <w:pPr>
              <w:rPr>
                <w:sz w:val="20"/>
              </w:rPr>
            </w:pPr>
            <w:r>
              <w:rPr>
                <w:sz w:val="20"/>
              </w:rPr>
              <w:t>Frais de communication entre [</w:t>
            </w:r>
            <w:proofErr w:type="spellStart"/>
            <w:r>
              <w:rPr>
                <w:i/>
                <w:sz w:val="20"/>
              </w:rPr>
              <w:t>nomdulieu</w:t>
            </w:r>
            <w:proofErr w:type="spellEnd"/>
            <w:r>
              <w:rPr>
                <w:sz w:val="20"/>
              </w:rPr>
              <w:t>] et [</w:t>
            </w:r>
            <w:proofErr w:type="spellStart"/>
            <w:r>
              <w:rPr>
                <w:i/>
                <w:sz w:val="20"/>
              </w:rPr>
              <w:t>Nomdulieu</w:t>
            </w:r>
            <w:proofErr w:type="spellEnd"/>
            <w:r>
              <w:rPr>
                <w:sz w:val="20"/>
              </w:rPr>
              <w:t>]</w:t>
            </w:r>
          </w:p>
        </w:tc>
        <w:tc>
          <w:tcPr>
            <w:tcW w:w="1701" w:type="dxa"/>
            <w:tcBorders>
              <w:top w:val="single" w:sz="6" w:space="0" w:color="auto"/>
              <w:bottom w:val="single" w:sz="8" w:space="0" w:color="auto"/>
            </w:tcBorders>
            <w:vAlign w:val="center"/>
          </w:tcPr>
          <w:p w:rsidR="00971CFD" w:rsidRDefault="00971CFD" w:rsidP="007C5949">
            <w:pPr>
              <w:spacing w:before="40"/>
              <w:jc w:val="center"/>
              <w:rPr>
                <w:sz w:val="20"/>
              </w:rPr>
            </w:pPr>
          </w:p>
        </w:tc>
        <w:tc>
          <w:tcPr>
            <w:tcW w:w="2268" w:type="dxa"/>
            <w:tcBorders>
              <w:top w:val="single" w:sz="8" w:space="0" w:color="auto"/>
              <w:bottom w:val="single" w:sz="8" w:space="0" w:color="auto"/>
            </w:tcBorders>
            <w:vAlign w:val="center"/>
          </w:tcPr>
          <w:p w:rsidR="00971CFD" w:rsidRDefault="00971CFD" w:rsidP="007C5949">
            <w:pPr>
              <w:spacing w:before="40"/>
              <w:jc w:val="center"/>
              <w:rPr>
                <w:sz w:val="20"/>
              </w:rPr>
            </w:pPr>
          </w:p>
        </w:tc>
      </w:tr>
      <w:tr w:rsidR="00971CFD" w:rsidTr="007C5949">
        <w:trPr>
          <w:trHeight w:hRule="exact" w:val="567"/>
          <w:jc w:val="center"/>
        </w:trPr>
        <w:tc>
          <w:tcPr>
            <w:tcW w:w="567" w:type="dxa"/>
            <w:tcBorders>
              <w:top w:val="single" w:sz="8" w:space="0" w:color="auto"/>
            </w:tcBorders>
            <w:vAlign w:val="center"/>
          </w:tcPr>
          <w:p w:rsidR="00971CFD" w:rsidRDefault="00971CFD" w:rsidP="007C5949">
            <w:pPr>
              <w:spacing w:before="40"/>
            </w:pPr>
          </w:p>
        </w:tc>
        <w:tc>
          <w:tcPr>
            <w:tcW w:w="3402" w:type="dxa"/>
            <w:tcBorders>
              <w:top w:val="single" w:sz="8" w:space="0" w:color="auto"/>
            </w:tcBorders>
            <w:vAlign w:val="center"/>
          </w:tcPr>
          <w:p w:rsidR="00971CFD" w:rsidRDefault="00971CFD" w:rsidP="007C5949">
            <w:pPr>
              <w:rPr>
                <w:sz w:val="20"/>
              </w:rPr>
            </w:pPr>
            <w:r>
              <w:rPr>
                <w:sz w:val="20"/>
              </w:rPr>
              <w:t>Reproduction de rapports</w:t>
            </w:r>
          </w:p>
        </w:tc>
        <w:tc>
          <w:tcPr>
            <w:tcW w:w="1701" w:type="dxa"/>
            <w:tcBorders>
              <w:top w:val="single" w:sz="8" w:space="0" w:color="auto"/>
              <w:bottom w:val="single" w:sz="8" w:space="0" w:color="auto"/>
            </w:tcBorders>
            <w:vAlign w:val="center"/>
          </w:tcPr>
          <w:p w:rsidR="00971CFD" w:rsidRDefault="00971CFD" w:rsidP="007C5949">
            <w:pPr>
              <w:spacing w:before="40"/>
              <w:jc w:val="center"/>
              <w:rPr>
                <w:sz w:val="20"/>
              </w:rPr>
            </w:pPr>
          </w:p>
        </w:tc>
        <w:tc>
          <w:tcPr>
            <w:tcW w:w="2268" w:type="dxa"/>
            <w:tcBorders>
              <w:top w:val="single" w:sz="8" w:space="0" w:color="auto"/>
              <w:bottom w:val="single" w:sz="8" w:space="0" w:color="auto"/>
            </w:tcBorders>
            <w:vAlign w:val="center"/>
          </w:tcPr>
          <w:p w:rsidR="00971CFD" w:rsidRDefault="00971CFD" w:rsidP="007C5949">
            <w:pPr>
              <w:spacing w:before="40"/>
              <w:jc w:val="center"/>
              <w:rPr>
                <w:sz w:val="20"/>
              </w:rPr>
            </w:pPr>
          </w:p>
        </w:tc>
      </w:tr>
      <w:tr w:rsidR="00971CFD" w:rsidRPr="0047082A" w:rsidTr="007C5949">
        <w:trPr>
          <w:trHeight w:hRule="exact" w:val="567"/>
          <w:jc w:val="center"/>
        </w:trPr>
        <w:tc>
          <w:tcPr>
            <w:tcW w:w="567" w:type="dxa"/>
            <w:tcBorders>
              <w:top w:val="single" w:sz="8" w:space="0" w:color="auto"/>
            </w:tcBorders>
            <w:vAlign w:val="center"/>
          </w:tcPr>
          <w:p w:rsidR="00971CFD" w:rsidRDefault="00971CFD" w:rsidP="007C5949">
            <w:pPr>
              <w:spacing w:before="40"/>
            </w:pPr>
          </w:p>
        </w:tc>
        <w:tc>
          <w:tcPr>
            <w:tcW w:w="3402" w:type="dxa"/>
            <w:tcBorders>
              <w:top w:val="single" w:sz="8" w:space="0" w:color="auto"/>
            </w:tcBorders>
            <w:vAlign w:val="center"/>
          </w:tcPr>
          <w:p w:rsidR="00971CFD" w:rsidRDefault="00971CFD" w:rsidP="007C5949">
            <w:pPr>
              <w:pStyle w:val="Header"/>
              <w:tabs>
                <w:tab w:val="clear" w:pos="4320"/>
                <w:tab w:val="clear" w:pos="8640"/>
              </w:tabs>
              <w:rPr>
                <w:sz w:val="20"/>
                <w:lang w:eastAsia="it-IT"/>
              </w:rPr>
            </w:pPr>
            <w:r>
              <w:rPr>
                <w:sz w:val="20"/>
                <w:lang w:eastAsia="it-IT"/>
              </w:rPr>
              <w:t>Equipements, instruments, matériels, fournitures, etc.</w:t>
            </w:r>
          </w:p>
        </w:tc>
        <w:tc>
          <w:tcPr>
            <w:tcW w:w="1701" w:type="dxa"/>
            <w:tcBorders>
              <w:top w:val="single" w:sz="8" w:space="0" w:color="auto"/>
              <w:bottom w:val="single" w:sz="8" w:space="0" w:color="auto"/>
            </w:tcBorders>
            <w:vAlign w:val="center"/>
          </w:tcPr>
          <w:p w:rsidR="00971CFD" w:rsidRPr="0047082A" w:rsidRDefault="00971CFD" w:rsidP="007C5949">
            <w:pPr>
              <w:spacing w:before="40"/>
              <w:jc w:val="center"/>
              <w:rPr>
                <w:sz w:val="20"/>
              </w:rPr>
            </w:pPr>
          </w:p>
        </w:tc>
        <w:tc>
          <w:tcPr>
            <w:tcW w:w="2268" w:type="dxa"/>
            <w:tcBorders>
              <w:top w:val="single" w:sz="8" w:space="0" w:color="auto"/>
              <w:bottom w:val="single" w:sz="8" w:space="0" w:color="auto"/>
            </w:tcBorders>
            <w:vAlign w:val="center"/>
          </w:tcPr>
          <w:p w:rsidR="00971CFD" w:rsidRPr="0047082A" w:rsidRDefault="00971CFD" w:rsidP="007C5949">
            <w:pPr>
              <w:spacing w:before="40"/>
              <w:jc w:val="center"/>
              <w:rPr>
                <w:sz w:val="20"/>
              </w:rPr>
            </w:pPr>
          </w:p>
        </w:tc>
      </w:tr>
      <w:tr w:rsidR="00971CFD" w:rsidTr="007C5949">
        <w:trPr>
          <w:trHeight w:hRule="exact" w:val="567"/>
          <w:jc w:val="center"/>
        </w:trPr>
        <w:tc>
          <w:tcPr>
            <w:tcW w:w="567" w:type="dxa"/>
            <w:tcBorders>
              <w:top w:val="single" w:sz="8" w:space="0" w:color="auto"/>
            </w:tcBorders>
            <w:vAlign w:val="center"/>
          </w:tcPr>
          <w:p w:rsidR="00971CFD" w:rsidRDefault="00971CFD" w:rsidP="007C5949">
            <w:pPr>
              <w:pStyle w:val="Header"/>
              <w:tabs>
                <w:tab w:val="clear" w:pos="4320"/>
                <w:tab w:val="clear" w:pos="8640"/>
              </w:tabs>
              <w:spacing w:before="40"/>
              <w:rPr>
                <w:lang w:eastAsia="it-IT"/>
              </w:rPr>
            </w:pPr>
          </w:p>
        </w:tc>
        <w:tc>
          <w:tcPr>
            <w:tcW w:w="3402" w:type="dxa"/>
            <w:tcBorders>
              <w:top w:val="single" w:sz="8" w:space="0" w:color="auto"/>
              <w:bottom w:val="single" w:sz="8" w:space="0" w:color="auto"/>
            </w:tcBorders>
            <w:vAlign w:val="center"/>
          </w:tcPr>
          <w:p w:rsidR="00971CFD" w:rsidRDefault="00971CFD" w:rsidP="007C5949">
            <w:pPr>
              <w:pStyle w:val="Header"/>
              <w:tabs>
                <w:tab w:val="clear" w:pos="4320"/>
                <w:tab w:val="clear" w:pos="8640"/>
              </w:tabs>
              <w:rPr>
                <w:sz w:val="20"/>
                <w:lang w:eastAsia="it-IT"/>
              </w:rPr>
            </w:pPr>
            <w:r>
              <w:rPr>
                <w:sz w:val="20"/>
                <w:lang w:eastAsia="it-IT"/>
              </w:rPr>
              <w:t>Envoi d'effets personnels</w:t>
            </w:r>
          </w:p>
        </w:tc>
        <w:tc>
          <w:tcPr>
            <w:tcW w:w="1701" w:type="dxa"/>
            <w:tcBorders>
              <w:top w:val="single" w:sz="8" w:space="0" w:color="auto"/>
              <w:bottom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r>
              <w:rPr>
                <w:sz w:val="20"/>
                <w:lang w:eastAsia="it-IT"/>
              </w:rPr>
              <w:t>Voyage</w:t>
            </w:r>
          </w:p>
        </w:tc>
        <w:tc>
          <w:tcPr>
            <w:tcW w:w="2268" w:type="dxa"/>
            <w:tcBorders>
              <w:top w:val="single" w:sz="8" w:space="0" w:color="auto"/>
              <w:bottom w:val="single" w:sz="8" w:space="0" w:color="auto"/>
            </w:tcBorders>
            <w:vAlign w:val="center"/>
          </w:tcPr>
          <w:p w:rsidR="00971CFD" w:rsidRDefault="00971CFD" w:rsidP="007C5949">
            <w:pPr>
              <w:spacing w:before="40"/>
              <w:jc w:val="center"/>
              <w:rPr>
                <w:sz w:val="20"/>
              </w:rPr>
            </w:pPr>
          </w:p>
        </w:tc>
      </w:tr>
      <w:tr w:rsidR="00971CFD" w:rsidTr="007C5949">
        <w:trPr>
          <w:trHeight w:hRule="exact" w:val="567"/>
          <w:jc w:val="center"/>
        </w:trPr>
        <w:tc>
          <w:tcPr>
            <w:tcW w:w="567" w:type="dxa"/>
            <w:tcBorders>
              <w:top w:val="single" w:sz="8" w:space="0" w:color="auto"/>
            </w:tcBorders>
            <w:vAlign w:val="center"/>
          </w:tcPr>
          <w:p w:rsidR="00971CFD" w:rsidRDefault="00971CFD" w:rsidP="007C5949">
            <w:pPr>
              <w:pStyle w:val="Header"/>
              <w:tabs>
                <w:tab w:val="clear" w:pos="4320"/>
                <w:tab w:val="clear" w:pos="8640"/>
              </w:tabs>
              <w:spacing w:before="40"/>
              <w:rPr>
                <w:lang w:eastAsia="it-IT"/>
              </w:rPr>
            </w:pPr>
          </w:p>
        </w:tc>
        <w:tc>
          <w:tcPr>
            <w:tcW w:w="3402" w:type="dxa"/>
            <w:tcBorders>
              <w:top w:val="single" w:sz="8" w:space="0" w:color="auto"/>
              <w:bottom w:val="single" w:sz="6" w:space="0" w:color="auto"/>
            </w:tcBorders>
            <w:vAlign w:val="center"/>
          </w:tcPr>
          <w:p w:rsidR="00971CFD" w:rsidRDefault="00971CFD" w:rsidP="007C5949">
            <w:pPr>
              <w:pStyle w:val="Header"/>
              <w:tabs>
                <w:tab w:val="clear" w:pos="4320"/>
                <w:tab w:val="clear" w:pos="8640"/>
              </w:tabs>
              <w:rPr>
                <w:sz w:val="20"/>
                <w:lang w:eastAsia="it-IT"/>
              </w:rPr>
            </w:pPr>
            <w:r>
              <w:rPr>
                <w:sz w:val="20"/>
                <w:lang w:eastAsia="it-IT"/>
              </w:rPr>
              <w:t>Utilisation d'ordinateurs, logiciel</w:t>
            </w:r>
          </w:p>
        </w:tc>
        <w:tc>
          <w:tcPr>
            <w:tcW w:w="1701" w:type="dxa"/>
            <w:tcBorders>
              <w:top w:val="single" w:sz="8" w:space="0" w:color="auto"/>
              <w:bottom w:val="single" w:sz="6" w:space="0" w:color="auto"/>
            </w:tcBorders>
            <w:vAlign w:val="center"/>
          </w:tcPr>
          <w:p w:rsidR="00971CFD" w:rsidRDefault="00971CFD" w:rsidP="007C5949">
            <w:pPr>
              <w:spacing w:before="40"/>
              <w:jc w:val="center"/>
              <w:rPr>
                <w:sz w:val="20"/>
              </w:rPr>
            </w:pPr>
          </w:p>
        </w:tc>
        <w:tc>
          <w:tcPr>
            <w:tcW w:w="2268" w:type="dxa"/>
            <w:tcBorders>
              <w:top w:val="single" w:sz="8" w:space="0" w:color="auto"/>
            </w:tcBorders>
            <w:vAlign w:val="center"/>
          </w:tcPr>
          <w:p w:rsidR="00971CFD" w:rsidRDefault="00971CFD" w:rsidP="007C5949">
            <w:pPr>
              <w:spacing w:before="40"/>
              <w:jc w:val="center"/>
              <w:rPr>
                <w:sz w:val="20"/>
              </w:rPr>
            </w:pPr>
          </w:p>
        </w:tc>
      </w:tr>
      <w:tr w:rsidR="00971CFD" w:rsidTr="007C5949">
        <w:trPr>
          <w:trHeight w:hRule="exact" w:val="567"/>
          <w:jc w:val="center"/>
        </w:trPr>
        <w:tc>
          <w:tcPr>
            <w:tcW w:w="567" w:type="dxa"/>
            <w:tcBorders>
              <w:top w:val="single" w:sz="8" w:space="0" w:color="auto"/>
            </w:tcBorders>
            <w:vAlign w:val="center"/>
          </w:tcPr>
          <w:p w:rsidR="00971CFD" w:rsidRDefault="00971CFD" w:rsidP="007C5949">
            <w:pPr>
              <w:pStyle w:val="Header"/>
              <w:tabs>
                <w:tab w:val="clear" w:pos="4320"/>
                <w:tab w:val="clear" w:pos="8640"/>
              </w:tabs>
              <w:spacing w:before="40"/>
              <w:rPr>
                <w:lang w:eastAsia="it-IT"/>
              </w:rPr>
            </w:pPr>
          </w:p>
        </w:tc>
        <w:tc>
          <w:tcPr>
            <w:tcW w:w="3402" w:type="dxa"/>
            <w:tcBorders>
              <w:top w:val="single" w:sz="8" w:space="0" w:color="auto"/>
            </w:tcBorders>
            <w:vAlign w:val="center"/>
          </w:tcPr>
          <w:p w:rsidR="00971CFD" w:rsidRPr="008B2B1F" w:rsidRDefault="00971CFD" w:rsidP="007C5949">
            <w:pPr>
              <w:pStyle w:val="Header"/>
              <w:tabs>
                <w:tab w:val="clear" w:pos="4320"/>
                <w:tab w:val="clear" w:pos="8640"/>
              </w:tabs>
              <w:rPr>
                <w:sz w:val="20"/>
              </w:rPr>
            </w:pPr>
            <w:r w:rsidRPr="008B2B1F">
              <w:rPr>
                <w:sz w:val="20"/>
              </w:rPr>
              <w:t>Essais de laboratoire.</w:t>
            </w:r>
          </w:p>
        </w:tc>
        <w:tc>
          <w:tcPr>
            <w:tcW w:w="1701" w:type="dxa"/>
            <w:tcBorders>
              <w:top w:val="single" w:sz="8" w:space="0" w:color="auto"/>
            </w:tcBorders>
            <w:vAlign w:val="center"/>
          </w:tcPr>
          <w:p w:rsidR="00971CFD" w:rsidRDefault="00971CFD" w:rsidP="007C5949">
            <w:pPr>
              <w:spacing w:before="40"/>
              <w:jc w:val="center"/>
              <w:rPr>
                <w:sz w:val="20"/>
              </w:rPr>
            </w:pPr>
          </w:p>
        </w:tc>
        <w:tc>
          <w:tcPr>
            <w:tcW w:w="2268" w:type="dxa"/>
            <w:tcBorders>
              <w:top w:val="single" w:sz="8" w:space="0" w:color="auto"/>
            </w:tcBorders>
            <w:vAlign w:val="center"/>
          </w:tcPr>
          <w:p w:rsidR="00971CFD" w:rsidRDefault="00971CFD" w:rsidP="007C5949">
            <w:pPr>
              <w:pStyle w:val="Header"/>
              <w:tabs>
                <w:tab w:val="clear" w:pos="4320"/>
                <w:tab w:val="clear" w:pos="8640"/>
              </w:tabs>
              <w:spacing w:before="40"/>
              <w:jc w:val="center"/>
              <w:rPr>
                <w:sz w:val="20"/>
                <w:lang w:eastAsia="it-IT"/>
              </w:rPr>
            </w:pPr>
          </w:p>
        </w:tc>
      </w:tr>
      <w:tr w:rsidR="00971CFD" w:rsidTr="007C5949">
        <w:trPr>
          <w:trHeight w:hRule="exact" w:val="567"/>
          <w:jc w:val="center"/>
        </w:trPr>
        <w:tc>
          <w:tcPr>
            <w:tcW w:w="567" w:type="dxa"/>
            <w:tcBorders>
              <w:top w:val="single" w:sz="8" w:space="0" w:color="auto"/>
            </w:tcBorders>
            <w:vAlign w:val="center"/>
          </w:tcPr>
          <w:p w:rsidR="00971CFD" w:rsidRDefault="00971CFD" w:rsidP="007C5949">
            <w:pPr>
              <w:spacing w:before="40"/>
            </w:pPr>
          </w:p>
        </w:tc>
        <w:tc>
          <w:tcPr>
            <w:tcW w:w="3402" w:type="dxa"/>
            <w:tcBorders>
              <w:top w:val="single" w:sz="8" w:space="0" w:color="auto"/>
            </w:tcBorders>
            <w:vAlign w:val="center"/>
          </w:tcPr>
          <w:p w:rsidR="00971CFD" w:rsidRDefault="00971CFD" w:rsidP="007C5949">
            <w:pPr>
              <w:pStyle w:val="Header"/>
              <w:tabs>
                <w:tab w:val="clear" w:pos="4320"/>
                <w:tab w:val="clear" w:pos="8640"/>
              </w:tabs>
              <w:rPr>
                <w:sz w:val="20"/>
                <w:lang w:eastAsia="it-IT"/>
              </w:rPr>
            </w:pPr>
            <w:r>
              <w:rPr>
                <w:sz w:val="20"/>
                <w:lang w:eastAsia="it-IT"/>
              </w:rPr>
              <w:t>Transport local</w:t>
            </w:r>
          </w:p>
        </w:tc>
        <w:tc>
          <w:tcPr>
            <w:tcW w:w="1701" w:type="dxa"/>
            <w:tcBorders>
              <w:top w:val="single" w:sz="8" w:space="0" w:color="auto"/>
            </w:tcBorders>
            <w:vAlign w:val="center"/>
          </w:tcPr>
          <w:p w:rsidR="00971CFD" w:rsidRDefault="00971CFD" w:rsidP="007C5949">
            <w:pPr>
              <w:spacing w:before="40"/>
              <w:jc w:val="center"/>
              <w:rPr>
                <w:sz w:val="20"/>
              </w:rPr>
            </w:pPr>
          </w:p>
        </w:tc>
        <w:tc>
          <w:tcPr>
            <w:tcW w:w="2268" w:type="dxa"/>
            <w:tcBorders>
              <w:top w:val="single" w:sz="8" w:space="0" w:color="auto"/>
            </w:tcBorders>
            <w:vAlign w:val="center"/>
          </w:tcPr>
          <w:p w:rsidR="00971CFD" w:rsidRDefault="00971CFD" w:rsidP="007C5949">
            <w:pPr>
              <w:spacing w:before="40"/>
              <w:jc w:val="center"/>
              <w:rPr>
                <w:sz w:val="20"/>
              </w:rPr>
            </w:pPr>
          </w:p>
        </w:tc>
      </w:tr>
      <w:tr w:rsidR="00971CFD" w:rsidRPr="0047082A" w:rsidTr="007C5949">
        <w:trPr>
          <w:trHeight w:hRule="exact" w:val="567"/>
          <w:jc w:val="center"/>
        </w:trPr>
        <w:tc>
          <w:tcPr>
            <w:tcW w:w="567" w:type="dxa"/>
            <w:tcBorders>
              <w:top w:val="single" w:sz="8" w:space="0" w:color="auto"/>
            </w:tcBorders>
            <w:vAlign w:val="center"/>
          </w:tcPr>
          <w:p w:rsidR="00971CFD" w:rsidRDefault="00971CFD" w:rsidP="007C5949">
            <w:pPr>
              <w:spacing w:before="40"/>
              <w:rPr>
                <w:lang w:val="en-GB"/>
              </w:rPr>
            </w:pPr>
          </w:p>
        </w:tc>
        <w:tc>
          <w:tcPr>
            <w:tcW w:w="3402" w:type="dxa"/>
            <w:tcBorders>
              <w:top w:val="single" w:sz="8" w:space="0" w:color="auto"/>
            </w:tcBorders>
            <w:vAlign w:val="center"/>
          </w:tcPr>
          <w:p w:rsidR="00971CFD" w:rsidRDefault="00971CFD" w:rsidP="007C5949">
            <w:pPr>
              <w:pStyle w:val="Header"/>
              <w:tabs>
                <w:tab w:val="clear" w:pos="4320"/>
                <w:tab w:val="clear" w:pos="8640"/>
              </w:tabs>
              <w:rPr>
                <w:sz w:val="20"/>
                <w:lang w:eastAsia="it-IT"/>
              </w:rPr>
            </w:pPr>
            <w:r>
              <w:rPr>
                <w:sz w:val="20"/>
                <w:lang w:eastAsia="it-IT"/>
              </w:rPr>
              <w:t>Location de bureaux, appoint administratif</w:t>
            </w:r>
          </w:p>
        </w:tc>
        <w:tc>
          <w:tcPr>
            <w:tcW w:w="1701" w:type="dxa"/>
            <w:tcBorders>
              <w:top w:val="single" w:sz="8" w:space="0" w:color="auto"/>
              <w:bottom w:val="single" w:sz="8" w:space="0" w:color="auto"/>
            </w:tcBorders>
            <w:vAlign w:val="center"/>
          </w:tcPr>
          <w:p w:rsidR="00971CFD" w:rsidRPr="0047082A" w:rsidRDefault="00971CFD" w:rsidP="007C5949">
            <w:pPr>
              <w:spacing w:before="40"/>
              <w:jc w:val="center"/>
              <w:rPr>
                <w:sz w:val="20"/>
              </w:rPr>
            </w:pPr>
          </w:p>
        </w:tc>
        <w:tc>
          <w:tcPr>
            <w:tcW w:w="2268" w:type="dxa"/>
            <w:tcBorders>
              <w:top w:val="single" w:sz="8" w:space="0" w:color="auto"/>
              <w:bottom w:val="single" w:sz="8" w:space="0" w:color="auto"/>
            </w:tcBorders>
            <w:vAlign w:val="center"/>
          </w:tcPr>
          <w:p w:rsidR="00971CFD" w:rsidRPr="0047082A" w:rsidRDefault="00971CFD" w:rsidP="007C5949">
            <w:pPr>
              <w:spacing w:before="40"/>
              <w:jc w:val="center"/>
              <w:rPr>
                <w:sz w:val="20"/>
              </w:rPr>
            </w:pPr>
          </w:p>
        </w:tc>
      </w:tr>
      <w:tr w:rsidR="00971CFD" w:rsidRPr="0047082A" w:rsidTr="007C5949">
        <w:trPr>
          <w:trHeight w:hRule="exact" w:val="567"/>
          <w:jc w:val="center"/>
        </w:trPr>
        <w:tc>
          <w:tcPr>
            <w:tcW w:w="567" w:type="dxa"/>
            <w:tcBorders>
              <w:top w:val="single" w:sz="8" w:space="0" w:color="auto"/>
            </w:tcBorders>
            <w:vAlign w:val="center"/>
          </w:tcPr>
          <w:p w:rsidR="00971CFD" w:rsidRPr="0047082A" w:rsidRDefault="00971CFD" w:rsidP="007C5949">
            <w:pPr>
              <w:spacing w:before="40"/>
            </w:pPr>
          </w:p>
        </w:tc>
        <w:tc>
          <w:tcPr>
            <w:tcW w:w="3402" w:type="dxa"/>
            <w:tcBorders>
              <w:top w:val="single" w:sz="8" w:space="0" w:color="auto"/>
            </w:tcBorders>
            <w:vAlign w:val="center"/>
          </w:tcPr>
          <w:p w:rsidR="00971CFD" w:rsidRDefault="00971CFD" w:rsidP="007C5949">
            <w:pPr>
              <w:pStyle w:val="Header"/>
              <w:tabs>
                <w:tab w:val="clear" w:pos="4320"/>
                <w:tab w:val="clear" w:pos="8640"/>
              </w:tabs>
              <w:rPr>
                <w:sz w:val="20"/>
                <w:lang w:eastAsia="it-IT"/>
              </w:rPr>
            </w:pPr>
            <w:r w:rsidRPr="0047082A">
              <w:rPr>
                <w:sz w:val="20"/>
              </w:rPr>
              <w:t xml:space="preserve">Formation du personnel </w:t>
            </w:r>
            <w:r>
              <w:rPr>
                <w:sz w:val="20"/>
              </w:rPr>
              <w:t>de l’Autorité contractante</w:t>
            </w:r>
            <w:r w:rsidRPr="0047082A">
              <w:rPr>
                <w:vertAlign w:val="superscript"/>
              </w:rPr>
              <w:t>4</w:t>
            </w:r>
          </w:p>
        </w:tc>
        <w:tc>
          <w:tcPr>
            <w:tcW w:w="1701" w:type="dxa"/>
            <w:tcBorders>
              <w:top w:val="single" w:sz="8" w:space="0" w:color="auto"/>
              <w:bottom w:val="double" w:sz="4" w:space="0" w:color="auto"/>
            </w:tcBorders>
            <w:vAlign w:val="center"/>
          </w:tcPr>
          <w:p w:rsidR="00971CFD" w:rsidRPr="0047082A" w:rsidRDefault="00971CFD" w:rsidP="007C5949">
            <w:pPr>
              <w:spacing w:before="40"/>
              <w:jc w:val="center"/>
              <w:rPr>
                <w:sz w:val="20"/>
              </w:rPr>
            </w:pPr>
          </w:p>
        </w:tc>
        <w:tc>
          <w:tcPr>
            <w:tcW w:w="2268" w:type="dxa"/>
            <w:tcBorders>
              <w:top w:val="single" w:sz="8" w:space="0" w:color="auto"/>
              <w:bottom w:val="double" w:sz="4" w:space="0" w:color="auto"/>
            </w:tcBorders>
            <w:vAlign w:val="center"/>
          </w:tcPr>
          <w:p w:rsidR="00971CFD" w:rsidRPr="0047082A" w:rsidRDefault="00971CFD" w:rsidP="007C5949">
            <w:pPr>
              <w:spacing w:before="40"/>
              <w:jc w:val="center"/>
              <w:rPr>
                <w:sz w:val="20"/>
              </w:rPr>
            </w:pPr>
          </w:p>
        </w:tc>
      </w:tr>
    </w:tbl>
    <w:p w:rsidR="00971CFD" w:rsidRDefault="00971CFD" w:rsidP="00971CFD">
      <w:pPr>
        <w:pStyle w:val="Header"/>
        <w:tabs>
          <w:tab w:val="clear" w:pos="4320"/>
          <w:tab w:val="clear" w:pos="8640"/>
        </w:tabs>
        <w:spacing w:line="120" w:lineRule="exact"/>
        <w:rPr>
          <w:lang w:eastAsia="it-IT"/>
        </w:rPr>
      </w:pPr>
    </w:p>
    <w:p w:rsidR="00971CFD" w:rsidRDefault="00971CFD" w:rsidP="00971CFD">
      <w:pPr>
        <w:pStyle w:val="Header"/>
        <w:tabs>
          <w:tab w:val="clear" w:pos="4320"/>
          <w:tab w:val="clear" w:pos="8640"/>
        </w:tabs>
        <w:spacing w:line="120" w:lineRule="exact"/>
        <w:rPr>
          <w:lang w:eastAsia="it-IT"/>
        </w:rPr>
      </w:pPr>
    </w:p>
    <w:p w:rsidR="00971CFD" w:rsidRDefault="00971CFD" w:rsidP="00971CFD">
      <w:pPr>
        <w:pStyle w:val="FootnoteText"/>
        <w:tabs>
          <w:tab w:val="left" w:pos="270"/>
        </w:tabs>
        <w:ind w:left="272" w:hanging="272"/>
      </w:pPr>
      <w:r>
        <w:t>1</w:t>
      </w:r>
      <w:r>
        <w:tab/>
        <w:t>Supprimer les postes sans objet ou ajouter d'autres postes conformément au paragraphe 12.1 des Données particulières.</w:t>
      </w:r>
    </w:p>
    <w:p w:rsidR="00971CFD" w:rsidRDefault="00971CFD" w:rsidP="00971CFD">
      <w:pPr>
        <w:pStyle w:val="FootnoteText"/>
        <w:tabs>
          <w:tab w:val="left" w:pos="270"/>
        </w:tabs>
        <w:ind w:left="272" w:hanging="272"/>
      </w:pPr>
      <w:r>
        <w:t>2</w:t>
      </w:r>
      <w:r>
        <w:tab/>
        <w:t>Indiquer le coût unitaire.</w:t>
      </w:r>
    </w:p>
    <w:p w:rsidR="00971CFD" w:rsidRDefault="00971CFD" w:rsidP="00971CFD">
      <w:pPr>
        <w:pStyle w:val="FootnoteText"/>
        <w:tabs>
          <w:tab w:val="left" w:pos="270"/>
        </w:tabs>
        <w:ind w:left="272" w:hanging="272"/>
      </w:pPr>
      <w:r>
        <w:t>3</w:t>
      </w:r>
      <w:r>
        <w:tab/>
        <w:t>Indiquer la route de chaque déplacement et s'il s'agit d'un aller simple ou d'un aller-retour</w:t>
      </w:r>
    </w:p>
    <w:p w:rsidR="00971CFD" w:rsidRDefault="00971CFD" w:rsidP="00971CFD">
      <w:pPr>
        <w:pStyle w:val="FootnoteText"/>
        <w:tabs>
          <w:tab w:val="left" w:pos="360"/>
        </w:tabs>
        <w:ind w:left="360" w:hanging="360"/>
      </w:pPr>
      <w:r w:rsidRPr="0047082A">
        <w:rPr>
          <w:spacing w:val="-3"/>
        </w:rPr>
        <w:t>4</w:t>
      </w:r>
      <w:r w:rsidRPr="0047082A">
        <w:rPr>
          <w:spacing w:val="-3"/>
        </w:rPr>
        <w:tab/>
        <w:t>Seulement dans le cas où la formation est un élément essentiel, conformément à la définition des Termes de référence.</w:t>
      </w:r>
    </w:p>
    <w:p w:rsidR="00971CFD" w:rsidRDefault="00971CFD" w:rsidP="008014AA">
      <w:pPr>
        <w:ind w:right="900"/>
        <w:jc w:val="center"/>
        <w:sectPr w:rsidR="00971CFD" w:rsidSect="00971CFD">
          <w:pgSz w:w="11906" w:h="16838" w:code="9"/>
          <w:pgMar w:top="1418" w:right="1134" w:bottom="1418" w:left="1418" w:header="709" w:footer="709" w:gutter="0"/>
          <w:cols w:space="708"/>
          <w:docGrid w:linePitch="360"/>
        </w:sectPr>
      </w:pPr>
    </w:p>
    <w:tbl>
      <w:tblPr>
        <w:tblpPr w:leftFromText="141" w:rightFromText="141" w:vertAnchor="page" w:horzAnchor="margin" w:tblpY="416"/>
        <w:tblOverlap w:val="never"/>
        <w:tblW w:w="13131" w:type="dxa"/>
        <w:tblLook w:val="01E0" w:firstRow="1" w:lastRow="1" w:firstColumn="1" w:lastColumn="1" w:noHBand="0" w:noVBand="0"/>
      </w:tblPr>
      <w:tblGrid>
        <w:gridCol w:w="10404"/>
        <w:gridCol w:w="924"/>
        <w:gridCol w:w="1803"/>
      </w:tblGrid>
      <w:tr w:rsidR="00FB6671" w:rsidRPr="00E85005" w:rsidTr="00A453D6">
        <w:trPr>
          <w:trHeight w:val="980"/>
        </w:trPr>
        <w:tc>
          <w:tcPr>
            <w:tcW w:w="10404" w:type="dxa"/>
          </w:tcPr>
          <w:p w:rsidR="00FB6671" w:rsidRPr="00E85005" w:rsidRDefault="00FB6671" w:rsidP="007C5949">
            <w:pPr>
              <w:jc w:val="center"/>
              <w:rPr>
                <w:b/>
                <w:szCs w:val="24"/>
              </w:rPr>
            </w:pPr>
          </w:p>
          <w:p w:rsidR="00FB6671" w:rsidRPr="00E85005" w:rsidRDefault="00FB6671" w:rsidP="007C5949">
            <w:pPr>
              <w:jc w:val="center"/>
              <w:rPr>
                <w:b/>
                <w:szCs w:val="24"/>
              </w:rPr>
            </w:pPr>
          </w:p>
          <w:p w:rsidR="00FB6671" w:rsidRPr="00E85005" w:rsidRDefault="00FB6671" w:rsidP="007C5949">
            <w:pPr>
              <w:rPr>
                <w:b/>
                <w:szCs w:val="24"/>
              </w:rPr>
            </w:pPr>
          </w:p>
          <w:p w:rsidR="00FB6671" w:rsidRPr="00E85005" w:rsidRDefault="00FB6671" w:rsidP="007C5949">
            <w:pPr>
              <w:jc w:val="center"/>
              <w:rPr>
                <w:b/>
                <w:szCs w:val="24"/>
              </w:rPr>
            </w:pPr>
          </w:p>
          <w:p w:rsidR="00FB6671" w:rsidRPr="00E85005" w:rsidRDefault="00FB6671" w:rsidP="007C5949">
            <w:pPr>
              <w:pStyle w:val="NoSpacing"/>
              <w:ind w:left="7080" w:right="-142"/>
              <w:rPr>
                <w:noProof/>
                <w:szCs w:val="24"/>
                <w:lang w:eastAsia="fr-FR"/>
              </w:rPr>
            </w:pPr>
            <w:r w:rsidRPr="007400CA">
              <w:rPr>
                <w:rFonts w:eastAsia="Arial Unicode MS"/>
                <w:b/>
                <w:bCs/>
                <w:noProof/>
                <w:szCs w:val="24"/>
                <w:lang w:val="en-US"/>
                <w14:shadow w14:blurRad="50800" w14:dist="38100" w14:dir="2700000" w14:sx="100000" w14:sy="100000" w14:kx="0" w14:ky="0" w14:algn="tl">
                  <w14:srgbClr w14:val="000000">
                    <w14:alpha w14:val="60000"/>
                  </w14:srgbClr>
                </w14:shadow>
              </w:rPr>
              <w:drawing>
                <wp:anchor distT="36576" distB="36576" distL="36576" distR="36576" simplePos="0" relativeHeight="251664384" behindDoc="0" locked="0" layoutInCell="1" allowOverlap="1">
                  <wp:simplePos x="0" y="0"/>
                  <wp:positionH relativeFrom="column">
                    <wp:posOffset>-310559</wp:posOffset>
                  </wp:positionH>
                  <wp:positionV relativeFrom="paragraph">
                    <wp:posOffset>-92341</wp:posOffset>
                  </wp:positionV>
                  <wp:extent cx="1756587" cy="946298"/>
                  <wp:effectExtent l="19050" t="0" r="0" b="0"/>
                  <wp:wrapNone/>
                  <wp:docPr id="15" name="Image 10"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9" cstate="print"/>
                          <a:srcRect/>
                          <a:stretch>
                            <a:fillRect/>
                          </a:stretch>
                        </pic:blipFill>
                        <pic:spPr bwMode="auto">
                          <a:xfrm>
                            <a:off x="0" y="0"/>
                            <a:ext cx="1756587" cy="946298"/>
                          </a:xfrm>
                          <a:prstGeom prst="rect">
                            <a:avLst/>
                          </a:prstGeom>
                          <a:noFill/>
                          <a:ln w="0" algn="in">
                            <a:noFill/>
                            <a:miter lim="800000"/>
                            <a:headEnd/>
                            <a:tailEnd/>
                          </a:ln>
                        </pic:spPr>
                      </pic:pic>
                    </a:graphicData>
                  </a:graphic>
                </wp:anchor>
              </w:drawing>
            </w:r>
            <w:r w:rsidRPr="007400CA">
              <w:rPr>
                <w:rFonts w:eastAsia="Arial Unicode MS"/>
                <w:b/>
                <w:bCs/>
                <w:szCs w:val="24"/>
                <w14:shadow w14:blurRad="50800" w14:dist="38100" w14:dir="2700000" w14:sx="100000" w14:sy="100000" w14:kx="0" w14:ky="0" w14:algn="tl">
                  <w14:srgbClr w14:val="000000">
                    <w14:alpha w14:val="60000"/>
                  </w14:srgbClr>
                </w14:shadow>
              </w:rPr>
              <w:t>REPUBLIQUE</w:t>
            </w:r>
            <w:r w:rsidRPr="00E85005">
              <w:rPr>
                <w:b/>
                <w:bCs/>
                <w:szCs w:val="24"/>
              </w:rPr>
              <w:t xml:space="preserve"> </w:t>
            </w:r>
            <w:r w:rsidRPr="007400CA">
              <w:rPr>
                <w:rFonts w:eastAsia="Arial Unicode MS"/>
                <w:b/>
                <w:bCs/>
                <w:szCs w:val="24"/>
                <w14:shadow w14:blurRad="50800" w14:dist="38100" w14:dir="2700000" w14:sx="100000" w14:sy="100000" w14:kx="0" w14:ky="0" w14:algn="tl">
                  <w14:srgbClr w14:val="000000">
                    <w14:alpha w14:val="60000"/>
                  </w14:srgbClr>
                </w14:shadow>
              </w:rPr>
              <w:t>TOGOLAISE</w:t>
            </w:r>
          </w:p>
          <w:p w:rsidR="00FB6671" w:rsidRPr="00E85005" w:rsidRDefault="00FB6671" w:rsidP="007C5949">
            <w:pPr>
              <w:pStyle w:val="NoSpacing"/>
              <w:rPr>
                <w:noProof/>
                <w:szCs w:val="24"/>
                <w:lang w:eastAsia="fr-FR"/>
              </w:rPr>
            </w:pPr>
          </w:p>
          <w:p w:rsidR="00FB6671" w:rsidRPr="00E85005" w:rsidRDefault="007400CA" w:rsidP="007C5949">
            <w:pPr>
              <w:ind w:left="2124" w:firstLine="428"/>
              <w:rPr>
                <w:b/>
                <w:szCs w:val="24"/>
              </w:rPr>
            </w:pPr>
            <w:r>
              <w:rPr>
                <w:i/>
                <w:noProof/>
                <w:szCs w:val="24"/>
                <w:lang w:eastAsia="fr-FR"/>
              </w:rPr>
              <w:pict>
                <v:shape id="_x0000_s1027" type="#_x0000_t75" style="position:absolute;left:0;text-align:left;margin-left:382.15pt;margin-top:1.8pt;width:58.65pt;height:76.05pt;z-index:251663360">
                  <v:imagedata r:id="rId26" o:title=""/>
                </v:shape>
                <o:OLEObject Type="Embed" ProgID="CorelDRAW.Graphic.13" ShapeID="_x0000_s1027" DrawAspect="Content" ObjectID="_1339063317" r:id="rId27"/>
              </w:pict>
            </w:r>
            <w:r w:rsidR="00FB6671" w:rsidRPr="007400CA">
              <w:rPr>
                <w:i/>
                <w:color w:val="E36C0A"/>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p>
          <w:p w:rsidR="00FB6671" w:rsidRPr="00E85005" w:rsidRDefault="00FB6671" w:rsidP="007C5949">
            <w:pPr>
              <w:pStyle w:val="NoSpacing"/>
              <w:rPr>
                <w:noProof/>
                <w:szCs w:val="24"/>
                <w:lang w:eastAsia="fr-FR"/>
              </w:rPr>
            </w:pPr>
          </w:p>
          <w:p w:rsidR="00FB6671" w:rsidRPr="00E85005" w:rsidRDefault="00FB6671" w:rsidP="007C5949">
            <w:pPr>
              <w:jc w:val="center"/>
              <w:rPr>
                <w:b/>
                <w:szCs w:val="24"/>
              </w:rPr>
            </w:pPr>
          </w:p>
          <w:p w:rsidR="00FB6671" w:rsidRPr="00E85005" w:rsidRDefault="00FB6671" w:rsidP="007C5949">
            <w:pPr>
              <w:jc w:val="center"/>
              <w:rPr>
                <w:b/>
                <w:szCs w:val="24"/>
              </w:rPr>
            </w:pPr>
          </w:p>
          <w:p w:rsidR="00FB6671" w:rsidRPr="00E85005" w:rsidRDefault="00FB6671" w:rsidP="007C5949">
            <w:pPr>
              <w:tabs>
                <w:tab w:val="left" w:pos="1206"/>
              </w:tabs>
              <w:rPr>
                <w:b/>
                <w:szCs w:val="24"/>
              </w:rPr>
            </w:pPr>
            <w:r w:rsidRPr="00E85005">
              <w:rPr>
                <w:b/>
                <w:szCs w:val="24"/>
              </w:rPr>
              <w:tab/>
            </w:r>
          </w:p>
          <w:p w:rsidR="00FB6671" w:rsidRPr="00E85005" w:rsidRDefault="00FB6671" w:rsidP="007C5949">
            <w:pPr>
              <w:rPr>
                <w:b/>
                <w:szCs w:val="24"/>
              </w:rPr>
            </w:pPr>
            <w:r w:rsidRPr="00E85005">
              <w:rPr>
                <w:b/>
                <w:szCs w:val="24"/>
              </w:rPr>
              <w:t>CONSEIL NATIONAL DE SUPERVISION</w:t>
            </w:r>
          </w:p>
          <w:p w:rsidR="00FB6671" w:rsidRPr="00E85005" w:rsidRDefault="00FB6671" w:rsidP="007C5949">
            <w:pPr>
              <w:rPr>
                <w:b/>
                <w:szCs w:val="24"/>
              </w:rPr>
            </w:pPr>
            <w:r w:rsidRPr="00E85005">
              <w:rPr>
                <w:b/>
                <w:szCs w:val="24"/>
              </w:rPr>
              <w:t xml:space="preserve">                        ________</w:t>
            </w:r>
          </w:p>
          <w:p w:rsidR="00FB6671" w:rsidRPr="00E85005" w:rsidRDefault="00FB6671" w:rsidP="007C5949">
            <w:pPr>
              <w:rPr>
                <w:b/>
                <w:szCs w:val="24"/>
              </w:rPr>
            </w:pPr>
            <w:r w:rsidRPr="00E85005">
              <w:rPr>
                <w:b/>
                <w:szCs w:val="24"/>
              </w:rPr>
              <w:t xml:space="preserve">       </w:t>
            </w:r>
          </w:p>
          <w:p w:rsidR="00FB6671" w:rsidRPr="00E85005" w:rsidRDefault="00FB6671" w:rsidP="007C5949">
            <w:pPr>
              <w:rPr>
                <w:b/>
                <w:szCs w:val="24"/>
              </w:rPr>
            </w:pPr>
            <w:r w:rsidRPr="00E85005">
              <w:rPr>
                <w:b/>
                <w:szCs w:val="24"/>
              </w:rPr>
              <w:t xml:space="preserve">        COMITE DE PILOTAGE</w:t>
            </w:r>
          </w:p>
          <w:p w:rsidR="00FB6671" w:rsidRPr="00E85005" w:rsidRDefault="00FB6671" w:rsidP="007C5949">
            <w:pPr>
              <w:rPr>
                <w:b/>
                <w:szCs w:val="24"/>
              </w:rPr>
            </w:pPr>
            <w:r w:rsidRPr="00E85005">
              <w:rPr>
                <w:b/>
                <w:szCs w:val="24"/>
              </w:rPr>
              <w:t xml:space="preserve">                      _________</w:t>
            </w:r>
          </w:p>
          <w:p w:rsidR="00FB6671" w:rsidRPr="00E85005" w:rsidRDefault="00FB6671" w:rsidP="007C5949">
            <w:pPr>
              <w:rPr>
                <w:b/>
                <w:szCs w:val="24"/>
              </w:rPr>
            </w:pPr>
            <w:r w:rsidRPr="00E85005">
              <w:rPr>
                <w:b/>
                <w:szCs w:val="24"/>
              </w:rPr>
              <w:t xml:space="preserve">  </w:t>
            </w:r>
          </w:p>
          <w:p w:rsidR="00FB6671" w:rsidRPr="00E85005" w:rsidRDefault="00FB6671" w:rsidP="007C5949">
            <w:pPr>
              <w:rPr>
                <w:b/>
                <w:szCs w:val="24"/>
              </w:rPr>
            </w:pPr>
            <w:r w:rsidRPr="00E85005">
              <w:rPr>
                <w:b/>
                <w:szCs w:val="24"/>
              </w:rPr>
              <w:t xml:space="preserve">      SECRETARIAT TECHNIQUE</w:t>
            </w:r>
          </w:p>
          <w:p w:rsidR="00FB6671" w:rsidRPr="00E85005" w:rsidRDefault="00FB6671" w:rsidP="007C5949">
            <w:pPr>
              <w:jc w:val="center"/>
              <w:rPr>
                <w:b/>
                <w:szCs w:val="24"/>
              </w:rPr>
            </w:pPr>
          </w:p>
          <w:p w:rsidR="00FB6671" w:rsidRPr="00E85005" w:rsidRDefault="00FB6671" w:rsidP="007C5949">
            <w:pPr>
              <w:jc w:val="center"/>
              <w:rPr>
                <w:b/>
                <w:szCs w:val="24"/>
              </w:rPr>
            </w:pPr>
          </w:p>
          <w:p w:rsidR="00FB6671" w:rsidRPr="00E85005" w:rsidRDefault="00FB6671" w:rsidP="007C5949">
            <w:pPr>
              <w:jc w:val="center"/>
              <w:rPr>
                <w:b/>
                <w:szCs w:val="24"/>
              </w:rPr>
            </w:pPr>
          </w:p>
          <w:p w:rsidR="00FB6671" w:rsidRPr="00E85005" w:rsidRDefault="00FB6671" w:rsidP="007C5949">
            <w:pPr>
              <w:jc w:val="center"/>
              <w:rPr>
                <w:b/>
                <w:szCs w:val="24"/>
              </w:rPr>
            </w:pPr>
          </w:p>
          <w:p w:rsidR="00FB6671" w:rsidRPr="00E85005" w:rsidRDefault="00FB6671" w:rsidP="007C5949">
            <w:pPr>
              <w:pStyle w:val="Style3"/>
              <w:widowControl/>
              <w:spacing w:before="158" w:line="370" w:lineRule="exact"/>
              <w:ind w:right="10"/>
              <w:rPr>
                <w:rStyle w:val="FontStyle24"/>
                <w:rFonts w:ascii="Times New Roman" w:cs="Times New Roman"/>
                <w:sz w:val="24"/>
                <w:szCs w:val="24"/>
              </w:rPr>
            </w:pPr>
            <w:r w:rsidRPr="00E85005">
              <w:rPr>
                <w:rStyle w:val="FontStyle24"/>
                <w:rFonts w:ascii="Times New Roman" w:cs="Times New Roman"/>
                <w:sz w:val="24"/>
                <w:szCs w:val="24"/>
              </w:rPr>
              <w:t>Termes de référence</w:t>
            </w:r>
          </w:p>
          <w:p w:rsidR="00FB6671" w:rsidRPr="00E85005" w:rsidRDefault="00FB6671" w:rsidP="007C5949">
            <w:pPr>
              <w:pBdr>
                <w:bottom w:val="single" w:sz="12" w:space="1" w:color="auto"/>
              </w:pBdr>
              <w:rPr>
                <w:rStyle w:val="FontStyle24"/>
                <w:rFonts w:ascii="Times New Roman" w:cs="Times New Roman"/>
                <w:bCs w:val="0"/>
                <w:sz w:val="24"/>
                <w:szCs w:val="24"/>
              </w:rPr>
            </w:pPr>
          </w:p>
          <w:p w:rsidR="00FB6671" w:rsidRPr="00E85005" w:rsidRDefault="00FB6671" w:rsidP="007C5949">
            <w:pPr>
              <w:jc w:val="center"/>
              <w:rPr>
                <w:b/>
                <w:szCs w:val="24"/>
              </w:rPr>
            </w:pPr>
            <w:r w:rsidRPr="00E85005">
              <w:rPr>
                <w:b/>
                <w:szCs w:val="24"/>
              </w:rPr>
              <w:t>Recrutement d’un Administrateur Indépendant chargé d’élaborer les rapports ITIE au Togo portant sur les données des années 2012 et 2013 approuvés par le Comité de Pilotage le 10 avril 2014</w:t>
            </w:r>
          </w:p>
          <w:p w:rsidR="00FB6671" w:rsidRPr="00E85005" w:rsidRDefault="00FB6671" w:rsidP="007C5949">
            <w:pPr>
              <w:pStyle w:val="Style3"/>
              <w:widowControl/>
              <w:spacing w:before="158" w:line="370" w:lineRule="exact"/>
              <w:ind w:right="10"/>
              <w:rPr>
                <w:rStyle w:val="FontStyle24"/>
                <w:rFonts w:ascii="Times New Roman" w:cs="Times New Roman"/>
                <w:sz w:val="24"/>
                <w:szCs w:val="24"/>
              </w:rPr>
            </w:pPr>
          </w:p>
          <w:p w:rsidR="00FB6671" w:rsidRPr="00E85005" w:rsidRDefault="00FB6671" w:rsidP="007C5949">
            <w:pPr>
              <w:pStyle w:val="Style3"/>
              <w:widowControl/>
              <w:spacing w:before="158" w:line="370" w:lineRule="exact"/>
              <w:ind w:right="10"/>
              <w:rPr>
                <w:rStyle w:val="FontStyle24"/>
                <w:rFonts w:ascii="Times New Roman" w:cs="Times New Roman"/>
                <w:sz w:val="24"/>
                <w:szCs w:val="24"/>
              </w:rPr>
            </w:pPr>
          </w:p>
          <w:p w:rsidR="00FB6671" w:rsidRPr="00E85005" w:rsidRDefault="00FB6671" w:rsidP="007C5949">
            <w:pPr>
              <w:pStyle w:val="Style3"/>
              <w:widowControl/>
              <w:spacing w:before="158" w:line="370" w:lineRule="exact"/>
              <w:ind w:right="10"/>
              <w:rPr>
                <w:rStyle w:val="FontStyle24"/>
                <w:rFonts w:ascii="Times New Roman" w:cs="Times New Roman"/>
                <w:sz w:val="24"/>
                <w:szCs w:val="24"/>
              </w:rPr>
            </w:pPr>
          </w:p>
          <w:p w:rsidR="00FB6671" w:rsidRPr="00E85005" w:rsidRDefault="00FB6671" w:rsidP="007C5949">
            <w:pPr>
              <w:pStyle w:val="Style3"/>
              <w:widowControl/>
              <w:spacing w:before="158" w:line="370" w:lineRule="exact"/>
              <w:ind w:right="10"/>
              <w:rPr>
                <w:rStyle w:val="FontStyle24"/>
                <w:rFonts w:ascii="Times New Roman" w:cs="Times New Roman"/>
                <w:sz w:val="24"/>
                <w:szCs w:val="24"/>
              </w:rPr>
            </w:pPr>
          </w:p>
          <w:p w:rsidR="00FB6671" w:rsidRPr="00E85005" w:rsidRDefault="00FB6671" w:rsidP="007C5949">
            <w:pPr>
              <w:pStyle w:val="Style3"/>
              <w:widowControl/>
              <w:spacing w:before="158" w:line="370" w:lineRule="exact"/>
              <w:ind w:right="10"/>
              <w:rPr>
                <w:rStyle w:val="FontStyle24"/>
                <w:rFonts w:ascii="Times New Roman" w:cs="Times New Roman"/>
                <w:sz w:val="24"/>
                <w:szCs w:val="24"/>
              </w:rPr>
            </w:pPr>
          </w:p>
          <w:p w:rsidR="00FB6671" w:rsidRPr="00E85005" w:rsidRDefault="00FB6671" w:rsidP="007C5949">
            <w:pPr>
              <w:pStyle w:val="Style3"/>
              <w:widowControl/>
              <w:spacing w:before="158" w:line="370" w:lineRule="exact"/>
              <w:ind w:right="10"/>
              <w:rPr>
                <w:rStyle w:val="FontStyle24"/>
                <w:rFonts w:ascii="Times New Roman" w:cs="Times New Roman"/>
                <w:sz w:val="24"/>
                <w:szCs w:val="24"/>
              </w:rPr>
            </w:pPr>
          </w:p>
          <w:p w:rsidR="00FB6671" w:rsidRPr="00E85005" w:rsidRDefault="00FB6671" w:rsidP="007C5949">
            <w:pPr>
              <w:pStyle w:val="Style3"/>
              <w:widowControl/>
              <w:spacing w:before="158" w:line="370" w:lineRule="exact"/>
              <w:ind w:right="10"/>
              <w:jc w:val="left"/>
              <w:rPr>
                <w:rStyle w:val="FontStyle24"/>
                <w:rFonts w:ascii="Times New Roman" w:cs="Times New Roman"/>
                <w:sz w:val="24"/>
                <w:szCs w:val="24"/>
              </w:rPr>
            </w:pPr>
          </w:p>
          <w:p w:rsidR="00FB6671" w:rsidRPr="00E85005" w:rsidRDefault="00FB6671" w:rsidP="007C5949">
            <w:pPr>
              <w:pStyle w:val="Style3"/>
              <w:widowControl/>
              <w:spacing w:before="158" w:line="370" w:lineRule="exact"/>
              <w:ind w:right="10"/>
              <w:jc w:val="left"/>
              <w:rPr>
                <w:rStyle w:val="FontStyle24"/>
                <w:rFonts w:ascii="Times New Roman" w:cs="Times New Roman"/>
                <w:sz w:val="24"/>
                <w:szCs w:val="24"/>
              </w:rPr>
            </w:pPr>
          </w:p>
          <w:p w:rsidR="00FB6671" w:rsidRPr="00E85005" w:rsidRDefault="00FB6671" w:rsidP="007C5949">
            <w:pPr>
              <w:pStyle w:val="Style3"/>
              <w:widowControl/>
              <w:spacing w:before="158" w:line="370" w:lineRule="exact"/>
              <w:ind w:right="10"/>
              <w:jc w:val="left"/>
              <w:rPr>
                <w:rStyle w:val="FontStyle24"/>
                <w:rFonts w:ascii="Times New Roman" w:cs="Times New Roman"/>
                <w:sz w:val="24"/>
                <w:szCs w:val="24"/>
              </w:rPr>
            </w:pPr>
          </w:p>
          <w:p w:rsidR="00FB6671" w:rsidRPr="00E85005" w:rsidRDefault="00FB6671" w:rsidP="007C5949">
            <w:pPr>
              <w:pStyle w:val="Style3"/>
              <w:widowControl/>
              <w:spacing w:before="158" w:line="370" w:lineRule="exact"/>
              <w:ind w:right="10"/>
              <w:jc w:val="left"/>
              <w:rPr>
                <w:rStyle w:val="FontStyle24"/>
                <w:rFonts w:ascii="Times New Roman" w:cs="Times New Roman"/>
                <w:sz w:val="24"/>
                <w:szCs w:val="24"/>
              </w:rPr>
            </w:pPr>
            <w:r w:rsidRPr="00E85005">
              <w:rPr>
                <w:rStyle w:val="FontStyle24"/>
                <w:rFonts w:ascii="Times New Roman" w:cs="Times New Roman"/>
                <w:sz w:val="24"/>
                <w:szCs w:val="24"/>
              </w:rPr>
              <w:t xml:space="preserve"> </w:t>
            </w:r>
          </w:p>
          <w:p w:rsidR="00C94311" w:rsidRPr="00E85005" w:rsidRDefault="00C94311" w:rsidP="007C5949">
            <w:pPr>
              <w:pStyle w:val="Style3"/>
              <w:widowControl/>
              <w:spacing w:before="158" w:line="370" w:lineRule="exact"/>
              <w:ind w:right="10"/>
              <w:jc w:val="left"/>
              <w:rPr>
                <w:rStyle w:val="FontStyle24"/>
                <w:rFonts w:ascii="Times New Roman" w:cs="Times New Roman"/>
                <w:sz w:val="24"/>
                <w:szCs w:val="24"/>
              </w:rPr>
            </w:pPr>
          </w:p>
          <w:p w:rsidR="00FB6671" w:rsidRPr="00E85005" w:rsidRDefault="00FB6671" w:rsidP="007C5949">
            <w:pPr>
              <w:tabs>
                <w:tab w:val="left" w:pos="2980"/>
              </w:tabs>
              <w:rPr>
                <w:rStyle w:val="FontStyle24"/>
                <w:rFonts w:ascii="Times New Roman" w:cs="Times New Roman"/>
                <w:sz w:val="24"/>
                <w:szCs w:val="24"/>
              </w:rPr>
            </w:pPr>
            <w:r w:rsidRPr="00E85005">
              <w:rPr>
                <w:rStyle w:val="FontStyle24"/>
                <w:rFonts w:ascii="Times New Roman" w:cs="Times New Roman"/>
                <w:sz w:val="24"/>
                <w:szCs w:val="24"/>
              </w:rPr>
              <w:lastRenderedPageBreak/>
              <w:tab/>
            </w:r>
          </w:p>
          <w:p w:rsidR="00FB6671" w:rsidRPr="00E85005" w:rsidRDefault="00FB6671" w:rsidP="00FB6671">
            <w:pPr>
              <w:pStyle w:val="Heading1"/>
              <w:keepLines w:val="0"/>
              <w:numPr>
                <w:ilvl w:val="0"/>
                <w:numId w:val="30"/>
              </w:numPr>
              <w:spacing w:before="0" w:after="0"/>
              <w:jc w:val="both"/>
              <w:rPr>
                <w:rStyle w:val="BookTitle"/>
                <w:rFonts w:ascii="Times New Roman" w:eastAsia="Arial Unicode MS" w:hAnsi="Times New Roman"/>
                <w:b/>
                <w:sz w:val="24"/>
                <w:szCs w:val="24"/>
              </w:rPr>
            </w:pPr>
            <w:r w:rsidRPr="00E85005">
              <w:rPr>
                <w:rStyle w:val="BookTitle"/>
                <w:rFonts w:ascii="Times New Roman" w:eastAsia="Arial Unicode MS" w:hAnsi="Times New Roman"/>
                <w:b/>
                <w:sz w:val="24"/>
                <w:szCs w:val="24"/>
              </w:rPr>
              <w:t>CONTEXTE</w:t>
            </w:r>
          </w:p>
          <w:p w:rsidR="00FB6671" w:rsidRPr="00E85005" w:rsidRDefault="00FB6671" w:rsidP="007C5949">
            <w:pPr>
              <w:widowControl w:val="0"/>
              <w:shd w:val="clear" w:color="auto" w:fill="FFFFFF"/>
              <w:suppressAutoHyphens/>
              <w:autoSpaceDE w:val="0"/>
              <w:autoSpaceDN w:val="0"/>
              <w:adjustRightInd w:val="0"/>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L’Initiative pour la Transparence dans les Industries Extractives (ITIE) est une Norme mondiale qui promeut la transparence des revenus et impose la redevabilité dans les secteurs pétrolier, gazier et minier. Elle est dotée d’une méthodologie robuste et rigoureuse, mais flexible pour divulguer et rapprocher les paiements effectués par les entreprises et les revenus perçus par les gouvernements dans les pays mettant en œuvre l’Initiative. </w:t>
            </w:r>
          </w:p>
          <w:p w:rsidR="00FB6671" w:rsidRPr="00E85005" w:rsidRDefault="00FB6671" w:rsidP="007C5949">
            <w:pPr>
              <w:widowControl w:val="0"/>
              <w:shd w:val="clear" w:color="auto" w:fill="FFFFFF"/>
              <w:suppressAutoHyphens/>
              <w:autoSpaceDE w:val="0"/>
              <w:autoSpaceDN w:val="0"/>
              <w:adjustRightInd w:val="0"/>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La mise en œuvre de l’ITIE repose sur deux principes fondamentaux :</w:t>
            </w:r>
          </w:p>
          <w:p w:rsidR="00FB6671" w:rsidRPr="00E85005" w:rsidRDefault="00FB6671" w:rsidP="00FB6671">
            <w:pPr>
              <w:widowControl w:val="0"/>
              <w:numPr>
                <w:ilvl w:val="0"/>
                <w:numId w:val="31"/>
              </w:numPr>
              <w:shd w:val="clear" w:color="auto" w:fill="FFFFFF"/>
              <w:suppressAutoHyphens/>
              <w:autoSpaceDE w:val="0"/>
              <w:autoSpaceDN w:val="0"/>
              <w:adjustRightInd w:val="0"/>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La transparence : les entreprises pétrolières, gazières et minières divulguent les paiements qu’elles versent au gouvernement et le gouvernement divulgue les sommes qu’il perçoit de ces industries. Ces chiffres sont rapprochés par un administrateur indépendant et publiés dans des rapports ITIE annuels aux côtés d’informations contextuelles sur le secteur extractif.</w:t>
            </w:r>
          </w:p>
          <w:p w:rsidR="00FB6671" w:rsidRPr="00E85005" w:rsidRDefault="00FB6671" w:rsidP="00FB6671">
            <w:pPr>
              <w:widowControl w:val="0"/>
              <w:numPr>
                <w:ilvl w:val="0"/>
                <w:numId w:val="31"/>
              </w:numPr>
              <w:shd w:val="clear" w:color="auto" w:fill="FFFFFF"/>
              <w:suppressAutoHyphens/>
              <w:autoSpaceDE w:val="0"/>
              <w:autoSpaceDN w:val="0"/>
              <w:adjustRightInd w:val="0"/>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L’obligation de rendre des comptes ou la redevabilité : un Groupe multipartite composé de représentants du gouvernement, des entreprises et de la société civile est mis en place pour superviser le processus et communiquer les conclusions du rapport ITIE et pour promouvoir l’intégration de l’ITIE à d’autres efforts plus larges en matière de transparence dans ce pays</w:t>
            </w:r>
          </w:p>
          <w:p w:rsidR="00FB6671" w:rsidRPr="00E85005" w:rsidRDefault="00FB6671" w:rsidP="007C5949">
            <w:pPr>
              <w:widowControl w:val="0"/>
              <w:shd w:val="clear" w:color="auto" w:fill="FFFFFF"/>
              <w:suppressAutoHyphens/>
              <w:autoSpaceDE w:val="0"/>
              <w:autoSpaceDN w:val="0"/>
              <w:adjustRightInd w:val="0"/>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La Norme ITIE encourage les groupes multipartites à étudier des approches innovantes visant à étendre la mise en œuvre de l’ITIE, afin d’améliorer l’exhaustivité des déclarations ITIE et la compréhension qu’a le public des revenus, et de favoriser le maintien de niveaux élevés de transparence et dans les affaires. Le groupe multipartite est tenu d’approuver les termes de référence pour l’administrateur indépendant (exigence 5.2) en s’appuyant sur les objectifs et sur le périmètre d’application de l’ITIE convenu, tels qu’énoncés dans le plan de travail. Les délibérations du groupe multipartite sur ce point devront se conformer aux règles et procédures  de gouvernance interne du groupe multipartite (exigence 1.3). L’ITIE exige un processus de prise de décision inclusif tout au long de la mise en œuvre, chaque collège devant être traité comme un partenaire. </w:t>
            </w:r>
          </w:p>
          <w:p w:rsidR="00FB6671" w:rsidRPr="00E85005" w:rsidRDefault="00FB6671" w:rsidP="007C5949">
            <w:pPr>
              <w:widowControl w:val="0"/>
              <w:shd w:val="clear" w:color="auto" w:fill="FFFFFF"/>
              <w:suppressAutoHyphens/>
              <w:autoSpaceDE w:val="0"/>
              <w:autoSpaceDN w:val="0"/>
              <w:adjustRightInd w:val="0"/>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L’une des Exigences de l’ITIE stipule que l’administrateur indépendant doit être perçu par le Groupe multipartite comme étant crédible, digne de confiance et compétent sur le plan technique (Exigence n°5.1). Le groupe multipartite et l’Administrateur Indépendant seront tenus d’aborder tout problème de conflit d’intérêt. Le rapport de l’administrateur indépendant sera remis au Comité de Pilotage et au Conseil National de Supervision pour son approbation et sa publication.</w:t>
            </w:r>
          </w:p>
          <w:p w:rsidR="00FB6671" w:rsidRPr="00E85005" w:rsidRDefault="00FB6671" w:rsidP="007C5949">
            <w:pPr>
              <w:widowControl w:val="0"/>
              <w:shd w:val="clear" w:color="auto" w:fill="FFFFFF"/>
              <w:suppressAutoHyphens/>
              <w:autoSpaceDE w:val="0"/>
              <w:autoSpaceDN w:val="0"/>
              <w:adjustRightInd w:val="0"/>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Les exigences auxquelles les pays mettant en œuvre l’ITIE doivent satisfaire sont énoncées dans la Norme ITIE. Pour tout complément d’information, veuillez consulter le site </w:t>
            </w:r>
            <w:hyperlink r:id="rId28" w:history="1">
              <w:r w:rsidRPr="00E85005">
                <w:rPr>
                  <w:rStyle w:val="Hyperlink"/>
                  <w:rFonts w:eastAsia="Arial Unicode MS"/>
                  <w:szCs w:val="24"/>
                </w:rPr>
                <w:t>www.eiti.org/fr</w:t>
              </w:r>
            </w:hyperlink>
            <w:r w:rsidRPr="00E85005">
              <w:rPr>
                <w:rStyle w:val="FontStyle23"/>
                <w:rFonts w:ascii="Times New Roman" w:cs="Times New Roman"/>
                <w:sz w:val="24"/>
                <w:szCs w:val="24"/>
              </w:rPr>
              <w:t>.</w:t>
            </w:r>
          </w:p>
          <w:p w:rsidR="00FB6671" w:rsidRDefault="00FB6671" w:rsidP="007C5949">
            <w:pPr>
              <w:widowControl w:val="0"/>
              <w:shd w:val="clear" w:color="auto" w:fill="FFFFFF"/>
              <w:suppressAutoHyphens/>
              <w:autoSpaceDE w:val="0"/>
              <w:autoSpaceDN w:val="0"/>
              <w:adjustRightInd w:val="0"/>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Ces Termes de Références comprennent des procédures convenues pour la déclaration ITIE (voir section 4) conformément à l’exigence 5.2. Le conseil d’administration a élaboré ces procédures en vue de promouvoir une cohérence et une fiabilité accrues du processus de déclaration ITIE. Le processus peut être utilisé pour compléter, évaluer et améliorer les processus de déclaration et les systèmes d’audits existants. Le Conseil d’administration recommande de s’assurer que le processus repose autant que possible sur les procédures et institutions existantes, c'est-à-dire que le processus ITIE s’inspire des systèmes de collecte de données et d’audits existants, les complète et les évalue de manière critique. De cette façon, le processus ITIE a le potentiel de générer d’importantes recommandations afin de renforcer les autres systèmes de surveillances.  </w:t>
            </w:r>
          </w:p>
          <w:p w:rsidR="00E85005" w:rsidRPr="00E85005" w:rsidRDefault="00E85005" w:rsidP="007C5949">
            <w:pPr>
              <w:widowControl w:val="0"/>
              <w:shd w:val="clear" w:color="auto" w:fill="FFFFFF"/>
              <w:suppressAutoHyphens/>
              <w:autoSpaceDE w:val="0"/>
              <w:autoSpaceDN w:val="0"/>
              <w:adjustRightInd w:val="0"/>
              <w:spacing w:before="240" w:after="240"/>
              <w:jc w:val="both"/>
              <w:rPr>
                <w:rStyle w:val="FontStyle23"/>
                <w:rFonts w:ascii="Times New Roman" w:cs="Times New Roman"/>
                <w:sz w:val="24"/>
                <w:szCs w:val="24"/>
              </w:rPr>
            </w:pPr>
          </w:p>
          <w:p w:rsidR="00FB6671" w:rsidRPr="00E85005" w:rsidRDefault="00FB6671" w:rsidP="00FB6671">
            <w:pPr>
              <w:pStyle w:val="Heading1"/>
              <w:keepLines w:val="0"/>
              <w:numPr>
                <w:ilvl w:val="0"/>
                <w:numId w:val="30"/>
              </w:numPr>
              <w:spacing w:before="0" w:after="0"/>
              <w:jc w:val="both"/>
              <w:rPr>
                <w:rStyle w:val="BookTitle"/>
                <w:rFonts w:ascii="Times New Roman" w:eastAsia="Arial Unicode MS" w:hAnsi="Times New Roman"/>
                <w:b/>
                <w:sz w:val="24"/>
                <w:szCs w:val="24"/>
                <w:u w:val="single"/>
              </w:rPr>
            </w:pPr>
            <w:r w:rsidRPr="00E85005">
              <w:rPr>
                <w:rStyle w:val="BookTitle"/>
                <w:rFonts w:ascii="Times New Roman" w:eastAsia="Arial Unicode MS" w:hAnsi="Times New Roman"/>
                <w:b/>
                <w:sz w:val="24"/>
                <w:szCs w:val="24"/>
                <w:u w:val="single"/>
              </w:rPr>
              <w:lastRenderedPageBreak/>
              <w:t>Mise en œuvre de l’ITIE au Togo</w:t>
            </w:r>
          </w:p>
          <w:p w:rsidR="00FB6671" w:rsidRPr="00E85005" w:rsidRDefault="00FB6671" w:rsidP="007C5949">
            <w:pPr>
              <w:rPr>
                <w:rFonts w:eastAsia="Arial Unicode MS"/>
                <w:szCs w:val="24"/>
              </w:rPr>
            </w:pP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 Togo a adhéré à l'Initiative pour la Transparence dans les Industries Extractives (ITIE) en 2009 en vue de garantir une transparence dans la gestion des ressources naturelles, d’instaurer une bonne gouvernance dans le secteur extractif, de promouvoir un climat propice aux investissements et de consolider le développement durable. Il est devenu «pays candidat» de l’ITIE en octobre 2010 et «pays conforme» en mai 2013, lors de la sixième conférence mondiale de l’ITIE. Ceci, après la publication des rapports portant sur les données de 2010 et 2011, celui de 2011 ayant été le rapport de référence pour la déclaration de conformité du pays.</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 Togo, ayant affiché un leadership dans la mise en œuvre de l’initiative, se doit de maintenir ce statut lors des prochaines validations qui se feront toutes les trois années selon la norme ITIE.</w:t>
            </w:r>
          </w:p>
          <w:p w:rsidR="00FB6671" w:rsidRPr="00E85005" w:rsidRDefault="00FB6671" w:rsidP="007C5949">
            <w:pPr>
              <w:pStyle w:val="Style3"/>
              <w:widowControl/>
              <w:tabs>
                <w:tab w:val="left" w:pos="1701"/>
              </w:tabs>
              <w:spacing w:line="240" w:lineRule="auto"/>
              <w:ind w:right="11"/>
              <w:jc w:val="both"/>
              <w:rPr>
                <w:rStyle w:val="FontStyle23"/>
                <w:rFonts w:ascii="Times New Roman" w:cs="Times New Roman"/>
                <w:sz w:val="24"/>
                <w:szCs w:val="24"/>
              </w:rPr>
            </w:pP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Un nouveau plan d’actions</w:t>
            </w:r>
            <w:r w:rsidRPr="00E85005">
              <w:rPr>
                <w:rStyle w:val="FootnoteReference"/>
                <w:rFonts w:eastAsia="Arial Unicode MS"/>
                <w:color w:val="000000"/>
              </w:rPr>
              <w:footnoteReference w:id="9"/>
            </w:r>
            <w:r w:rsidRPr="00E85005">
              <w:rPr>
                <w:rStyle w:val="FontStyle23"/>
                <w:rFonts w:ascii="Times New Roman" w:cs="Times New Roman"/>
                <w:sz w:val="24"/>
                <w:szCs w:val="24"/>
              </w:rPr>
              <w:t xml:space="preserve"> a été adopté à la suite de cette validation, couvrant la période 2014 – 2016 dans le but de mener les activités de l’ITIE au Togo jusqu’à la prochaine validation.</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De ce fait, le Togo doit publier ses rapports portant sur les déclarations des années 2012 et 2013 dans le strict respect de la norme ITIE et permettant de satisfaire à toutes les exigences de cette nouvelle norme.</w:t>
            </w:r>
          </w:p>
          <w:p w:rsidR="00FB6671" w:rsidRPr="00E85005" w:rsidRDefault="00E85005" w:rsidP="00E85005">
            <w:pPr>
              <w:pStyle w:val="Style3"/>
              <w:widowControl/>
              <w:tabs>
                <w:tab w:val="left" w:pos="3625"/>
              </w:tabs>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ab/>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 périmètre de l’ITIE comprend  au Togo:</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p>
          <w:p w:rsidR="00FB6671" w:rsidRPr="00E85005" w:rsidRDefault="00FB6671" w:rsidP="00FB6671">
            <w:pPr>
              <w:pStyle w:val="Style3"/>
              <w:widowControl/>
              <w:numPr>
                <w:ilvl w:val="0"/>
                <w:numId w:val="29"/>
              </w:numPr>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l’exploration minière ;</w:t>
            </w:r>
          </w:p>
          <w:p w:rsidR="00FB6671" w:rsidRPr="00E85005" w:rsidRDefault="00FB6671" w:rsidP="00FB6671">
            <w:pPr>
              <w:pStyle w:val="Style3"/>
              <w:widowControl/>
              <w:numPr>
                <w:ilvl w:val="0"/>
                <w:numId w:val="29"/>
              </w:numPr>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 xml:space="preserve">l’exploration pétrolière  </w:t>
            </w:r>
          </w:p>
          <w:p w:rsidR="00FB6671" w:rsidRPr="00E85005" w:rsidRDefault="00FB6671" w:rsidP="00FB6671">
            <w:pPr>
              <w:pStyle w:val="Style3"/>
              <w:widowControl/>
              <w:numPr>
                <w:ilvl w:val="0"/>
                <w:numId w:val="29"/>
              </w:numPr>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 xml:space="preserve">l’exploitation minière; </w:t>
            </w:r>
          </w:p>
          <w:p w:rsidR="00FB6671" w:rsidRPr="00E85005" w:rsidRDefault="00FB6671" w:rsidP="00FB6671">
            <w:pPr>
              <w:pStyle w:val="Style3"/>
              <w:widowControl/>
              <w:numPr>
                <w:ilvl w:val="0"/>
                <w:numId w:val="29"/>
              </w:numPr>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l’exploitation de roche;</w:t>
            </w:r>
          </w:p>
          <w:p w:rsidR="00FB6671" w:rsidRPr="00E85005" w:rsidRDefault="00FB6671" w:rsidP="00FB6671">
            <w:pPr>
              <w:pStyle w:val="Style3"/>
              <w:widowControl/>
              <w:numPr>
                <w:ilvl w:val="0"/>
                <w:numId w:val="29"/>
              </w:numPr>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 xml:space="preserve">l’exploitation de sable ; </w:t>
            </w:r>
          </w:p>
          <w:p w:rsidR="00FB6671" w:rsidRPr="00E85005" w:rsidRDefault="00FB6671" w:rsidP="00FB6671">
            <w:pPr>
              <w:pStyle w:val="Style3"/>
              <w:widowControl/>
              <w:numPr>
                <w:ilvl w:val="0"/>
                <w:numId w:val="29"/>
              </w:numPr>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 xml:space="preserve">l’exploitation de nappes souterraines ; </w:t>
            </w:r>
          </w:p>
          <w:p w:rsidR="00FB6671" w:rsidRPr="00E85005" w:rsidRDefault="00FB6671" w:rsidP="00FB6671">
            <w:pPr>
              <w:pStyle w:val="Style3"/>
              <w:widowControl/>
              <w:numPr>
                <w:ilvl w:val="0"/>
                <w:numId w:val="29"/>
              </w:numPr>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l’exploitation artisanale</w:t>
            </w:r>
          </w:p>
          <w:p w:rsidR="00FB6671" w:rsidRPr="00E85005" w:rsidRDefault="00FB6671" w:rsidP="00FB6671">
            <w:pPr>
              <w:pStyle w:val="Style3"/>
              <w:widowControl/>
              <w:numPr>
                <w:ilvl w:val="0"/>
                <w:numId w:val="29"/>
              </w:numPr>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 xml:space="preserve">la commercialisation des substances minérales précieuses (or et diamant). </w:t>
            </w:r>
          </w:p>
          <w:p w:rsidR="00FB6671" w:rsidRPr="00E85005" w:rsidRDefault="00FB6671" w:rsidP="007C5949">
            <w:pPr>
              <w:pStyle w:val="Style3"/>
              <w:widowControl/>
              <w:spacing w:line="240" w:lineRule="auto"/>
              <w:ind w:left="720" w:right="11"/>
              <w:jc w:val="both"/>
              <w:rPr>
                <w:rStyle w:val="FontStyle23"/>
                <w:rFonts w:ascii="Times New Roman" w:cs="Times New Roman"/>
                <w:sz w:val="24"/>
                <w:szCs w:val="24"/>
              </w:rPr>
            </w:pP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 nombre de sociétés opérant dans chacune des secteurs d’activités ci-dessus varient d’une année à l’autre conformément au répertoire des titres miniers. Ce répertoire permettra d’identifier les sociétés ayant détenu ou non mais menant des activités minérales sur le territoire national, un titre au cours des années 2012 et 2013.</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 secteur de l’exploitation minière regroupe des sociétés d’exploitation à grande échelle dont la durée des permis va jusqu’à vingt (20) ans. L’on note dans ce secteur l’exploitation des phosphates dont le début des activités remonte à l’époque coloniale, celle du calcaire, du fer et du marbre.</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 xml:space="preserve">L’exploration minière porte sur plusieurs minerais tels que le phosphate carbonaté, le calcaire, le marbre, le manganèse, l’uranium, le zinc, le nickel, l’ilménite, la monazite, le diamant et l’or. </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Dans le secteur de l’exploitation de roche, l’on trouve des sociétés qui évoluent dans le concassage de gravier pour la production de matériaux de construction.</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 pétrole n’est pas encore exploité au Togo, toutefois on décèle des zones favorables en offshore sur toute la côte. Un permis d’exploration a été octroyé à une compagnie pétrolière italienne.</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 secteur des eaux concerne les sociétés qui exploitent les nappes phréatiques pour la production et la commercialisation de l’eau minérale. Dans ce secteur, l’on compte la société Togolaise des Eaux, société d’Etat qui produit et distribue l’eau courante.</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r w:rsidRPr="00E85005">
              <w:rPr>
                <w:rStyle w:val="FontStyle23"/>
                <w:rFonts w:ascii="Times New Roman" w:cs="Times New Roman"/>
                <w:sz w:val="24"/>
                <w:szCs w:val="24"/>
              </w:rPr>
              <w:t>Le secteur de l’exploitation artisanale regroupe des sociétés dont l’activité d’exploitation n’est pas industrialisée et porte principalement sur l’or, le sable et le gravier.</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p>
          <w:p w:rsidR="00FB6671" w:rsidRPr="00E85005" w:rsidRDefault="00FB6671" w:rsidP="007C5949">
            <w:pPr>
              <w:pStyle w:val="Style6"/>
              <w:widowControl/>
              <w:spacing w:line="240" w:lineRule="auto"/>
              <w:ind w:right="10"/>
              <w:rPr>
                <w:rStyle w:val="FontStyle23"/>
                <w:rFonts w:ascii="Times New Roman" w:cs="Times New Roman"/>
                <w:sz w:val="24"/>
                <w:szCs w:val="24"/>
              </w:rPr>
            </w:pPr>
            <w:r w:rsidRPr="00E85005">
              <w:rPr>
                <w:rStyle w:val="FontStyle23"/>
                <w:rFonts w:ascii="Times New Roman" w:cs="Times New Roman"/>
                <w:sz w:val="24"/>
                <w:szCs w:val="24"/>
              </w:rPr>
              <w:t>En vue de l’élaboration et de la publication des rapports ITIE portant sur les déclarations des années 2012 et 2013, le Togo doit procéder au recrutement d’un Administrateur Indépendant (également désigné conciliateur indépendant) dans le respect des exigences de la norme ITIE. Il s'agit d'un cabinet international qui procèdera à la définition du périmètre de cadrage, à l'analyse des flux financiers entre les entreprises du secteur extractif et les agences perceptrices de l’Etat aux côtés d’autres informations contextuelles conformément à la norme ITIE. Les présents termes de référence sont relatifs à la mission de l’Administrateur indépendant</w:t>
            </w:r>
          </w:p>
          <w:p w:rsidR="00FB6671" w:rsidRPr="00E85005" w:rsidRDefault="00FB6671" w:rsidP="007C5949">
            <w:pPr>
              <w:pStyle w:val="Style3"/>
              <w:widowControl/>
              <w:spacing w:line="240" w:lineRule="auto"/>
              <w:ind w:right="11"/>
              <w:jc w:val="both"/>
              <w:rPr>
                <w:rStyle w:val="FontStyle23"/>
                <w:rFonts w:ascii="Times New Roman" w:cs="Times New Roman"/>
                <w:sz w:val="24"/>
                <w:szCs w:val="24"/>
              </w:rPr>
            </w:pPr>
          </w:p>
          <w:p w:rsidR="00FB6671" w:rsidRPr="00E85005" w:rsidRDefault="00FB6671" w:rsidP="00FB6671">
            <w:pPr>
              <w:pStyle w:val="Heading1"/>
              <w:keepLines w:val="0"/>
              <w:numPr>
                <w:ilvl w:val="0"/>
                <w:numId w:val="30"/>
              </w:numPr>
              <w:spacing w:before="0" w:after="0"/>
              <w:jc w:val="both"/>
              <w:rPr>
                <w:rStyle w:val="BookTitle"/>
                <w:rFonts w:ascii="Times New Roman" w:eastAsia="Arial Unicode MS" w:hAnsi="Times New Roman"/>
                <w:b/>
                <w:sz w:val="24"/>
                <w:szCs w:val="24"/>
                <w:u w:val="single"/>
              </w:rPr>
            </w:pPr>
            <w:r w:rsidRPr="00E85005">
              <w:rPr>
                <w:rStyle w:val="BookTitle"/>
                <w:rFonts w:ascii="Times New Roman" w:eastAsia="Arial Unicode MS" w:hAnsi="Times New Roman"/>
                <w:b/>
                <w:sz w:val="24"/>
                <w:szCs w:val="24"/>
              </w:rPr>
              <w:t>Objectifs de l’exercice</w:t>
            </w:r>
          </w:p>
          <w:p w:rsidR="00030184" w:rsidRPr="00E85005" w:rsidRDefault="00FB6671" w:rsidP="007C5949">
            <w:pPr>
              <w:widowControl w:val="0"/>
              <w:shd w:val="clear" w:color="auto" w:fill="FFFFFF"/>
              <w:suppressAutoHyphens/>
              <w:autoSpaceDE w:val="0"/>
              <w:autoSpaceDN w:val="0"/>
              <w:adjustRightInd w:val="0"/>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Au nom du gouvernement, du Conseil National de Supervision de l’ITIE-Togo, du Comité de Pilotage de l’ITIE-Togo, le Secrétariat Technique de l’ITIE organe opérationnel et exécutif de la mise en œuvre du processus, recherche un cabinet compétent et crédible libre de tout conflit d’intérêt, pour fournir les services d’administrateur indépendant conformément à la norme ITIE. L’objectif de la mission consiste à produire et à publier des rapports ITIE complets et crédibles  pour les exercices 2012 et 2013, conformément à la Norme ITIE et à la section 4 ci-dessous. </w:t>
            </w:r>
          </w:p>
          <w:p w:rsidR="00FB6671" w:rsidRPr="00E85005" w:rsidRDefault="00FB6671" w:rsidP="00FB6671">
            <w:pPr>
              <w:pStyle w:val="Heading1"/>
              <w:keepLines w:val="0"/>
              <w:numPr>
                <w:ilvl w:val="0"/>
                <w:numId w:val="30"/>
              </w:numPr>
              <w:shd w:val="clear" w:color="auto" w:fill="FFFFFF"/>
              <w:tabs>
                <w:tab w:val="left" w:pos="426"/>
                <w:tab w:val="left" w:pos="709"/>
              </w:tabs>
              <w:jc w:val="both"/>
              <w:rPr>
                <w:rStyle w:val="BookTitle"/>
                <w:rFonts w:ascii="Times New Roman" w:eastAsia="Arial Unicode MS" w:hAnsi="Times New Roman"/>
                <w:b/>
                <w:bCs w:val="0"/>
                <w:smallCaps w:val="0"/>
                <w:color w:val="000000"/>
                <w:sz w:val="24"/>
                <w:szCs w:val="24"/>
              </w:rPr>
            </w:pPr>
            <w:r w:rsidRPr="00E85005">
              <w:rPr>
                <w:rStyle w:val="BookTitle"/>
                <w:rFonts w:ascii="Times New Roman" w:eastAsia="Arial Unicode MS" w:hAnsi="Times New Roman"/>
                <w:b/>
                <w:sz w:val="24"/>
                <w:szCs w:val="24"/>
              </w:rPr>
              <w:t>Etendue des services, tâches et éléments livrables attendus</w:t>
            </w:r>
          </w:p>
          <w:p w:rsidR="00FB6671" w:rsidRPr="00E85005" w:rsidRDefault="00FB6671" w:rsidP="007C5949">
            <w:pPr>
              <w:pStyle w:val="Heading1"/>
              <w:keepLines w:val="0"/>
              <w:shd w:val="clear" w:color="auto" w:fill="FFFFFF"/>
              <w:tabs>
                <w:tab w:val="left" w:pos="426"/>
                <w:tab w:val="left" w:pos="709"/>
              </w:tabs>
              <w:jc w:val="both"/>
              <w:rPr>
                <w:rStyle w:val="FontStyle23"/>
                <w:rFonts w:ascii="Times New Roman" w:hAnsi="Times New Roman" w:cs="Times New Roman"/>
                <w:b w:val="0"/>
                <w:sz w:val="24"/>
                <w:szCs w:val="24"/>
              </w:rPr>
            </w:pPr>
            <w:r w:rsidRPr="00E85005">
              <w:rPr>
                <w:rStyle w:val="FontStyle23"/>
                <w:rFonts w:ascii="Times New Roman" w:hAnsi="Times New Roman" w:cs="Times New Roman"/>
                <w:b w:val="0"/>
                <w:sz w:val="24"/>
                <w:szCs w:val="24"/>
              </w:rPr>
              <w:t xml:space="preserve">Le travail de l’administrateur indépendant se décompose en cinq phases (cf. figure 1). Les responsabilités de l’administrateur indépendant sont indiquées ci-dessous pour chacune de ces phases.  </w:t>
            </w: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Figure 1 – Aperçu du processus de publication des rapports ITIE</w:t>
            </w:r>
            <w:r w:rsidRPr="00E85005" w:rsidDel="00C62BAD">
              <w:rPr>
                <w:rStyle w:val="FontStyle23"/>
                <w:rFonts w:ascii="Times New Roman" w:cs="Times New Roman"/>
                <w:sz w:val="24"/>
                <w:szCs w:val="24"/>
              </w:rPr>
              <w:t xml:space="preserve"> </w:t>
            </w:r>
            <w:r w:rsidRPr="00E85005">
              <w:rPr>
                <w:rStyle w:val="FontStyle23"/>
                <w:rFonts w:ascii="Times New Roman" w:cs="Times New Roman"/>
                <w:sz w:val="24"/>
                <w:szCs w:val="24"/>
              </w:rPr>
              <w:t xml:space="preserve">et des livrables </w:t>
            </w: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Fonts w:eastAsia="Arial Unicode MS"/>
                <w:noProof/>
                <w:color w:val="000000"/>
                <w:szCs w:val="24"/>
                <w:lang w:val="en-US"/>
              </w:rPr>
              <w:drawing>
                <wp:inline distT="0" distB="0" distL="0" distR="0">
                  <wp:extent cx="5591175" cy="1666875"/>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5591175" cy="1666875"/>
                          </a:xfrm>
                          <a:prstGeom prst="rect">
                            <a:avLst/>
                          </a:prstGeom>
                          <a:noFill/>
                          <a:ln w="9525">
                            <a:noFill/>
                            <a:miter lim="800000"/>
                            <a:headEnd/>
                            <a:tailEnd/>
                          </a:ln>
                        </pic:spPr>
                      </pic:pic>
                    </a:graphicData>
                  </a:graphic>
                </wp:inline>
              </w:drawing>
            </w:r>
            <w:r w:rsidRPr="00E85005">
              <w:rPr>
                <w:rStyle w:val="FontStyle23"/>
                <w:rFonts w:ascii="Times New Roman" w:cs="Times New Roman"/>
                <w:sz w:val="24"/>
                <w:szCs w:val="24"/>
              </w:rPr>
              <w:t xml:space="preserve"> </w:t>
            </w:r>
          </w:p>
          <w:p w:rsidR="00FB6671"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En se fondant sur les études (préliminaires : les rapports 2010 et 2011) de délimitation du périmètre d'application, le Groupe multipartite s’attend à ce que le rapport ITIE couvre  à titre indicatif, une cinquantaine de flux de paiements, effectués par une quarantaine d’entreprises et par un peu plus d’une dizaine d’agences gouvernementales auxquelles s’ajouteront les communes et préfectures des localités minières. La proposition du Groupe multipartite portant sur le périmètre d’application du rapport ITIE, qui doit être révisé et confirmé par une étude de cadrage, auprès de l’administrateur indépendant pendant la phase initiale, est énoncée dans la fiche de données à l’Annexe 1 du modèle des Termes de Référence.</w:t>
            </w:r>
          </w:p>
          <w:p w:rsidR="0073283B" w:rsidRPr="00E85005" w:rsidRDefault="0073283B" w:rsidP="007C5949">
            <w:pPr>
              <w:shd w:val="clear" w:color="auto" w:fill="FFFFFF"/>
              <w:tabs>
                <w:tab w:val="left" w:pos="426"/>
                <w:tab w:val="left" w:pos="709"/>
              </w:tabs>
              <w:spacing w:before="240" w:after="240"/>
              <w:jc w:val="both"/>
              <w:rPr>
                <w:rStyle w:val="FontStyle23"/>
                <w:rFonts w:ascii="Times New Roman" w:cs="Times New Roman"/>
                <w:sz w:val="24"/>
                <w:szCs w:val="24"/>
              </w:rPr>
            </w:pP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BookTitle"/>
                <w:rFonts w:eastAsia="Arial Unicode MS"/>
                <w:szCs w:val="24"/>
                <w:u w:val="single"/>
              </w:rPr>
              <w:t>Phase 1</w:t>
            </w:r>
            <w:r w:rsidRPr="00E85005">
              <w:rPr>
                <w:rStyle w:val="FontStyle23"/>
                <w:rFonts w:ascii="Times New Roman" w:cs="Times New Roman"/>
                <w:sz w:val="24"/>
                <w:szCs w:val="24"/>
              </w:rPr>
              <w:t xml:space="preserve"> – analyse préliminaire et rapport initial </w:t>
            </w:r>
          </w:p>
          <w:p w:rsidR="00FB6671" w:rsidRPr="00E85005" w:rsidRDefault="00FB6671" w:rsidP="007C5949">
            <w:pPr>
              <w:shd w:val="clear" w:color="auto" w:fill="FFFFFF"/>
              <w:tabs>
                <w:tab w:val="left" w:pos="709"/>
              </w:tab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Contexte : L’objectif de la première phase des travaux consiste à vérifier que le périmètre d'application du processus de déclaration ITIE a été clairement défini, notamment les formulaires de déclaration, les procédures de collecte des données et le calendrier de publication du rapport ITIE. Il est impératif de définir clairement le périmètre d'application de la déclaration ITIE, conformément à la Norme ITIE ainsi qu'aux objectifs convenus par le Groupe multipartite et à ses attentes eu égard au processus ITIE. Les conclusions de la première phase devront être consignées dans un rapport de lancement (cf. 1.11 ci-dessous). On attend de la part de l’administrateur indépendant qu’il entreprenne les tâches suivantes : </w:t>
            </w:r>
          </w:p>
          <w:p w:rsidR="00FB6671" w:rsidRPr="00E85005" w:rsidRDefault="00FB6671" w:rsidP="00FB6671">
            <w:pPr>
              <w:widowControl w:val="0"/>
              <w:numPr>
                <w:ilvl w:val="1"/>
                <w:numId w:val="34"/>
              </w:numPr>
              <w:shd w:val="clear" w:color="auto" w:fill="FFFFFF"/>
              <w:tabs>
                <w:tab w:val="left" w:pos="709"/>
              </w:tabs>
              <w:suppressAutoHyphens/>
              <w:spacing w:before="240" w:after="240"/>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devra examiner les informations contextuelles pertinentes, y compris les dispositions en matière de gouvernance et les politiques fiscales dans les industries extractives, les conclusions tirées de tout travail préliminaire de délimitation du périmètre d'application, et les conclusions et recommandations issues des rapports ITIE antérieurs et des validations précédentes. (Une liste des documents pertinents est fournie en Annexe 2).</w:t>
            </w:r>
          </w:p>
          <w:p w:rsidR="00FB6671" w:rsidRPr="00E85005" w:rsidRDefault="00FB6671" w:rsidP="00FB6671">
            <w:pPr>
              <w:widowControl w:val="0"/>
              <w:numPr>
                <w:ilvl w:val="1"/>
                <w:numId w:val="34"/>
              </w:numPr>
              <w:shd w:val="clear" w:color="auto" w:fill="FFFFFF"/>
              <w:tabs>
                <w:tab w:val="left" w:pos="709"/>
              </w:tabs>
              <w:suppressAutoHyphens/>
              <w:spacing w:before="240" w:beforeAutospacing="1" w:after="240" w:afterAutospacing="1"/>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devra travailler avec le Groupe multipartite afin de convenir des procédures d’intégration et d’analyse des informations contextuelles et des autres informations non liées aux revenus dans le rapport ITIE. Les procédures doivent s’assurer que la source de ces informations est clairement indiquée et référencée. Un complément d’information au sujet de l’approche envisagée par le Groupe multipartite pour regrouper les informations contextuelles est joint en Annexe 1 des présents termes de référence, y compris toutes tâches particulières que l’administrateur indépendant devra entreprendre à cet égard. </w:t>
            </w:r>
          </w:p>
          <w:p w:rsidR="00FB6671" w:rsidRPr="00E85005" w:rsidRDefault="00FB6671" w:rsidP="00FB6671">
            <w:pPr>
              <w:widowControl w:val="0"/>
              <w:numPr>
                <w:ilvl w:val="1"/>
                <w:numId w:val="34"/>
              </w:numPr>
              <w:shd w:val="clear" w:color="auto" w:fill="FFFFFF"/>
              <w:tabs>
                <w:tab w:val="left" w:pos="709"/>
              </w:tabs>
              <w:suppressAutoHyphens/>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devra examiner les paiements et les revenus qui doivent être inclus dans le rapport ITIE tel que suggéré par le groupe multipartite à l’Annexe 1 et conformément à l’Exigence ITIE n°4. Le  rapport de lancement devra clairement indiquer : </w:t>
            </w:r>
          </w:p>
          <w:p w:rsidR="00FB6671" w:rsidRPr="00E85005" w:rsidRDefault="00FB6671" w:rsidP="007C5949">
            <w:pPr>
              <w:widowControl w:val="0"/>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Les décisions du groupe multipartite concernant : </w:t>
            </w:r>
          </w:p>
          <w:p w:rsidR="00FB6671" w:rsidRPr="00E85005" w:rsidRDefault="00FB6671" w:rsidP="00FB6671">
            <w:pPr>
              <w:widowControl w:val="0"/>
              <w:numPr>
                <w:ilvl w:val="1"/>
                <w:numId w:val="32"/>
              </w:numPr>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La définition de la matérialité et des seuils ainsi que les flux de revenus en découlant qui devront être inclus, conformément à l’Exigence n°4.1(b).</w:t>
            </w:r>
          </w:p>
          <w:p w:rsidR="00FB6671" w:rsidRPr="00E85005" w:rsidRDefault="00FB6671" w:rsidP="00FB6671">
            <w:pPr>
              <w:widowControl w:val="0"/>
              <w:numPr>
                <w:ilvl w:val="1"/>
                <w:numId w:val="32"/>
              </w:numPr>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Les revenus tirés de la vente des parts de production revenant à l’État ou les autres revenus perçus en nature conformément à l’Exigence n°4.1(c).</w:t>
            </w:r>
          </w:p>
          <w:p w:rsidR="00FB6671" w:rsidRPr="00E85005" w:rsidRDefault="00FB6671" w:rsidP="00FB6671">
            <w:pPr>
              <w:widowControl w:val="0"/>
              <w:numPr>
                <w:ilvl w:val="1"/>
                <w:numId w:val="32"/>
              </w:numPr>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La couverture des fournitures d’infrastructures et accords de troc inclus conformément à l’Exigence n°4.1(d).</w:t>
            </w:r>
          </w:p>
          <w:p w:rsidR="00FB6671" w:rsidRPr="00E85005" w:rsidRDefault="00FB6671" w:rsidP="00FB6671">
            <w:pPr>
              <w:widowControl w:val="0"/>
              <w:numPr>
                <w:ilvl w:val="1"/>
                <w:numId w:val="32"/>
              </w:numPr>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La couverture des dépenses sociales incluses conformément à l’Exigence n°4.1(e).</w:t>
            </w:r>
          </w:p>
          <w:p w:rsidR="00FB6671" w:rsidRPr="00E85005" w:rsidRDefault="00FB6671" w:rsidP="00FB6671">
            <w:pPr>
              <w:widowControl w:val="0"/>
              <w:numPr>
                <w:ilvl w:val="1"/>
                <w:numId w:val="32"/>
              </w:numPr>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La couverture des revenus provenant du transport inclus conformément à l’Exigence n°4.1(f) et tout autre aspect dont le groupe multipartite peut convenir ;</w:t>
            </w:r>
          </w:p>
          <w:p w:rsidR="00FB6671" w:rsidRPr="00E85005" w:rsidRDefault="00FB6671" w:rsidP="00FB6671">
            <w:pPr>
              <w:widowControl w:val="0"/>
              <w:numPr>
                <w:ilvl w:val="1"/>
                <w:numId w:val="32"/>
              </w:numPr>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Le niveau et le type de désagrégation des données du rapport ITIE conformément à l’exigence n° 5.2 (e).</w:t>
            </w:r>
          </w:p>
          <w:p w:rsidR="00FB6671" w:rsidRPr="00E85005" w:rsidRDefault="00FB6671" w:rsidP="007C5949">
            <w:pPr>
              <w:widowControl w:val="0"/>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A cet effet, l’ITIE-Togo souhaite charger l’administrateur indépendant d’entreprendre des travaux de délimitation du périmètre  d’application liés à la définition  de la matérialité et des flux de revenus devant être couverts, d’enquêter sur des problématiques de manière approfondie ou de suggérer des </w:t>
            </w:r>
            <w:r w:rsidRPr="00E85005">
              <w:rPr>
                <w:rStyle w:val="FontStyle23"/>
                <w:rFonts w:ascii="Times New Roman" w:cs="Times New Roman"/>
                <w:sz w:val="24"/>
                <w:szCs w:val="24"/>
              </w:rPr>
              <w:lastRenderedPageBreak/>
              <w:t>perfectionnements à apporter au périmètre d'application; les tâches particulières à effectuer sont de:</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Procéder à l’examen du plan de travail de l’ITIE Togo, afin de comprendre clairement les objectifs et le périmètre de la mise en œuvre de l’ITIE au Togo. Le consultant étudiera également tous les rapports annuels d’activités publiés par ITIE-Togo, afin de comprendre les progrès accomplis dans la réalisation des objectifs, et évaluer toutes les actions entreprises par l’ITIE Togo pour répondre aux recommandations issues des  exercices de déclarations et des validations ITIE antérieurs.</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Le cas échéant, procéder à un examen de tous les rapports ITIE et rapports de validation antérieurs, afin de comprendre le périmètre et l’état actuels du processus de déclaration ITIE au Togo, et de délimiter les domaines dans lesquels une amélioration est nécessaire.</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Examiner et résumer le cadre légal régissant  les industries ITIE  (exigence ITIE 3.2) ;</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Donner une vue d’ensemble des principales caractéristiques du secteur extractif (exigence ITIE 3.3) ;</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Conformément à l’exigence 3.4, préparer une synthèse de la contribution des industries extractives à l’économie pour les exercices 2012 et 2013 ;</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Identifier les sources d’informations relatives aux données de production, et formuler des commentaires sur la qualité et la fiabilité des données, dans le but d’étayer l’approche de l’exigence ITIE 3.5</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Le cas échéant, et conformément à l’exigence 3.6, déterminer le rôle joué par les entreprises appartenant à l’ETAT au sein du secteur extractif, et suggérer une méthode pour déclarer les relations financières entre le gouvernement et les entreprises appartenant à l’ETAT, les dépenses quasi fiscales, et la participation du gouvernement dans les entreprises pétrolières, gazières ou minières opérant au Togo. Les obstacles entravant la divulgation intégrale de ces informations devront être identifiés.</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Proposer un cadre de travail pour la déclaration des allocations et de la répartition des revenus, conformément aux exigences ITIE 3.7 et 3.8</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Examiner les informations disponibles au sujet des registres de licences et de l’octroi des licences, évaluer l’exhaustivité et le caractère ponctuel des informations, et proposer un mécanisme de déclaration et de divulgation, conformément aux exigences ITIE 3.9 et 3.10 </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Conformément à l’exigence ITIE 3.12(b), examiner la politique du Togo en matière de divulgation des contrats et licences fixant les conditions de prospection ou d’exploitation de pétrole, de gaz ou de minéraux. Cet examen devra inclure un récapitulatif des dispositions légales pertinentes, des pratiques réelles de divulgation et des réformes planifiées ou en cours ;</w:t>
            </w:r>
          </w:p>
          <w:p w:rsidR="00FB6671" w:rsidRPr="00E85005" w:rsidRDefault="00FB6671" w:rsidP="00FB6671">
            <w:pPr>
              <w:pStyle w:val="ListParagraph"/>
              <w:widowControl w:val="0"/>
              <w:numPr>
                <w:ilvl w:val="0"/>
                <w:numId w:val="51"/>
              </w:numPr>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Identifier tous les obstacles qui entravent la divulgation des informations contextuelles définies ci-dessus, présenter des alternatives, et formuler des recommandations pour y remédier ; </w:t>
            </w:r>
          </w:p>
          <w:p w:rsidR="00FB6671" w:rsidRPr="00E85005" w:rsidRDefault="00FB6671" w:rsidP="00FB6671">
            <w:pPr>
              <w:widowControl w:val="0"/>
              <w:numPr>
                <w:ilvl w:val="1"/>
                <w:numId w:val="34"/>
              </w:numPr>
              <w:shd w:val="clear" w:color="auto" w:fill="FFFFFF"/>
              <w:tabs>
                <w:tab w:val="left" w:pos="709"/>
              </w:tabs>
              <w:suppressAutoHyphens/>
              <w:spacing w:before="240" w:after="240"/>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lastRenderedPageBreak/>
              <w:t>L’administrateur indépendant devra examiner les entreprises et les entités d’État qui sont tenues de faire une déclaration comme l’a défini le Groupe multipartite à l’Annexe 1 conformément à l’Exigence ITIE n°4.2. Comme ci- dessus,</w:t>
            </w:r>
            <w:r w:rsidRPr="00E85005">
              <w:rPr>
                <w:rStyle w:val="FontStyle23"/>
                <w:rFonts w:ascii="Times New Roman" w:cs="Times New Roman"/>
                <w:color w:val="FF0000"/>
                <w:sz w:val="24"/>
                <w:szCs w:val="24"/>
              </w:rPr>
              <w:t xml:space="preserve"> </w:t>
            </w:r>
            <w:r w:rsidRPr="00E85005">
              <w:rPr>
                <w:rStyle w:val="FontStyle23"/>
                <w:rFonts w:ascii="Times New Roman" w:cs="Times New Roman"/>
                <w:sz w:val="24"/>
                <w:szCs w:val="24"/>
              </w:rPr>
              <w:t xml:space="preserve">le groupe multipartite souhaite charger l’administrateur indépendant de mener une étude détaillée de délimitation du périmètre d’application, d’enquêter sur des problématiques particulières de manière approfondie ou de suggérer des perfectionnements à apporter au périmètre d’application. </w:t>
            </w:r>
          </w:p>
          <w:p w:rsidR="00FB6671" w:rsidRPr="00E85005" w:rsidRDefault="00FB6671" w:rsidP="007C5949">
            <w:pPr>
              <w:widowControl w:val="0"/>
              <w:shd w:val="clear" w:color="auto" w:fill="FFFFFF"/>
              <w:tabs>
                <w:tab w:val="left" w:pos="709"/>
              </w:tabs>
              <w:suppressAutoHyphens/>
              <w:spacing w:before="240" w:after="240"/>
              <w:ind w:left="709"/>
              <w:jc w:val="both"/>
              <w:rPr>
                <w:rStyle w:val="FontStyle23"/>
                <w:rFonts w:ascii="Times New Roman" w:cs="Times New Roman"/>
                <w:sz w:val="24"/>
                <w:szCs w:val="24"/>
              </w:rPr>
            </w:pPr>
            <w:r w:rsidRPr="00E85005">
              <w:rPr>
                <w:rStyle w:val="FontStyle23"/>
                <w:rFonts w:ascii="Times New Roman" w:cs="Times New Roman"/>
                <w:sz w:val="24"/>
                <w:szCs w:val="24"/>
              </w:rPr>
              <w:t>Le rapport de lancement devra :</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Identifier et dresser la liste des entreprises qui versent des paiements significatifs à l’État et qui seront tenues de faire une déclaration conformément à l’Exigence n°4.2(a).</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Identifier et dresser la liste des entités de l’État qui reçoivent des paiements significatifs et qui seront tenues de faire une déclaration conformément à l’Exigence n°4.2(a).</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Identifier les obstacles potentiels à la pleine divulgation, par le gouvernement, des revenus totaux en provenance de chaque flux financier et économique convenu dans le périmètre d'application du rapport ITIE, y compris les revenus qui sont inférieurs aux seuils de matérialité convenus (Exigence 4.2(b)). </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Confirmer la position du groupe multipartite sur la divulgation et sur le rapprochement des paiements à destination et en provenance des entreprises d’Etat conformément à l’exigence n°4.2(c).</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Confirmer la position du groupe multipartite sur la matérialité et sur l’inclusion des paiements infranationaux conformément à l’Exigence n°4.2(d). </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Confirmer la position du groupe multipartite sur la matérialité et sur l’inclusion des transferts infranationaux conformément à l’Exigence n°4.2(e).</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Tout autre aspect dont le groupe multipartite peut convenir.</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Procéder à une analyse complète des paiements et des flux de revenus gouvernementaux liés au secteur extractif, en mentionnant en particulier les flux de revenus qui doivent être couverts d’après l’exigence ITIE 4.1 (b). Cette analyse devra également porter sur les revenus des ventes des parts de production  de l’ETAT et d’autres revenus perçus en nature (4.1.c) ainsi que sur les dispositions en matière d’infrastructures et autres accords de trocs (4.1.d), sur les dépenses sociales volontaires et obligatoires (4.1.e), et sur les paiements liés au transport (4.1.f) ;</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En tenant compte des conclusions tirées du point ci-dessus, examiner les données cadastrales et les revenus des exercices 2012 et 2013, et formuler des recommandations sur la matérialité de ces paiements d’impôts et de ces flux de revenus gouvernementaux, en y incluant, le cas échéant, des propositions de seuils de matérialité applicables à la divulgation des entreprises ( avec référence à la note d’orientation annexée à ce document et à l’exigence ITIE 4.1)</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color w:val="FF0000"/>
                <w:sz w:val="24"/>
                <w:szCs w:val="24"/>
              </w:rPr>
            </w:pPr>
            <w:r w:rsidRPr="00E85005">
              <w:rPr>
                <w:rStyle w:val="FontStyle23"/>
                <w:rFonts w:ascii="Times New Roman" w:cs="Times New Roman"/>
                <w:sz w:val="24"/>
                <w:szCs w:val="24"/>
              </w:rPr>
              <w:t xml:space="preserve">Sur la base de la définition proposée pour la matérialité, élaborer une liste préliminaire des entreprises qui effectuent des paiements significatifs et qui devront donc être mentionnées dans le rapport ITIE (exigence ITIE 4.2.a). Lorsque des seuils de matérialité sont proposés, la liste devra contenir une estimation de la proportion des </w:t>
            </w:r>
            <w:r w:rsidRPr="00E85005">
              <w:rPr>
                <w:rStyle w:val="FontStyle23"/>
                <w:rFonts w:ascii="Times New Roman" w:cs="Times New Roman"/>
                <w:sz w:val="24"/>
                <w:szCs w:val="24"/>
              </w:rPr>
              <w:lastRenderedPageBreak/>
              <w:t>paiements d’entreprises qui seront divulgués, par rapport au total des revenus gouvernementaux tirés du secteur.</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Si les données sont disponibles, mentionner pour chaque entreprise</w:t>
            </w:r>
          </w:p>
          <w:p w:rsidR="00FB6671" w:rsidRPr="00E85005" w:rsidRDefault="00FB6671" w:rsidP="00FB6671">
            <w:pPr>
              <w:pStyle w:val="ListParagraph"/>
              <w:widowControl w:val="0"/>
              <w:numPr>
                <w:ilvl w:val="2"/>
                <w:numId w:val="32"/>
              </w:numPr>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Le numéro d’identification fiscal</w:t>
            </w:r>
          </w:p>
          <w:p w:rsidR="00FB6671" w:rsidRPr="00E85005" w:rsidRDefault="00FB6671" w:rsidP="00FB6671">
            <w:pPr>
              <w:pStyle w:val="ListParagraph"/>
              <w:widowControl w:val="0"/>
              <w:numPr>
                <w:ilvl w:val="2"/>
                <w:numId w:val="32"/>
              </w:numPr>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Le secteur d’activité et la phase de l’exploitation, tels que la prospection ou la production de pétrole, de gaz, de minéraux, etc.</w:t>
            </w:r>
          </w:p>
          <w:p w:rsidR="00FB6671" w:rsidRPr="00E85005" w:rsidRDefault="00FB6671" w:rsidP="00FB6671">
            <w:pPr>
              <w:pStyle w:val="ListParagraph"/>
              <w:widowControl w:val="0"/>
              <w:numPr>
                <w:ilvl w:val="2"/>
                <w:numId w:val="32"/>
              </w:numPr>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Le type et les numéros des licences détenues</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Sur la base de la définition proposée pour la matérialité, identifier les entités de l’ETAT qui seront  tenues d’effectuer une déclaration. Il convient de noter que le gouvernement est tenu de divulguer tous ses revenus, indépendamment de leur matérialité (Exigence ITIE 4.2 b).</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Pour décider des entités gouvernementales qui seront tenues de procéder à une divulgation, le consultant devra déterminer si des entités gouvernementales infranationales perçoivent des revenus directs ou indirects en provenance du secteur extractif, conformément aux exigences 4.2.d et 4.2.e ;</w:t>
            </w:r>
          </w:p>
          <w:p w:rsidR="00FB6671" w:rsidRPr="00E85005" w:rsidRDefault="00FB6671" w:rsidP="00FB6671">
            <w:pPr>
              <w:widowControl w:val="0"/>
              <w:numPr>
                <w:ilvl w:val="1"/>
                <w:numId w:val="32"/>
              </w:numPr>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Identifier tous les obstacles juridiques, administratifs ou pratiques qui s’opposent à une divulgation exhaustive, et, si nécessaire, présenter des alternatives et formuler des recommandations pour y remédier ;</w:t>
            </w:r>
          </w:p>
          <w:p w:rsidR="00FB6671" w:rsidRPr="00E85005" w:rsidRDefault="00FB6671" w:rsidP="00FB6671">
            <w:pPr>
              <w:widowControl w:val="0"/>
              <w:numPr>
                <w:ilvl w:val="1"/>
                <w:numId w:val="34"/>
              </w:numPr>
              <w:shd w:val="clear" w:color="auto" w:fill="FFFFFF"/>
              <w:tabs>
                <w:tab w:val="left" w:pos="709"/>
              </w:tabs>
              <w:suppressAutoHyphens/>
              <w:spacing w:before="240" w:after="240"/>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devra fournir des conseils au Groupe multipartite sur les formulaires de déclaration en se fondant sur les flux financiers et économiques à déclarer qui ont été convenus, et sur les entités déclarantes (1.3 – 1.4 ci-dessus).  Des exemples de formulaires sont disponibles auprès du Secrétariat international. Il est recommandé que les formulaires comprennent une clause exigeant des entreprises qu’elles déclarent « tous autres paiements significatifs versés aux entités de l’Etat». A cet effet l’Administrateur indépendant devra élaborer et présenter au groupe multipartite le formulaire de déclaration.</w:t>
            </w:r>
          </w:p>
          <w:p w:rsidR="00FB6671" w:rsidRPr="00E85005" w:rsidRDefault="00FB6671" w:rsidP="007C5949">
            <w:pPr>
              <w:widowControl w:val="0"/>
              <w:shd w:val="clear" w:color="auto" w:fill="FFFFFF"/>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Evaluer les approches de la qualité des données qui ont été adoptées précédemment dans les rapports ITIE publiés, en y incluant les recommandations émises par l’administrateur indépendant ou le validateur pour renforcer le processus ;</w:t>
            </w:r>
          </w:p>
          <w:p w:rsidR="00FB6671" w:rsidRPr="00E85005" w:rsidRDefault="00FB6671" w:rsidP="007C5949">
            <w:pPr>
              <w:widowControl w:val="0"/>
              <w:shd w:val="clear" w:color="auto" w:fill="FFFFFF"/>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Conformément à l’exigence 5.2 (b), examiner les procédures d’audit et d’assurance appliquées par les entreprises et les entités de l’ETAT susceptibles de participer au processus de déclaration ITIE, y compris les lois et la réglementation concernées ainsi que toutes les réformes en cours ou planifiées, et déterminer si ces procédures sont conformes ou non aux normes internationales. </w:t>
            </w:r>
          </w:p>
          <w:p w:rsidR="00FB6671" w:rsidRPr="00E85005" w:rsidRDefault="00FB6671" w:rsidP="007C5949">
            <w:pPr>
              <w:widowControl w:val="0"/>
              <w:shd w:val="clear" w:color="auto" w:fill="FFFFFF"/>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Conformément à l’exigence ITIE 5.2 (c), proposer les garanties que les entités déclarantes devront apporter à l’administrateur indépendant.</w:t>
            </w:r>
          </w:p>
          <w:p w:rsidR="00FB6671" w:rsidRPr="00E85005" w:rsidRDefault="00FB6671" w:rsidP="007C5949">
            <w:pPr>
              <w:widowControl w:val="0"/>
              <w:shd w:val="clear" w:color="auto" w:fill="FFFFFF"/>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1.6      l’administrateur indépendant devra fournir des conseils au groupe multipartite sur la manière d’examiner les procédures d’audit et d’assurance qui sont appliquées par les entreprises et les entités de l’Etat participant au processus ITIE, conformément à l’exigence n° 5.2 (b), y compris en examinant les lois et la réglementation concernées, toutes les réformes en cours ou planifiées, et en déterminant si ces procédures sont conformes ou non aux normes internationales.</w:t>
            </w:r>
          </w:p>
          <w:p w:rsidR="00FB6671" w:rsidRPr="00E85005" w:rsidRDefault="00FB6671" w:rsidP="00FB6671">
            <w:pPr>
              <w:pStyle w:val="ListParagraph"/>
              <w:widowControl w:val="0"/>
              <w:numPr>
                <w:ilvl w:val="1"/>
                <w:numId w:val="48"/>
              </w:numPr>
              <w:shd w:val="clear" w:color="auto" w:fill="FFFFFF"/>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lastRenderedPageBreak/>
              <w:t xml:space="preserve">         L’administrateur indépendant devra fournir des conseils au Groupe multipartite sur les informations dont le groupe multipartite devra convenir et qui devront être communiquées à l'administrateur indépendant par les entreprises et par les entités de l’État participantes pour garantir la crédibilité des données conformément à l’Exigence n°5.2(c). L’administrateur indépendant devra ensuite employer son jugement professionnel pour déterminer dans quelle mesure  il est possible d’attribuer une certaine fiabilité aux contrôles et cadres d’audits existants des entreprises et des gouvernements. L’administrateur indépendant devra documenter les options considérées et les raisons du choix des garanties à fournir. Lorsque l’administrateur indépendant et le groupe multipartite l’estiment nécessaire, ces garanties peuvent inclure :</w:t>
            </w:r>
          </w:p>
          <w:p w:rsidR="00FB6671" w:rsidRPr="00E85005" w:rsidRDefault="00FB6671" w:rsidP="00FB6671">
            <w:pPr>
              <w:pStyle w:val="ListParagraph"/>
              <w:widowControl w:val="0"/>
              <w:numPr>
                <w:ilvl w:val="0"/>
                <w:numId w:val="38"/>
              </w:numPr>
              <w:shd w:val="clear" w:color="auto" w:fill="FFFFFF"/>
              <w:tabs>
                <w:tab w:val="left" w:pos="1418"/>
              </w:tabs>
              <w:suppressAutoHyphens/>
              <w:spacing w:before="240" w:after="240"/>
              <w:ind w:left="1418" w:hanging="567"/>
              <w:contextualSpacing/>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une demande à un haut responsable de l’entreprise ou à un haut fonctionnaire du gouvernement de chaque entité déclarante de certifier que le formulaire de déclaration qui a été rempli constitue un relevé complet et exact ;</w:t>
            </w:r>
          </w:p>
          <w:p w:rsidR="00FB6671" w:rsidRPr="00E85005" w:rsidRDefault="00FB6671" w:rsidP="00FB6671">
            <w:pPr>
              <w:pStyle w:val="ListParagraph"/>
              <w:widowControl w:val="0"/>
              <w:numPr>
                <w:ilvl w:val="0"/>
                <w:numId w:val="38"/>
              </w:numPr>
              <w:shd w:val="clear" w:color="auto" w:fill="FFFFFF"/>
              <w:tabs>
                <w:tab w:val="left" w:pos="1418"/>
              </w:tabs>
              <w:suppressAutoHyphens/>
              <w:spacing w:before="240" w:after="240"/>
              <w:ind w:left="1418" w:hanging="567"/>
              <w:contextualSpacing/>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une demande pour que les entreprises joignent une lettre de confirmation de leur auditeur externe attestant que les informations qu’elles ont transmises sont complètes et conformes à leurs états financiers audités. Le Groupe multipartite peut décider d’introduire et de répartir une telle procédure dans le temps afin que la lettre de confirmation puisse faire partie du programme de travail habituel de l’auditeur de l'entreprise. Si certaines entreprises ne sont pas tenues par la loi d’avoir un auditeur externe et ne peuvent donc fournir cette garantie, il y a lieu de le signaler clairement et toute réforme planifiée ou en cours devra être mentionnée ;</w:t>
            </w:r>
          </w:p>
          <w:p w:rsidR="00FB6671" w:rsidRPr="00E85005" w:rsidRDefault="00FB6671" w:rsidP="00FB6671">
            <w:pPr>
              <w:pStyle w:val="ListParagraph"/>
              <w:widowControl w:val="0"/>
              <w:numPr>
                <w:ilvl w:val="0"/>
                <w:numId w:val="38"/>
              </w:numPr>
              <w:shd w:val="clear" w:color="auto" w:fill="FFFFFF"/>
              <w:tabs>
                <w:tab w:val="left" w:pos="1418"/>
              </w:tabs>
              <w:suppressAutoHyphens/>
              <w:spacing w:before="240" w:after="240"/>
              <w:ind w:left="1418" w:hanging="567"/>
              <w:contextualSpacing/>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le cas échéant et dans la mesure du possible, le fait de demander aux entités publiques déclarantes d'obtenir de leur auditeur externe (ou équivalent) une certification attestant de l'exactitude des divulgations du gouvernement. </w:t>
            </w:r>
          </w:p>
          <w:p w:rsidR="00FB6671" w:rsidRPr="00E85005" w:rsidRDefault="00FB6671" w:rsidP="007C5949">
            <w:pPr>
              <w:widowControl w:val="0"/>
              <w:suppressAutoHyphens/>
              <w:spacing w:before="240" w:after="240"/>
              <w:ind w:left="709"/>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devra exercer sa faculté de jugement et appliquer les normes professionnelles internationales appropriées dans l’élaboration d’une procédure qui fournisse une base suffisante pour la publication d'un rapport ITIE exhaustif et fiable. </w:t>
            </w:r>
          </w:p>
          <w:p w:rsidR="00FB6671" w:rsidRPr="00E85005" w:rsidRDefault="00FB6671" w:rsidP="00FB6671">
            <w:pPr>
              <w:widowControl w:val="0"/>
              <w:numPr>
                <w:ilvl w:val="1"/>
                <w:numId w:val="48"/>
              </w:numPr>
              <w:shd w:val="clear" w:color="auto" w:fill="FFFFFF"/>
              <w:tabs>
                <w:tab w:val="left" w:pos="709"/>
              </w:tabs>
              <w:suppressAutoHyphens/>
              <w:spacing w:before="240" w:after="240"/>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devra fournir des conseils au Groupe multipartite sur la manière de convenir de dispositions adéquates relatives à la protection des informations confidentielles.  </w:t>
            </w:r>
          </w:p>
          <w:p w:rsidR="00FB6671" w:rsidRPr="00E85005" w:rsidRDefault="00FB6671" w:rsidP="00FB6671">
            <w:pPr>
              <w:widowControl w:val="0"/>
              <w:numPr>
                <w:ilvl w:val="1"/>
                <w:numId w:val="48"/>
              </w:numPr>
              <w:shd w:val="clear" w:color="auto" w:fill="FFFFFF"/>
              <w:tabs>
                <w:tab w:val="left" w:pos="709"/>
              </w:tabs>
              <w:suppressAutoHyphens/>
              <w:spacing w:before="240" w:after="240"/>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devra documenter les résultats issus de la phase initiale dans un rapport de lancement qui sera soumis à l’examen du Groupe multipartite qui traitera des points 1.1 à 1.9 détaillé ci – dessus. En cas de besoin le rapport de lancement devra souligner tous problèmes non résolu ou tous obstacles potentiels à une mise en œuvre efficace,  ainsi que des solutions possibles que le groupe multipartite devra examinées.</w:t>
            </w: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BookTitle"/>
                <w:rFonts w:eastAsia="Arial Unicode MS"/>
                <w:szCs w:val="24"/>
                <w:u w:val="single"/>
              </w:rPr>
              <w:t>Phase 2</w:t>
            </w:r>
            <w:r w:rsidRPr="00E85005">
              <w:rPr>
                <w:rStyle w:val="FontStyle23"/>
                <w:rFonts w:ascii="Times New Roman" w:cs="Times New Roman"/>
                <w:sz w:val="24"/>
                <w:szCs w:val="24"/>
              </w:rPr>
              <w:t xml:space="preserve"> – </w:t>
            </w:r>
            <w:r w:rsidRPr="00E85005">
              <w:rPr>
                <w:rStyle w:val="FontStyle23"/>
                <w:rFonts w:ascii="Times New Roman" w:cs="Times New Roman"/>
                <w:b/>
                <w:sz w:val="24"/>
                <w:szCs w:val="24"/>
              </w:rPr>
              <w:t>Collecte des données</w:t>
            </w:r>
          </w:p>
          <w:p w:rsidR="00FB6671" w:rsidRPr="00E85005" w:rsidRDefault="00FB6671" w:rsidP="00FB6671">
            <w:pPr>
              <w:widowControl w:val="0"/>
              <w:numPr>
                <w:ilvl w:val="1"/>
                <w:numId w:val="35"/>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La procédure plus commune consiste à ce que le groupe multipartite charge l’administrateur indépendant de distribuer les formulaires de déclaration et de recueillir les formulaires remplis (ainsi que les pièces justificatives connexes) et toutes informations contextuelles ou autres requises par le groupe multipartite directement auprès des entités déclarantes qui participent au processus de déclaration. Le gouvernement fournit en général les coordonnées des entités déclarantes et aide l’administrateur indépendant à s’assurer que toutes les entités déclarantes participent pleinement au processus. Lorsqu’une autre approche est suggérée - par exemple lorsque le secrétariat national de l’ITIE contribue à la collecte des données ou lorsque les données sont recueillies dans le cadre d’un mécanisme de déclaration existant, il devra y avoir des consultations avec l’administrateur indépendant afin de garantir l’intégrité des informations transmises à l’administrateur indépendant.</w:t>
            </w:r>
          </w:p>
          <w:p w:rsidR="00FB6671" w:rsidRPr="00E85005" w:rsidRDefault="00FB6671" w:rsidP="00FB6671">
            <w:pPr>
              <w:widowControl w:val="0"/>
              <w:numPr>
                <w:ilvl w:val="1"/>
                <w:numId w:val="35"/>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 xml:space="preserve">Sous la direction du groupe multipartite, L’administrateur indépendant pourra être chargé de </w:t>
            </w:r>
            <w:r w:rsidRPr="00E85005">
              <w:rPr>
                <w:rStyle w:val="FontStyle23"/>
                <w:rFonts w:ascii="Times New Roman" w:cs="Times New Roman"/>
                <w:sz w:val="24"/>
                <w:szCs w:val="24"/>
              </w:rPr>
              <w:lastRenderedPageBreak/>
              <w:t xml:space="preserve">fournir des conseils sur la manière de s’assurer que la demande de données comprend des consignes appropriées à l’attention des entités déclarantes, ainsi que des conseils sur là où il est possible d’obtenir une assistance et des informations supplémentaires.  </w:t>
            </w:r>
          </w:p>
          <w:p w:rsidR="00FB6671" w:rsidRPr="00E85005" w:rsidRDefault="00FB6671" w:rsidP="00FB6671">
            <w:pPr>
              <w:widowControl w:val="0"/>
              <w:numPr>
                <w:ilvl w:val="1"/>
                <w:numId w:val="35"/>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est chargé de contacter directement les entités déclarantes afin de clarifier toutes lacunes ou tout écart quelconque en termes d'informations. </w:t>
            </w: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BookTitle"/>
                <w:rFonts w:eastAsia="Arial Unicode MS"/>
                <w:szCs w:val="24"/>
                <w:u w:val="single"/>
              </w:rPr>
              <w:t>Phase 3</w:t>
            </w:r>
            <w:r w:rsidRPr="00E85005">
              <w:rPr>
                <w:rStyle w:val="FontStyle23"/>
                <w:rFonts w:ascii="Times New Roman" w:cs="Times New Roman"/>
                <w:sz w:val="24"/>
                <w:szCs w:val="24"/>
              </w:rPr>
              <w:t xml:space="preserve"> – Rapprochement initial et rapport de rapprochement initial </w:t>
            </w:r>
          </w:p>
          <w:p w:rsidR="00FB6671" w:rsidRPr="00E85005" w:rsidRDefault="00FB6671" w:rsidP="00FB6671">
            <w:pPr>
              <w:widowControl w:val="0"/>
              <w:numPr>
                <w:ilvl w:val="1"/>
                <w:numId w:val="36"/>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devra compiler une base de données à l’aide des données fournies par les entités déclarantes. </w:t>
            </w:r>
          </w:p>
          <w:p w:rsidR="00FB6671" w:rsidRPr="00E85005" w:rsidRDefault="00FB6671" w:rsidP="00FB6671">
            <w:pPr>
              <w:widowControl w:val="0"/>
              <w:numPr>
                <w:ilvl w:val="1"/>
                <w:numId w:val="36"/>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devra rapprocher de manière exhaustive les informations divulguées par les entités déclarantes, en identifiant tous écarts quelconques (y compris en remédiant aux écarts) conformément au périmètre  d’application convenu.</w:t>
            </w:r>
          </w:p>
          <w:p w:rsidR="00FB6671" w:rsidRPr="00E85005" w:rsidRDefault="00FB6671" w:rsidP="00FB6671">
            <w:pPr>
              <w:widowControl w:val="0"/>
              <w:numPr>
                <w:ilvl w:val="1"/>
                <w:numId w:val="36"/>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devra préparer un rapport de rapprochement initial en se fondant sur les données déclarées (sans ajustement), que le Groupe multipartite examinera conformément au périmètre  d’application convenu. </w:t>
            </w:r>
          </w:p>
          <w:p w:rsidR="00FB6671" w:rsidRPr="00E85005" w:rsidRDefault="00FB6671" w:rsidP="00FB6671">
            <w:pPr>
              <w:widowControl w:val="0"/>
              <w:numPr>
                <w:ilvl w:val="1"/>
                <w:numId w:val="36"/>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devra identifier les écarts supérieurs à la marge d’erreur convenue fixée à 0% du total des revenus</w:t>
            </w:r>
          </w:p>
          <w:p w:rsidR="00FB6671" w:rsidRPr="00E85005" w:rsidRDefault="00FB6671" w:rsidP="00FB6671">
            <w:pPr>
              <w:widowControl w:val="0"/>
              <w:numPr>
                <w:ilvl w:val="1"/>
                <w:numId w:val="36"/>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Concernant les informations contextuelles, et aux autres données collectées par l’administrateur indépendant ou fournies à l’administrateur indépendant par le gouvernement ou par le groupe multipartite : l’administrateur indépendant compilera les données collectées par le gouvernement, par le groupe multipartite ou par les entités déclarantes et préparera un rapport initial basé sur les informations contextuelles rapportées et sur d’autres informations sous le format convenu par le groupe multipartite dans le cadre du rapport de ces informations.</w:t>
            </w: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BookTitle"/>
                <w:rFonts w:eastAsia="Arial Unicode MS"/>
                <w:szCs w:val="24"/>
                <w:u w:val="single"/>
              </w:rPr>
              <w:t>Phase 4 –</w:t>
            </w:r>
            <w:r w:rsidRPr="00E85005">
              <w:rPr>
                <w:rStyle w:val="FontStyle23"/>
                <w:rFonts w:ascii="Times New Roman" w:cs="Times New Roman"/>
                <w:sz w:val="24"/>
                <w:szCs w:val="24"/>
              </w:rPr>
              <w:t xml:space="preserve"> Enquête sur les écarts et projet de rapport de l’administrateur indépendant</w:t>
            </w:r>
          </w:p>
          <w:p w:rsidR="00FB6671" w:rsidRPr="00E85005" w:rsidRDefault="00FB6671" w:rsidP="00FB6671">
            <w:pPr>
              <w:pStyle w:val="ListParagraph"/>
              <w:widowControl w:val="0"/>
              <w:numPr>
                <w:ilvl w:val="1"/>
                <w:numId w:val="30"/>
              </w:numPr>
              <w:shd w:val="clear" w:color="auto" w:fill="FFFFFF"/>
              <w:tabs>
                <w:tab w:val="left" w:pos="2268"/>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Présentation du rapport sur l’Etude de délimitation du périmètre.</w:t>
            </w:r>
          </w:p>
          <w:p w:rsidR="00FB6671" w:rsidRPr="00E85005" w:rsidRDefault="00FB6671" w:rsidP="00FB6671">
            <w:pPr>
              <w:pStyle w:val="ListParagraph"/>
              <w:widowControl w:val="0"/>
              <w:numPr>
                <w:ilvl w:val="0"/>
                <w:numId w:val="49"/>
              </w:numPr>
              <w:shd w:val="clear" w:color="auto" w:fill="FFFFFF"/>
              <w:tabs>
                <w:tab w:val="left" w:pos="709"/>
                <w:tab w:val="left" w:pos="1708"/>
              </w:tabs>
              <w:suppressAutoHyphen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Préparer et présenter au groupe multipartite (le Conseil national de supervision et le comité de pilotage), au secrétariat technique de l’ITIE Togo, et au secrétariat international de l’ITIE le projet d’étude de délimitation du périmètre, pour examen et commentaire </w:t>
            </w:r>
          </w:p>
          <w:p w:rsidR="00FB6671" w:rsidRPr="00E85005" w:rsidRDefault="00FB6671" w:rsidP="00FB6671">
            <w:pPr>
              <w:pStyle w:val="ListParagraph"/>
              <w:widowControl w:val="0"/>
              <w:numPr>
                <w:ilvl w:val="0"/>
                <w:numId w:val="49"/>
              </w:numPr>
              <w:shd w:val="clear" w:color="auto" w:fill="FFFFFF"/>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Préparer une version finale de l’étude de délimitation du périmètre pour le groupe multipartite de l’ITIE Togo, et formuler des recommandations pour l’établissement du rapport ITIE 2012 et 2013 ;</w:t>
            </w:r>
          </w:p>
          <w:p w:rsidR="00FB6671" w:rsidRPr="00E85005" w:rsidRDefault="00FB6671" w:rsidP="00FB6671">
            <w:pPr>
              <w:pStyle w:val="ListParagraph"/>
              <w:widowControl w:val="0"/>
              <w:numPr>
                <w:ilvl w:val="0"/>
                <w:numId w:val="49"/>
              </w:numPr>
              <w:shd w:val="clear" w:color="auto" w:fill="FFFFFF"/>
              <w:tabs>
                <w:tab w:val="left" w:pos="709"/>
              </w:tabs>
              <w:suppressAutoHyphen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Formuler des recommandations sur la manière dont les prochains rapports de délimitation du périmètre peuvent être améliorés. </w:t>
            </w:r>
          </w:p>
          <w:p w:rsidR="00FB6671" w:rsidRPr="00E85005" w:rsidRDefault="00FB6671" w:rsidP="007C5949">
            <w:pPr>
              <w:widowControl w:val="0"/>
              <w:shd w:val="clear" w:color="auto" w:fill="FFFFFF"/>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La période de dépôt du rapport final coïncidera avec le début de la collecte des données</w:t>
            </w:r>
          </w:p>
          <w:p w:rsidR="00FB6671" w:rsidRPr="00E85005" w:rsidRDefault="00FB6671" w:rsidP="007C5949">
            <w:pPr>
              <w:widowControl w:val="0"/>
              <w:shd w:val="clear" w:color="auto" w:fill="FFFFFF"/>
              <w:tabs>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4.2    L’administrateur indépendant est chargé de contacter les entités déclarantes pour chercher à clarifier tout écart constaté dans les données déclarées. </w:t>
            </w:r>
          </w:p>
          <w:p w:rsidR="00FB6671" w:rsidRPr="00E85005" w:rsidRDefault="00FB6671" w:rsidP="00FB6671">
            <w:pPr>
              <w:pStyle w:val="ListParagraph"/>
              <w:widowControl w:val="0"/>
              <w:numPr>
                <w:ilvl w:val="1"/>
                <w:numId w:val="50"/>
              </w:numPr>
              <w:shd w:val="clear" w:color="auto" w:fill="FFFFFF"/>
              <w:tabs>
                <w:tab w:val="left" w:pos="709"/>
              </w:tabs>
              <w:suppressAutoHyphen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    L’administrateur indépendant devra préparer un projet de rapport de l’administration indépendant qui rapproche de manière complète les informations divulguées par les entités déclarantes, en identifiant les écarts, le cas échéant, et qui rendent compte des informations contextuelles et des autres informations requises par le groupe multipartite.  </w:t>
            </w:r>
          </w:p>
          <w:p w:rsidR="00FB6671" w:rsidRPr="00E85005" w:rsidRDefault="00FB6671" w:rsidP="00FB6671">
            <w:pPr>
              <w:pStyle w:val="ListParagraph"/>
              <w:widowControl w:val="0"/>
              <w:numPr>
                <w:ilvl w:val="1"/>
                <w:numId w:val="50"/>
              </w:numPr>
              <w:shd w:val="clear" w:color="auto" w:fill="FFFFFF"/>
              <w:tabs>
                <w:tab w:val="left" w:pos="709"/>
              </w:tabs>
              <w:suppressAutoHyphen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   Le projet de rapport de l’administrateur indépendant devra :</w:t>
            </w:r>
          </w:p>
          <w:p w:rsidR="00FB6671" w:rsidRPr="00E85005" w:rsidRDefault="00FB6671" w:rsidP="00FB6671">
            <w:pPr>
              <w:pStyle w:val="ListParagraph"/>
              <w:widowControl w:val="0"/>
              <w:numPr>
                <w:ilvl w:val="2"/>
                <w:numId w:val="32"/>
              </w:numPr>
              <w:shd w:val="clear" w:color="auto" w:fill="FFFFFF"/>
              <w:tabs>
                <w:tab w:val="left" w:pos="709"/>
              </w:tabs>
              <w:suppressAutoHyphen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lastRenderedPageBreak/>
              <w:t>décrire la méthodologie adoptée pour la réconciliation des paiements et des revenus du gouvernement, et démonter l’application des normes professionnelles internationales.</w:t>
            </w:r>
          </w:p>
          <w:p w:rsidR="00FB6671" w:rsidRPr="00E85005" w:rsidRDefault="00FB6671" w:rsidP="00FB6671">
            <w:pPr>
              <w:pStyle w:val="ListParagraph"/>
              <w:widowControl w:val="0"/>
              <w:numPr>
                <w:ilvl w:val="2"/>
                <w:numId w:val="32"/>
              </w:numPr>
              <w:shd w:val="clear" w:color="auto" w:fill="FFFFFF"/>
              <w:tabs>
                <w:tab w:val="left" w:pos="709"/>
              </w:tabs>
              <w:suppressAutoHyphen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Comporter une description de chaque flux de revenu avec les définitions et seuil de matérialité y afférent (exigence n° 4.1)</w:t>
            </w:r>
          </w:p>
          <w:p w:rsidR="00FB6671" w:rsidRPr="00E85005" w:rsidRDefault="00FB6671" w:rsidP="00FB6671">
            <w:pPr>
              <w:pStyle w:val="ListParagraph"/>
              <w:widowControl w:val="0"/>
              <w:numPr>
                <w:ilvl w:val="2"/>
                <w:numId w:val="32"/>
              </w:numPr>
              <w:shd w:val="clear" w:color="auto" w:fill="FFFFFF"/>
              <w:tabs>
                <w:tab w:val="left" w:pos="709"/>
              </w:tabs>
              <w:suppressAutoHyphen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Comporter une évaluation par l’administrateur indépendant de l’exhaustivité et de la fiabilité des données présentées y compris une synthèse informative des travaux réalisés par l’administrateur indépendant et des limites de l’évaluation qui a été menée.</w:t>
            </w:r>
          </w:p>
          <w:p w:rsidR="00FB6671" w:rsidRPr="00E85005" w:rsidRDefault="00FB6671" w:rsidP="00FB6671">
            <w:pPr>
              <w:pStyle w:val="ListParagraph"/>
              <w:widowControl w:val="0"/>
              <w:numPr>
                <w:ilvl w:val="2"/>
                <w:numId w:val="32"/>
              </w:numPr>
              <w:shd w:val="clear" w:color="auto" w:fill="FFFFFF"/>
              <w:tabs>
                <w:tab w:val="left" w:pos="709"/>
              </w:tabs>
              <w:suppressAutoHyphen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Indiquer le taux de couverture de l’exercice de réconciliation sur la base de la divulgation par le gouvernement du total des revenus, conformément à l’exigence n°4.2 (b). </w:t>
            </w:r>
          </w:p>
          <w:p w:rsidR="00FB6671" w:rsidRPr="00E85005" w:rsidRDefault="00FB6671" w:rsidP="00FB6671">
            <w:pPr>
              <w:pStyle w:val="ListParagraph"/>
              <w:widowControl w:val="0"/>
              <w:numPr>
                <w:ilvl w:val="2"/>
                <w:numId w:val="32"/>
              </w:numPr>
              <w:shd w:val="clear" w:color="auto" w:fill="FFFFFF"/>
              <w:tabs>
                <w:tab w:val="left" w:pos="709"/>
              </w:tabs>
              <w:suppressAutoHyphen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Inclure une estimation de la mesure dans laquelle l’ensemble des entreprises et  des entités de l’Etat qui se situent dans le périmètre convenu du processus de déclaration ITIE ont fourni les informations requises. Tous les écarts et faiblesses dans les déclarations à l’administrateur indépendant doivent être divulgués dans le rapport ITIE, ainsi que les noms des entités qui ne sont pas conformées aux procédures convenues, tout comme une estimation de la probabilité de ces manquements aient eu un impact significatif sur l’exhaustivité du rapport (exigence n.3 (e)).</w:t>
            </w:r>
          </w:p>
          <w:p w:rsidR="00FB6671" w:rsidRPr="00E85005" w:rsidRDefault="00FB6671" w:rsidP="00FB6671">
            <w:pPr>
              <w:pStyle w:val="ListParagraph"/>
              <w:widowControl w:val="0"/>
              <w:numPr>
                <w:ilvl w:val="2"/>
                <w:numId w:val="32"/>
              </w:numPr>
              <w:shd w:val="clear" w:color="auto" w:fill="FFFFFF"/>
              <w:tabs>
                <w:tab w:val="left" w:pos="709"/>
              </w:tabs>
              <w:suppressAutoHyphen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Documenter si les états financiers des entreprises et des entités de l’ETAT participantes ont été audités pour l’exercice comptable (ou les exercices comptable) couvert(s) par le rapport ITIE. Les écarts et les faiblesses doivent être divulgués. Si les états financiers audités sont accessibles au public, il est recommandé que le rapport ITIE indique comment les lecteurs peuvent y accéder (exigence 5.3 (e))</w:t>
            </w:r>
          </w:p>
          <w:p w:rsidR="00FB6671" w:rsidRPr="00E85005" w:rsidRDefault="00FB6671" w:rsidP="00FB6671">
            <w:pPr>
              <w:widowControl w:val="0"/>
              <w:numPr>
                <w:ilvl w:val="1"/>
                <w:numId w:val="50"/>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 xml:space="preserve">Lorsque les rapports ITIE antérieurs ont recommandé des mesures correctives et des modifications, l’administrateur indépendant devra commenter les progrès accomplis dans leur mise en œuvre (exigence n 5.3 (f)). </w:t>
            </w:r>
          </w:p>
          <w:p w:rsidR="00FB6671" w:rsidRPr="00E85005" w:rsidRDefault="00FB6671" w:rsidP="00FB6671">
            <w:pPr>
              <w:widowControl w:val="0"/>
              <w:numPr>
                <w:ilvl w:val="1"/>
                <w:numId w:val="50"/>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est encouragé à émettre à l’attention du conseil d’administration de l’ITIE des recommandations visant à renforcer le modèle de termes de références pour les services de l’administrateur indépendant conformément à la norme ITIE. </w:t>
            </w: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BookTitle"/>
                <w:rFonts w:eastAsia="Arial Unicode MS"/>
                <w:szCs w:val="24"/>
                <w:u w:val="single"/>
              </w:rPr>
              <w:t>Phase 5</w:t>
            </w:r>
            <w:r w:rsidRPr="00E85005">
              <w:rPr>
                <w:rStyle w:val="FontStyle23"/>
                <w:rFonts w:ascii="Times New Roman" w:cs="Times New Roman"/>
                <w:sz w:val="24"/>
                <w:szCs w:val="24"/>
              </w:rPr>
              <w:t xml:space="preserve"> – Rapport de rapprochement ITIE final  </w:t>
            </w:r>
          </w:p>
          <w:p w:rsidR="00FB6671" w:rsidRPr="00E85005" w:rsidRDefault="00FB6671" w:rsidP="00FB6671">
            <w:pPr>
              <w:widowControl w:val="0"/>
              <w:numPr>
                <w:ilvl w:val="1"/>
                <w:numId w:val="37"/>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devra établir des fichiers de données électroniques qui puissent accompagner la publication du rapport final. </w:t>
            </w:r>
          </w:p>
          <w:p w:rsidR="00FB6671" w:rsidRPr="00E85005" w:rsidRDefault="00FB6671" w:rsidP="00FB6671">
            <w:pPr>
              <w:widowControl w:val="0"/>
              <w:numPr>
                <w:ilvl w:val="1"/>
                <w:numId w:val="37"/>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devra fournir des fichiers qui soient lisibles/consultables électroniquement et/ou coder ou baliser les rapports ITIE et les fichiers de données.</w:t>
            </w:r>
          </w:p>
          <w:p w:rsidR="00FB6671" w:rsidRPr="00E85005" w:rsidRDefault="00FB6671" w:rsidP="00FB6671">
            <w:pPr>
              <w:widowControl w:val="0"/>
              <w:numPr>
                <w:ilvl w:val="1"/>
                <w:numId w:val="37"/>
              </w:numPr>
              <w:shd w:val="clear" w:color="auto" w:fill="FFFFFF"/>
              <w:tabs>
                <w:tab w:val="left" w:pos="709"/>
              </w:tabs>
              <w:suppressAutoHyphens/>
              <w:spacing w:before="240" w:after="240" w:line="240" w:lineRule="exact"/>
              <w:ind w:left="709" w:hanging="709"/>
              <w:jc w:val="both"/>
              <w:rPr>
                <w:rStyle w:val="FontStyle23"/>
                <w:rFonts w:ascii="Times New Roman" w:cs="Times New Roman"/>
                <w:sz w:val="24"/>
                <w:szCs w:val="24"/>
              </w:rPr>
            </w:pPr>
            <w:r w:rsidRPr="00E85005">
              <w:rPr>
                <w:rStyle w:val="FontStyle23"/>
                <w:rFonts w:ascii="Times New Roman" w:cs="Times New Roman"/>
                <w:sz w:val="24"/>
                <w:szCs w:val="24"/>
              </w:rPr>
              <w:t>Pour faire suite à l’approbation du groupe multipartite, l’administrateur indépendant est chargé de remettre des données résumées issues de chaque rapport ITIE au Secrétariat international par voie électronique en respectant le format de déclaration standard disponible auprès du Secrétariat international (Exigence n°5.3(b)).</w:t>
            </w:r>
          </w:p>
          <w:p w:rsidR="00FB6671" w:rsidRPr="00E85005" w:rsidRDefault="00FB6671" w:rsidP="007C5949">
            <w:pPr>
              <w:shd w:val="clear" w:color="auto" w:fill="FFFFFF"/>
              <w:tabs>
                <w:tab w:val="left" w:pos="0"/>
              </w:tabs>
              <w:spacing w:before="240" w:after="240" w:line="240" w:lineRule="exact"/>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rendra public son rapport final seulement selon les instructions du groupe multipartite. Le Groupe multipartite avalisera le rapport ITIE préalablement à sa publication. Lorsque des parties prenantes autres que l’administrateur indépendant souhaitent inclure des remarques supplémentaires dans le rapport ITIE ou des points de vue sur celui-ci, les auteurs de ces remarques devront être clairement indiqués.</w:t>
            </w:r>
          </w:p>
          <w:p w:rsidR="00FB6671" w:rsidRPr="00E85005" w:rsidRDefault="00FB6671" w:rsidP="00FB6671">
            <w:pPr>
              <w:pStyle w:val="ListParagraph"/>
              <w:numPr>
                <w:ilvl w:val="0"/>
                <w:numId w:val="30"/>
              </w:numPr>
              <w:shd w:val="clear" w:color="auto" w:fill="FFFFFF"/>
              <w:tabs>
                <w:tab w:val="left" w:pos="0"/>
              </w:tabs>
              <w:spacing w:before="240" w:after="240" w:line="240" w:lineRule="exact"/>
              <w:jc w:val="both"/>
              <w:rPr>
                <w:rStyle w:val="FontStyle23"/>
                <w:rFonts w:ascii="Times New Roman" w:hAnsi="Times New Roman" w:cs="Times New Roman"/>
                <w:b/>
                <w:sz w:val="24"/>
                <w:szCs w:val="24"/>
              </w:rPr>
            </w:pPr>
            <w:r w:rsidRPr="00E85005">
              <w:rPr>
                <w:rStyle w:val="FontStyle23"/>
                <w:rFonts w:ascii="Times New Roman" w:hAnsi="Times New Roman" w:cs="Times New Roman"/>
                <w:b/>
                <w:sz w:val="24"/>
                <w:szCs w:val="24"/>
              </w:rPr>
              <w:lastRenderedPageBreak/>
              <w:t xml:space="preserve">Exigence en matière de qualification des administrateurs indépendants    </w:t>
            </w:r>
          </w:p>
          <w:p w:rsidR="00FB6671" w:rsidRPr="00E85005" w:rsidRDefault="00FB6671" w:rsidP="007C5949">
            <w:pPr>
              <w:shd w:val="clear" w:color="auto" w:fill="FFFFFF"/>
              <w:tabs>
                <w:tab w:val="left" w:pos="0"/>
              </w:tabs>
              <w:spacing w:before="240" w:after="240" w:line="240" w:lineRule="exact"/>
              <w:jc w:val="both"/>
              <w:rPr>
                <w:rStyle w:val="FontStyle23"/>
                <w:rFonts w:ascii="Times New Roman" w:cs="Times New Roman"/>
                <w:sz w:val="24"/>
                <w:szCs w:val="24"/>
              </w:rPr>
            </w:pPr>
            <w:r w:rsidRPr="00E85005">
              <w:rPr>
                <w:rStyle w:val="FontStyle23"/>
                <w:rFonts w:ascii="Times New Roman" w:cs="Times New Roman"/>
                <w:sz w:val="24"/>
                <w:szCs w:val="24"/>
              </w:rPr>
              <w:t>La Réconciliation des paiements des entreprises et des revenus doit être entreprise par un administrateur indépendant appliquant des normes internationales (exigence) n°5.1. L’une des exigences de l’ITIE est que l’administrateur indépendant soit perçu par le groupe multipartite comme étant crédible, digne de confiance et compétent sur le plan technique (</w:t>
            </w:r>
            <w:proofErr w:type="spellStart"/>
            <w:r w:rsidRPr="00E85005">
              <w:rPr>
                <w:rStyle w:val="FontStyle23"/>
                <w:rFonts w:ascii="Times New Roman" w:cs="Times New Roman"/>
                <w:sz w:val="24"/>
                <w:szCs w:val="24"/>
              </w:rPr>
              <w:t>ibid</w:t>
            </w:r>
            <w:proofErr w:type="spellEnd"/>
            <w:r w:rsidRPr="00E85005">
              <w:rPr>
                <w:rStyle w:val="FontStyle23"/>
                <w:rFonts w:ascii="Times New Roman" w:cs="Times New Roman"/>
                <w:sz w:val="24"/>
                <w:szCs w:val="24"/>
              </w:rPr>
              <w:t>). Les soumissionnaires doivent suivre (et montrer comment ils appliquent) les normes professionnelles adéquates pour la réconciliation/ les procédures convenues lors de la préparation de leur rapport.</w:t>
            </w:r>
          </w:p>
          <w:p w:rsidR="00FB6671" w:rsidRPr="00E85005" w:rsidRDefault="00FB6671" w:rsidP="007C5949">
            <w:pPr>
              <w:shd w:val="clear" w:color="auto" w:fill="FFFFFF"/>
              <w:tabs>
                <w:tab w:val="left" w:pos="0"/>
              </w:tabs>
              <w:spacing w:before="240" w:after="240" w:line="240" w:lineRule="exact"/>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devra :</w:t>
            </w:r>
          </w:p>
          <w:p w:rsidR="00FB6671" w:rsidRPr="00E85005" w:rsidRDefault="00FB6671" w:rsidP="00FB6671">
            <w:pPr>
              <w:pStyle w:val="ListParagraph"/>
              <w:numPr>
                <w:ilvl w:val="0"/>
                <w:numId w:val="45"/>
              </w:numPr>
              <w:shd w:val="clear" w:color="auto" w:fill="FFFFFF"/>
              <w:tabs>
                <w:tab w:val="left" w:pos="0"/>
              </w:tab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Faire preuve d’expertise en matière de comptabilité, d’audit et d’analyse financière ;</w:t>
            </w:r>
          </w:p>
          <w:p w:rsidR="00FB6671" w:rsidRPr="00E85005" w:rsidRDefault="00FB6671" w:rsidP="00FB6671">
            <w:pPr>
              <w:pStyle w:val="ListParagraph"/>
              <w:numPr>
                <w:ilvl w:val="0"/>
                <w:numId w:val="45"/>
              </w:numPr>
              <w:shd w:val="clear" w:color="auto" w:fill="FFFFFF"/>
              <w:tabs>
                <w:tab w:val="left" w:pos="0"/>
              </w:tab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Avoir des références relatives à un travail similaire, de préférence assorti d’une expérience avérée de l’ITIE et maitrisant la norme. </w:t>
            </w:r>
          </w:p>
          <w:p w:rsidR="00FB6671" w:rsidRPr="00E85005" w:rsidRDefault="00FB6671" w:rsidP="00FB6671">
            <w:pPr>
              <w:pStyle w:val="ListParagraph"/>
              <w:numPr>
                <w:ilvl w:val="0"/>
                <w:numId w:val="45"/>
              </w:numPr>
              <w:shd w:val="clear" w:color="auto" w:fill="FFFFFF"/>
              <w:tabs>
                <w:tab w:val="left" w:pos="0"/>
              </w:tab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faire preuve de  Compétences techniques et financières, y compris des connaissances et une expérience dans les domaines de la transparence et de la gouvernance, des finances publiques et de la responsabilité financière, et du dialogue avec des parties prenantes multiples. Il disposera de préférence d’une expérience démontrée en matière d’ITIE</w:t>
            </w:r>
          </w:p>
          <w:p w:rsidR="00FB6671" w:rsidRPr="00E85005" w:rsidRDefault="00FB6671" w:rsidP="00FB6671">
            <w:pPr>
              <w:pStyle w:val="ListParagraph"/>
              <w:numPr>
                <w:ilvl w:val="0"/>
                <w:numId w:val="45"/>
              </w:numPr>
              <w:shd w:val="clear" w:color="auto" w:fill="FFFFFF"/>
              <w:tabs>
                <w:tab w:val="left" w:pos="0"/>
              </w:tabs>
              <w:spacing w:before="240" w:after="240" w:line="240" w:lineRule="exact"/>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faire preuve de  La connaissance des secteurs du pétrole, du gaz et des minéraux, ou d’autres secteurs liés aux ressources naturelles en général et de préférence au Togo;</w:t>
            </w:r>
          </w:p>
          <w:p w:rsidR="00FB6671" w:rsidRPr="00E85005" w:rsidRDefault="00FB6671" w:rsidP="007C5949">
            <w:pPr>
              <w:pStyle w:val="Style6"/>
              <w:widowControl/>
              <w:spacing w:line="360" w:lineRule="auto"/>
              <w:ind w:right="10"/>
              <w:jc w:val="left"/>
              <w:rPr>
                <w:rStyle w:val="FontStyle23"/>
                <w:rFonts w:ascii="Times New Roman" w:cs="Times New Roman"/>
                <w:sz w:val="24"/>
                <w:szCs w:val="24"/>
              </w:rPr>
            </w:pPr>
            <w:r w:rsidRPr="00E85005">
              <w:rPr>
                <w:rStyle w:val="FontStyle23"/>
                <w:rFonts w:ascii="Times New Roman" w:cs="Times New Roman"/>
                <w:sz w:val="24"/>
                <w:szCs w:val="24"/>
              </w:rPr>
              <w:t>L’administrateur indépendant devra  en outre:</w:t>
            </w:r>
          </w:p>
          <w:p w:rsidR="00FB6671" w:rsidRPr="00E85005" w:rsidRDefault="00FB6671" w:rsidP="00FB6671">
            <w:pPr>
              <w:pStyle w:val="Style6"/>
              <w:widowControl/>
              <w:numPr>
                <w:ilvl w:val="0"/>
                <w:numId w:val="46"/>
              </w:numPr>
              <w:spacing w:line="240" w:lineRule="auto"/>
              <w:ind w:right="10"/>
              <w:jc w:val="left"/>
              <w:rPr>
                <w:rStyle w:val="FontStyle23"/>
                <w:rFonts w:ascii="Times New Roman" w:cs="Times New Roman"/>
                <w:sz w:val="24"/>
                <w:szCs w:val="24"/>
              </w:rPr>
            </w:pPr>
            <w:r w:rsidRPr="00E85005">
              <w:rPr>
                <w:rStyle w:val="FontStyle23"/>
                <w:rFonts w:ascii="Times New Roman" w:cs="Times New Roman"/>
                <w:sz w:val="24"/>
                <w:szCs w:val="24"/>
              </w:rPr>
              <w:t>Faire état d'une expérience d'au moins quinze (15) années dans le domaine de l'audit et justifier d'une expérience vérifiable dans la production des rapports de réconciliation ITIE appréciés positivement dans le rapport d'un validateur du processus ITIE;</w:t>
            </w:r>
          </w:p>
          <w:p w:rsidR="00FB6671" w:rsidRPr="00E85005" w:rsidRDefault="00FB6671" w:rsidP="00FB6671">
            <w:pPr>
              <w:pStyle w:val="Style6"/>
              <w:widowControl/>
              <w:numPr>
                <w:ilvl w:val="0"/>
                <w:numId w:val="46"/>
              </w:numPr>
              <w:spacing w:line="240" w:lineRule="auto"/>
              <w:ind w:right="10"/>
              <w:jc w:val="left"/>
              <w:rPr>
                <w:rStyle w:val="FontStyle23"/>
                <w:rFonts w:ascii="Times New Roman" w:cs="Times New Roman"/>
                <w:sz w:val="24"/>
                <w:szCs w:val="24"/>
              </w:rPr>
            </w:pPr>
            <w:r w:rsidRPr="00E85005">
              <w:rPr>
                <w:rStyle w:val="FontStyle23"/>
                <w:rFonts w:ascii="Times New Roman" w:cs="Times New Roman"/>
                <w:sz w:val="24"/>
                <w:szCs w:val="24"/>
              </w:rPr>
              <w:t>Avoir une bonne compréhension de la structure de l'industrie extractive et des mécanismes de paiements par les industries extractives et de recouvrements des recettes par l'Etat ;</w:t>
            </w:r>
          </w:p>
          <w:p w:rsidR="00FB6671" w:rsidRPr="00E85005" w:rsidRDefault="00FB6671" w:rsidP="007C5949">
            <w:pPr>
              <w:pStyle w:val="Style6"/>
              <w:widowControl/>
              <w:spacing w:line="240" w:lineRule="auto"/>
              <w:ind w:right="10"/>
              <w:jc w:val="left"/>
              <w:rPr>
                <w:rStyle w:val="FontStyle23"/>
                <w:rFonts w:ascii="Times New Roman" w:cs="Times New Roman"/>
                <w:sz w:val="24"/>
                <w:szCs w:val="24"/>
              </w:rPr>
            </w:pPr>
          </w:p>
          <w:p w:rsidR="00FB6671" w:rsidRPr="00E85005" w:rsidRDefault="00FB6671" w:rsidP="00FB6671">
            <w:pPr>
              <w:pStyle w:val="Style6"/>
              <w:widowControl/>
              <w:numPr>
                <w:ilvl w:val="0"/>
                <w:numId w:val="46"/>
              </w:numPr>
              <w:spacing w:line="240" w:lineRule="auto"/>
              <w:ind w:right="10"/>
              <w:jc w:val="left"/>
              <w:rPr>
                <w:rStyle w:val="FontStyle23"/>
                <w:rFonts w:ascii="Times New Roman" w:cs="Times New Roman"/>
                <w:sz w:val="24"/>
                <w:szCs w:val="24"/>
              </w:rPr>
            </w:pPr>
            <w:r w:rsidRPr="00E85005">
              <w:rPr>
                <w:rStyle w:val="FontStyle23"/>
                <w:rFonts w:ascii="Times New Roman" w:cs="Times New Roman"/>
                <w:sz w:val="24"/>
                <w:szCs w:val="24"/>
              </w:rPr>
              <w:t>Avoir une expérience et une connaissance approfondie de la fiscalité minière, des conventions et accords miniers, des systèmes de statistique de la comptabilité publique et privée prévalant en Afrique francophone (Plan comptable OHADA), des normes d'audit internationales ;</w:t>
            </w:r>
          </w:p>
          <w:p w:rsidR="00FB6671" w:rsidRPr="00E85005" w:rsidRDefault="00FB6671" w:rsidP="007C5949">
            <w:pPr>
              <w:pStyle w:val="Style6"/>
              <w:widowControl/>
              <w:spacing w:line="240" w:lineRule="auto"/>
              <w:ind w:right="10"/>
              <w:jc w:val="left"/>
              <w:rPr>
                <w:rStyle w:val="FontStyle23"/>
                <w:rFonts w:ascii="Times New Roman" w:cs="Times New Roman"/>
                <w:sz w:val="24"/>
                <w:szCs w:val="24"/>
              </w:rPr>
            </w:pPr>
          </w:p>
          <w:p w:rsidR="00FB6671" w:rsidRPr="00E85005" w:rsidRDefault="00FB6671" w:rsidP="007C5949">
            <w:pPr>
              <w:pStyle w:val="Style15"/>
              <w:widowControl/>
              <w:tabs>
                <w:tab w:val="left" w:pos="1392"/>
              </w:tabs>
              <w:spacing w:line="240" w:lineRule="auto"/>
              <w:ind w:right="10" w:firstLine="0"/>
              <w:rPr>
                <w:rStyle w:val="FontStyle23"/>
                <w:rFonts w:ascii="Times New Roman" w:cs="Times New Roman"/>
                <w:sz w:val="24"/>
                <w:szCs w:val="24"/>
              </w:rPr>
            </w:pPr>
            <w:r w:rsidRPr="00E85005">
              <w:rPr>
                <w:rStyle w:val="FontStyle23"/>
                <w:rFonts w:ascii="Times New Roman" w:cs="Times New Roman"/>
                <w:sz w:val="24"/>
                <w:szCs w:val="24"/>
              </w:rPr>
              <w:t>Afin de garantir la qualité et l’indépendance de l’exercice, les administrateurs indépendants sont tenus, dans leur proposition, de divulguer tous conflits d’intérêts potentiels ou avérés ainsi que des commentaires sur la nature dont de tels conflits peuvent être évités.</w:t>
            </w:r>
          </w:p>
          <w:p w:rsidR="00FB6671" w:rsidRPr="00E85005" w:rsidRDefault="00FB6671" w:rsidP="007C5949">
            <w:pPr>
              <w:pStyle w:val="Style15"/>
              <w:widowControl/>
              <w:tabs>
                <w:tab w:val="left" w:pos="1392"/>
              </w:tabs>
              <w:spacing w:line="240" w:lineRule="auto"/>
              <w:ind w:right="10" w:firstLine="0"/>
              <w:rPr>
                <w:rStyle w:val="FontStyle23"/>
                <w:rFonts w:ascii="Times New Roman" w:cs="Times New Roman"/>
                <w:sz w:val="24"/>
                <w:szCs w:val="24"/>
              </w:rPr>
            </w:pPr>
          </w:p>
          <w:p w:rsidR="00FB6671" w:rsidRPr="00E85005" w:rsidRDefault="00FB6671" w:rsidP="007C5949">
            <w:pPr>
              <w:pStyle w:val="Style6"/>
              <w:widowControl/>
              <w:spacing w:line="240" w:lineRule="auto"/>
              <w:ind w:right="10"/>
              <w:rPr>
                <w:rStyle w:val="FontStyle23"/>
                <w:rFonts w:ascii="Times New Roman" w:cs="Times New Roman"/>
                <w:sz w:val="24"/>
                <w:szCs w:val="24"/>
              </w:rPr>
            </w:pPr>
            <w:r w:rsidRPr="00E85005">
              <w:rPr>
                <w:rStyle w:val="FontStyle23"/>
                <w:rFonts w:ascii="Times New Roman" w:cs="Times New Roman"/>
                <w:sz w:val="24"/>
                <w:szCs w:val="24"/>
              </w:rPr>
              <w:t>Le cabinet devra compter dans son équipe :</w:t>
            </w:r>
          </w:p>
          <w:p w:rsidR="00FB6671" w:rsidRPr="00E85005" w:rsidRDefault="00FB6671" w:rsidP="00FB6671">
            <w:pPr>
              <w:pStyle w:val="Style7"/>
              <w:widowControl/>
              <w:numPr>
                <w:ilvl w:val="0"/>
                <w:numId w:val="28"/>
              </w:numPr>
              <w:tabs>
                <w:tab w:val="left" w:pos="701"/>
              </w:tabs>
              <w:ind w:left="341" w:right="10"/>
              <w:jc w:val="both"/>
              <w:rPr>
                <w:rStyle w:val="FontStyle23"/>
                <w:rFonts w:ascii="Times New Roman" w:cs="Times New Roman"/>
                <w:sz w:val="24"/>
                <w:szCs w:val="24"/>
              </w:rPr>
            </w:pPr>
            <w:r w:rsidRPr="00E85005">
              <w:rPr>
                <w:rStyle w:val="FontStyle23"/>
                <w:rFonts w:ascii="Times New Roman" w:cs="Times New Roman"/>
                <w:sz w:val="24"/>
                <w:szCs w:val="24"/>
              </w:rPr>
              <w:t xml:space="preserve">un Chef de mission, expert comptable diplômé agréé, ayant au minimum dix (15) années d'expérience, maîtrisant le </w:t>
            </w:r>
            <w:proofErr w:type="spellStart"/>
            <w:r w:rsidRPr="00E85005">
              <w:rPr>
                <w:rStyle w:val="FontStyle23"/>
                <w:rFonts w:ascii="Times New Roman" w:cs="Times New Roman"/>
                <w:sz w:val="24"/>
                <w:szCs w:val="24"/>
              </w:rPr>
              <w:t>reporting</w:t>
            </w:r>
            <w:proofErr w:type="spellEnd"/>
            <w:r w:rsidRPr="00E85005">
              <w:rPr>
                <w:rStyle w:val="FontStyle23"/>
                <w:rFonts w:ascii="Times New Roman" w:cs="Times New Roman"/>
                <w:sz w:val="24"/>
                <w:szCs w:val="24"/>
              </w:rPr>
              <w:t xml:space="preserve"> financier des industries extractives, la comptabilité publique et dont le curriculum vitae fait cas de l'accomplissement de missions similaires au contenu de la présente demande de proposition notamment par rapport à la norme et ayant effectué au moins cinq missions ITIE;</w:t>
            </w:r>
          </w:p>
          <w:p w:rsidR="00FB6671" w:rsidRPr="00E85005" w:rsidRDefault="00FB6671" w:rsidP="007C5949">
            <w:pPr>
              <w:pStyle w:val="Style7"/>
              <w:widowControl/>
              <w:tabs>
                <w:tab w:val="left" w:pos="701"/>
              </w:tabs>
              <w:ind w:left="341" w:right="10"/>
              <w:jc w:val="both"/>
              <w:rPr>
                <w:rStyle w:val="FontStyle23"/>
                <w:rFonts w:ascii="Times New Roman" w:cs="Times New Roman"/>
                <w:sz w:val="24"/>
                <w:szCs w:val="24"/>
              </w:rPr>
            </w:pPr>
          </w:p>
          <w:p w:rsidR="00FB6671" w:rsidRPr="00E85005" w:rsidRDefault="00FB6671" w:rsidP="00FB6671">
            <w:pPr>
              <w:pStyle w:val="Style7"/>
              <w:widowControl/>
              <w:numPr>
                <w:ilvl w:val="0"/>
                <w:numId w:val="28"/>
              </w:numPr>
              <w:tabs>
                <w:tab w:val="left" w:pos="701"/>
              </w:tabs>
              <w:ind w:left="341" w:right="10"/>
              <w:jc w:val="both"/>
              <w:rPr>
                <w:rStyle w:val="FontStyle23"/>
                <w:rFonts w:ascii="Times New Roman" w:cs="Times New Roman"/>
                <w:sz w:val="24"/>
                <w:szCs w:val="24"/>
              </w:rPr>
            </w:pPr>
            <w:r w:rsidRPr="00E85005">
              <w:rPr>
                <w:rStyle w:val="FontStyle23"/>
                <w:rFonts w:ascii="Times New Roman" w:cs="Times New Roman"/>
                <w:sz w:val="24"/>
                <w:szCs w:val="24"/>
              </w:rPr>
              <w:t>un expert en fiscalité minière diplômé, niveau bac plus cinq (05) ayant au minimum cinq (05) années d'expérience et ayant effectué au moins trois (03) missions de réconciliation en matière d’élaboration de rapport ITIE ;</w:t>
            </w:r>
          </w:p>
          <w:p w:rsidR="00FB6671" w:rsidRPr="00E85005" w:rsidRDefault="00FB6671" w:rsidP="007C5949">
            <w:pPr>
              <w:pStyle w:val="Style7"/>
              <w:widowControl/>
              <w:tabs>
                <w:tab w:val="left" w:pos="701"/>
              </w:tabs>
              <w:ind w:left="341" w:right="10"/>
              <w:jc w:val="both"/>
              <w:rPr>
                <w:rStyle w:val="FontStyle23"/>
                <w:rFonts w:ascii="Times New Roman" w:cs="Times New Roman"/>
                <w:sz w:val="24"/>
                <w:szCs w:val="24"/>
              </w:rPr>
            </w:pPr>
          </w:p>
          <w:p w:rsidR="00FB6671" w:rsidRPr="00E85005" w:rsidRDefault="00FB6671" w:rsidP="00FB6671">
            <w:pPr>
              <w:pStyle w:val="Style7"/>
              <w:widowControl/>
              <w:numPr>
                <w:ilvl w:val="0"/>
                <w:numId w:val="28"/>
              </w:numPr>
              <w:tabs>
                <w:tab w:val="left" w:pos="701"/>
              </w:tabs>
              <w:ind w:left="341" w:right="10"/>
              <w:jc w:val="both"/>
              <w:rPr>
                <w:rStyle w:val="FontStyle23"/>
                <w:rFonts w:ascii="Times New Roman" w:cs="Times New Roman"/>
                <w:sz w:val="24"/>
                <w:szCs w:val="24"/>
              </w:rPr>
            </w:pPr>
            <w:r w:rsidRPr="00E85005">
              <w:rPr>
                <w:rStyle w:val="FontStyle23"/>
                <w:rFonts w:ascii="Times New Roman" w:cs="Times New Roman"/>
                <w:sz w:val="24"/>
                <w:szCs w:val="24"/>
              </w:rPr>
              <w:t xml:space="preserve">un statisticien ayant un diplôme d’ingénieur statisticien, avec au minimum cinq (05) années d'expérience et ayant effectué au moins trois (03) missions de réconciliation en matière </w:t>
            </w:r>
            <w:r w:rsidRPr="00E85005">
              <w:rPr>
                <w:rStyle w:val="FontStyle23"/>
                <w:rFonts w:ascii="Times New Roman" w:cs="Times New Roman"/>
                <w:sz w:val="24"/>
                <w:szCs w:val="24"/>
              </w:rPr>
              <w:lastRenderedPageBreak/>
              <w:t xml:space="preserve">d’élaboration de rapport ITIE. </w:t>
            </w:r>
          </w:p>
          <w:p w:rsidR="00FB6671" w:rsidRPr="00E85005" w:rsidRDefault="00FB6671" w:rsidP="007C5949">
            <w:pPr>
              <w:pStyle w:val="ListParagraph"/>
              <w:rPr>
                <w:rStyle w:val="FontStyle23"/>
                <w:rFonts w:ascii="Times New Roman" w:hAnsi="Times New Roman" w:cs="Times New Roman"/>
                <w:sz w:val="24"/>
                <w:szCs w:val="24"/>
              </w:rPr>
            </w:pPr>
          </w:p>
          <w:p w:rsidR="00FB6671" w:rsidRPr="00E85005" w:rsidRDefault="00FB6671" w:rsidP="007C5949">
            <w:pPr>
              <w:pStyle w:val="Style6"/>
              <w:widowControl/>
              <w:spacing w:line="240" w:lineRule="auto"/>
              <w:ind w:right="10"/>
              <w:jc w:val="left"/>
              <w:rPr>
                <w:rStyle w:val="FontStyle23"/>
                <w:rFonts w:ascii="Times New Roman" w:cs="Times New Roman"/>
                <w:sz w:val="24"/>
                <w:szCs w:val="24"/>
              </w:rPr>
            </w:pPr>
            <w:r w:rsidRPr="00E85005">
              <w:rPr>
                <w:rStyle w:val="FontStyle23"/>
                <w:rFonts w:ascii="Times New Roman" w:cs="Times New Roman"/>
                <w:b/>
                <w:sz w:val="24"/>
                <w:szCs w:val="24"/>
              </w:rPr>
              <w:t xml:space="preserve">   </w:t>
            </w:r>
            <w:r w:rsidRPr="00E85005">
              <w:rPr>
                <w:rStyle w:val="FontStyle23"/>
                <w:rFonts w:ascii="Times New Roman" w:cs="Times New Roman"/>
                <w:sz w:val="24"/>
                <w:szCs w:val="24"/>
              </w:rPr>
              <w:t>Données de référence</w:t>
            </w:r>
          </w:p>
          <w:p w:rsidR="00FB6671" w:rsidRPr="00E85005" w:rsidRDefault="00FB6671" w:rsidP="00FB6671">
            <w:pPr>
              <w:pStyle w:val="Style6"/>
              <w:widowControl/>
              <w:numPr>
                <w:ilvl w:val="0"/>
                <w:numId w:val="47"/>
              </w:numPr>
              <w:spacing w:line="240" w:lineRule="auto"/>
              <w:ind w:right="10"/>
              <w:rPr>
                <w:rStyle w:val="FontStyle23"/>
                <w:rFonts w:ascii="Times New Roman" w:cs="Times New Roman"/>
                <w:sz w:val="24"/>
                <w:szCs w:val="24"/>
              </w:rPr>
            </w:pPr>
            <w:r w:rsidRPr="00E85005">
              <w:rPr>
                <w:rStyle w:val="FontStyle23"/>
                <w:rFonts w:ascii="Times New Roman" w:cs="Times New Roman"/>
                <w:sz w:val="24"/>
                <w:szCs w:val="24"/>
              </w:rPr>
              <w:t>La norme ITIE, et en particulier les exigences de 2 à 5</w:t>
            </w:r>
          </w:p>
          <w:p w:rsidR="00FB6671" w:rsidRPr="00E85005" w:rsidRDefault="00FB6671" w:rsidP="00FB6671">
            <w:pPr>
              <w:pStyle w:val="Style6"/>
              <w:widowControl/>
              <w:numPr>
                <w:ilvl w:val="0"/>
                <w:numId w:val="47"/>
              </w:numPr>
              <w:spacing w:line="240" w:lineRule="auto"/>
              <w:ind w:right="10"/>
              <w:rPr>
                <w:rStyle w:val="FontStyle23"/>
                <w:rFonts w:ascii="Times New Roman" w:cs="Times New Roman"/>
                <w:sz w:val="24"/>
                <w:szCs w:val="24"/>
              </w:rPr>
            </w:pPr>
            <w:r w:rsidRPr="00E85005">
              <w:rPr>
                <w:rStyle w:val="FontStyle23"/>
                <w:rFonts w:ascii="Times New Roman" w:cs="Times New Roman"/>
                <w:sz w:val="24"/>
                <w:szCs w:val="24"/>
              </w:rPr>
              <w:t>Les notes d’orientation sur la mise en œuvre de l’ITIE publiées par le secrétariat international</w:t>
            </w:r>
          </w:p>
          <w:p w:rsidR="00FB6671" w:rsidRPr="00E85005" w:rsidRDefault="00FB6671" w:rsidP="00FB6671">
            <w:pPr>
              <w:pStyle w:val="Style6"/>
              <w:widowControl/>
              <w:numPr>
                <w:ilvl w:val="0"/>
                <w:numId w:val="47"/>
              </w:numPr>
              <w:spacing w:line="240" w:lineRule="auto"/>
              <w:ind w:right="10"/>
              <w:rPr>
                <w:rStyle w:val="FontStyle23"/>
                <w:rFonts w:ascii="Times New Roman" w:cs="Times New Roman"/>
                <w:sz w:val="24"/>
                <w:szCs w:val="24"/>
              </w:rPr>
            </w:pPr>
            <w:r w:rsidRPr="00E85005">
              <w:rPr>
                <w:rStyle w:val="FontStyle23"/>
                <w:rFonts w:ascii="Times New Roman" w:cs="Times New Roman"/>
                <w:sz w:val="24"/>
                <w:szCs w:val="24"/>
              </w:rPr>
              <w:t>Les procédures convenues pour les administrateurs indépendants, y compris les modèles standards de déclaration ITIE, disponibles auprès du secrétariat international.</w:t>
            </w:r>
          </w:p>
          <w:p w:rsidR="00FB6671" w:rsidRPr="00E85005" w:rsidRDefault="00FB6671" w:rsidP="00FB6671">
            <w:pPr>
              <w:pStyle w:val="Style6"/>
              <w:widowControl/>
              <w:numPr>
                <w:ilvl w:val="0"/>
                <w:numId w:val="47"/>
              </w:numPr>
              <w:spacing w:line="240" w:lineRule="auto"/>
              <w:ind w:right="10"/>
              <w:rPr>
                <w:rStyle w:val="FontStyle23"/>
                <w:rFonts w:ascii="Times New Roman" w:cs="Times New Roman"/>
                <w:sz w:val="24"/>
                <w:szCs w:val="24"/>
              </w:rPr>
            </w:pPr>
            <w:proofErr w:type="spellStart"/>
            <w:r w:rsidRPr="00E85005">
              <w:rPr>
                <w:rStyle w:val="FontStyle23"/>
                <w:rFonts w:ascii="Times New Roman" w:cs="Times New Roman"/>
                <w:sz w:val="24"/>
                <w:szCs w:val="24"/>
              </w:rPr>
              <w:t>Implementing</w:t>
            </w:r>
            <w:proofErr w:type="spellEnd"/>
            <w:r w:rsidRPr="00E85005">
              <w:rPr>
                <w:rStyle w:val="FontStyle23"/>
                <w:rFonts w:ascii="Times New Roman" w:cs="Times New Roman"/>
                <w:sz w:val="24"/>
                <w:szCs w:val="24"/>
              </w:rPr>
              <w:t xml:space="preserve"> EITI for impact : a </w:t>
            </w:r>
            <w:proofErr w:type="spellStart"/>
            <w:r w:rsidRPr="00E85005">
              <w:rPr>
                <w:rStyle w:val="FontStyle23"/>
                <w:rFonts w:ascii="Times New Roman" w:cs="Times New Roman"/>
                <w:sz w:val="24"/>
                <w:szCs w:val="24"/>
              </w:rPr>
              <w:t>handbook</w:t>
            </w:r>
            <w:proofErr w:type="spellEnd"/>
            <w:r w:rsidRPr="00E85005">
              <w:rPr>
                <w:rStyle w:val="FontStyle23"/>
                <w:rFonts w:ascii="Times New Roman" w:cs="Times New Roman"/>
                <w:sz w:val="24"/>
                <w:szCs w:val="24"/>
              </w:rPr>
              <w:t xml:space="preserve"> for </w:t>
            </w:r>
            <w:proofErr w:type="spellStart"/>
            <w:r w:rsidRPr="00E85005">
              <w:rPr>
                <w:rStyle w:val="FontStyle23"/>
                <w:rFonts w:ascii="Times New Roman" w:cs="Times New Roman"/>
                <w:sz w:val="24"/>
                <w:szCs w:val="24"/>
              </w:rPr>
              <w:t>policymakers</w:t>
            </w:r>
            <w:proofErr w:type="spellEnd"/>
            <w:r w:rsidRPr="00E85005">
              <w:rPr>
                <w:rStyle w:val="FontStyle23"/>
                <w:rFonts w:ascii="Times New Roman" w:cs="Times New Roman"/>
                <w:sz w:val="24"/>
                <w:szCs w:val="24"/>
              </w:rPr>
              <w:t xml:space="preserve"> and </w:t>
            </w:r>
            <w:proofErr w:type="spellStart"/>
            <w:r w:rsidRPr="00E85005">
              <w:rPr>
                <w:rStyle w:val="FontStyle23"/>
                <w:rFonts w:ascii="Times New Roman" w:cs="Times New Roman"/>
                <w:sz w:val="24"/>
                <w:szCs w:val="24"/>
              </w:rPr>
              <w:t>stakeholders</w:t>
            </w:r>
            <w:proofErr w:type="spellEnd"/>
            <w:r w:rsidRPr="00E85005">
              <w:rPr>
                <w:rStyle w:val="FontStyle23"/>
                <w:rFonts w:ascii="Times New Roman" w:cs="Times New Roman"/>
                <w:sz w:val="24"/>
                <w:szCs w:val="24"/>
              </w:rPr>
              <w:t xml:space="preserve"> (« Mise en œuvre de l’ITIE pour un impact maximum: un guide à destination des législateurs et des parties prenantes »), et en particularité les chapitres 4 et 5 ;</w:t>
            </w:r>
          </w:p>
          <w:p w:rsidR="00030184" w:rsidRPr="00350740" w:rsidRDefault="00FB6671" w:rsidP="00030184">
            <w:pPr>
              <w:pStyle w:val="Style6"/>
              <w:widowControl/>
              <w:numPr>
                <w:ilvl w:val="0"/>
                <w:numId w:val="47"/>
              </w:numPr>
              <w:spacing w:line="240" w:lineRule="auto"/>
              <w:ind w:right="10"/>
              <w:rPr>
                <w:rStyle w:val="FontStyle23"/>
                <w:rFonts w:ascii="Times New Roman" w:cs="Times New Roman"/>
                <w:sz w:val="24"/>
                <w:szCs w:val="24"/>
              </w:rPr>
            </w:pPr>
            <w:r w:rsidRPr="00E85005">
              <w:rPr>
                <w:rStyle w:val="FontStyle23"/>
                <w:rFonts w:ascii="Times New Roman" w:cs="Times New Roman"/>
                <w:sz w:val="24"/>
                <w:szCs w:val="24"/>
              </w:rPr>
              <w:t>Des ensembles d’études de délimitation du périmètre, disponibles auprès du secrétariat international.</w:t>
            </w:r>
          </w:p>
          <w:p w:rsidR="00FB6671" w:rsidRPr="00E85005" w:rsidRDefault="00FB6671" w:rsidP="007C5949">
            <w:pPr>
              <w:shd w:val="clear" w:color="auto" w:fill="FFFFFF"/>
              <w:tabs>
                <w:tab w:val="left" w:pos="426"/>
                <w:tab w:val="left" w:pos="709"/>
              </w:tabs>
              <w:spacing w:before="240" w:after="240"/>
              <w:jc w:val="both"/>
              <w:rPr>
                <w:rStyle w:val="BookTitle"/>
                <w:rFonts w:eastAsia="Arial Unicode MS"/>
                <w:szCs w:val="24"/>
              </w:rPr>
            </w:pPr>
            <w:r w:rsidRPr="00E85005">
              <w:rPr>
                <w:rStyle w:val="BookTitle"/>
                <w:rFonts w:eastAsia="Arial Unicode MS"/>
                <w:szCs w:val="24"/>
              </w:rPr>
              <w:t xml:space="preserve">VI Exigence en matière de déclaration et calendrier pour les éléments livrables attendus </w:t>
            </w: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La mission devr</w:t>
            </w:r>
            <w:r w:rsidR="00264B04">
              <w:rPr>
                <w:rStyle w:val="FontStyle23"/>
                <w:rFonts w:ascii="Times New Roman" w:cs="Times New Roman"/>
                <w:sz w:val="24"/>
                <w:szCs w:val="24"/>
              </w:rPr>
              <w:t>ait débuter à titre indicatif début Août 2014</w:t>
            </w:r>
            <w:r w:rsidRPr="00E85005">
              <w:rPr>
                <w:rStyle w:val="FontStyle23"/>
                <w:rFonts w:ascii="Times New Roman" w:cs="Times New Roman"/>
                <w:sz w:val="24"/>
                <w:szCs w:val="24"/>
              </w:rPr>
              <w:t>, et se conclure par la final</w:t>
            </w:r>
            <w:r w:rsidR="00264B04">
              <w:rPr>
                <w:rStyle w:val="FontStyle23"/>
                <w:rFonts w:ascii="Times New Roman" w:cs="Times New Roman"/>
                <w:sz w:val="24"/>
                <w:szCs w:val="24"/>
              </w:rPr>
              <w:t>isation du rapport ITIE d’ici Novembre 2014</w:t>
            </w:r>
            <w:r w:rsidRPr="00E85005">
              <w:rPr>
                <w:rStyle w:val="FontStyle23"/>
                <w:rFonts w:ascii="Times New Roman" w:cs="Times New Roman"/>
                <w:sz w:val="24"/>
                <w:szCs w:val="24"/>
              </w:rPr>
              <w:t xml:space="preserve">. Le calendrier envisagé est énoncé ci-dessous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16"/>
            </w:tblGrid>
            <w:tr w:rsidR="00FB6671" w:rsidRPr="00E85005" w:rsidTr="00A7249C">
              <w:tc>
                <w:tcPr>
                  <w:tcW w:w="4531"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Signature du contrat </w:t>
                  </w:r>
                </w:p>
              </w:tc>
              <w:tc>
                <w:tcPr>
                  <w:tcW w:w="5216" w:type="dxa"/>
                  <w:shd w:val="clear" w:color="auto" w:fill="auto"/>
                </w:tcPr>
                <w:p w:rsidR="00FB6671" w:rsidRPr="00E85005" w:rsidRDefault="00A453D6" w:rsidP="007400CA">
                  <w:pPr>
                    <w:framePr w:hSpace="141" w:wrap="around" w:vAnchor="page" w:hAnchor="margin" w:y="416"/>
                    <w:tabs>
                      <w:tab w:val="left" w:pos="426"/>
                      <w:tab w:val="left" w:pos="709"/>
                    </w:tabs>
                    <w:spacing w:before="120" w:after="120"/>
                    <w:suppressOverlap/>
                    <w:jc w:val="both"/>
                    <w:rPr>
                      <w:rStyle w:val="FontStyle23"/>
                      <w:rFonts w:ascii="Times New Roman" w:cs="Times New Roman"/>
                      <w:sz w:val="24"/>
                      <w:szCs w:val="24"/>
                    </w:rPr>
                  </w:pPr>
                  <w:r>
                    <w:rPr>
                      <w:rStyle w:val="FontStyle23"/>
                      <w:rFonts w:ascii="Times New Roman" w:cs="Times New Roman"/>
                      <w:sz w:val="24"/>
                      <w:szCs w:val="24"/>
                    </w:rPr>
                    <w:t>12 Août 2014</w:t>
                  </w:r>
                </w:p>
              </w:tc>
            </w:tr>
            <w:tr w:rsidR="00FB6671" w:rsidRPr="00E85005" w:rsidTr="00A7249C">
              <w:tc>
                <w:tcPr>
                  <w:tcW w:w="4531"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Période initiale </w:t>
                  </w:r>
                </w:p>
              </w:tc>
              <w:tc>
                <w:tcPr>
                  <w:tcW w:w="5216" w:type="dxa"/>
                  <w:shd w:val="clear" w:color="auto" w:fill="auto"/>
                </w:tcPr>
                <w:p w:rsidR="00FB6671" w:rsidRPr="00E85005" w:rsidRDefault="00817C83" w:rsidP="007400CA">
                  <w:pPr>
                    <w:framePr w:hSpace="141" w:wrap="around" w:vAnchor="page" w:hAnchor="margin" w:y="416"/>
                    <w:tabs>
                      <w:tab w:val="left" w:pos="426"/>
                      <w:tab w:val="left" w:pos="709"/>
                    </w:tabs>
                    <w:spacing w:before="120" w:after="120"/>
                    <w:suppressOverlap/>
                    <w:rPr>
                      <w:rStyle w:val="FontStyle23"/>
                      <w:rFonts w:ascii="Times New Roman" w:cs="Times New Roman"/>
                      <w:sz w:val="24"/>
                      <w:szCs w:val="24"/>
                    </w:rPr>
                  </w:pPr>
                  <w:r>
                    <w:rPr>
                      <w:rStyle w:val="FontStyle23"/>
                      <w:rFonts w:ascii="Times New Roman" w:cs="Times New Roman"/>
                      <w:sz w:val="24"/>
                      <w:szCs w:val="24"/>
                    </w:rPr>
                    <w:t>12 Août au 31 Août 2014</w:t>
                  </w:r>
                </w:p>
              </w:tc>
            </w:tr>
            <w:tr w:rsidR="00FB6671" w:rsidRPr="00E85005" w:rsidTr="00A7249C">
              <w:tc>
                <w:tcPr>
                  <w:tcW w:w="4531"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Rapport de lancement </w:t>
                  </w:r>
                </w:p>
              </w:tc>
              <w:tc>
                <w:tcPr>
                  <w:tcW w:w="5216" w:type="dxa"/>
                  <w:shd w:val="clear" w:color="auto" w:fill="auto"/>
                </w:tcPr>
                <w:p w:rsidR="00FB6671" w:rsidRPr="00E85005" w:rsidRDefault="00817C83" w:rsidP="007400CA">
                  <w:pPr>
                    <w:framePr w:hSpace="141" w:wrap="around" w:vAnchor="page" w:hAnchor="margin" w:y="416"/>
                    <w:tabs>
                      <w:tab w:val="left" w:pos="426"/>
                      <w:tab w:val="left" w:pos="709"/>
                    </w:tabs>
                    <w:spacing w:before="120" w:after="120"/>
                    <w:suppressOverlap/>
                    <w:rPr>
                      <w:rStyle w:val="FontStyle23"/>
                      <w:rFonts w:ascii="Times New Roman" w:cs="Times New Roman"/>
                      <w:sz w:val="24"/>
                      <w:szCs w:val="24"/>
                    </w:rPr>
                  </w:pPr>
                  <w:r>
                    <w:rPr>
                      <w:rStyle w:val="FontStyle23"/>
                      <w:rFonts w:ascii="Times New Roman" w:cs="Times New Roman"/>
                      <w:sz w:val="24"/>
                      <w:szCs w:val="24"/>
                    </w:rPr>
                    <w:t>1</w:t>
                  </w:r>
                  <w:r w:rsidRPr="00817C83">
                    <w:rPr>
                      <w:rStyle w:val="FontStyle23"/>
                      <w:rFonts w:ascii="Times New Roman" w:cs="Times New Roman"/>
                      <w:sz w:val="24"/>
                      <w:szCs w:val="24"/>
                      <w:vertAlign w:val="superscript"/>
                    </w:rPr>
                    <w:t>er</w:t>
                  </w:r>
                  <w:r>
                    <w:rPr>
                      <w:rStyle w:val="FontStyle23"/>
                      <w:rFonts w:ascii="Times New Roman" w:cs="Times New Roman"/>
                      <w:sz w:val="24"/>
                      <w:szCs w:val="24"/>
                    </w:rPr>
                    <w:t xml:space="preserve"> Septembre2014 au </w:t>
                  </w:r>
                  <w:r w:rsidR="004F3C93">
                    <w:rPr>
                      <w:rStyle w:val="FontStyle23"/>
                      <w:rFonts w:ascii="Times New Roman" w:cs="Times New Roman"/>
                      <w:sz w:val="24"/>
                      <w:szCs w:val="24"/>
                    </w:rPr>
                    <w:t>04</w:t>
                  </w:r>
                  <w:r>
                    <w:rPr>
                      <w:rStyle w:val="FontStyle23"/>
                      <w:rFonts w:ascii="Times New Roman" w:cs="Times New Roman"/>
                      <w:sz w:val="24"/>
                      <w:szCs w:val="24"/>
                    </w:rPr>
                    <w:t xml:space="preserve"> Septembre 2014</w:t>
                  </w:r>
                </w:p>
              </w:tc>
            </w:tr>
            <w:tr w:rsidR="00FB6671" w:rsidRPr="00E85005" w:rsidTr="00A7249C">
              <w:tc>
                <w:tcPr>
                  <w:tcW w:w="4531" w:type="dxa"/>
                  <w:shd w:val="clear" w:color="auto" w:fill="auto"/>
                </w:tcPr>
                <w:p w:rsidR="00FB6671" w:rsidRPr="002877D8" w:rsidRDefault="00FB6671" w:rsidP="007400CA">
                  <w:pPr>
                    <w:framePr w:hSpace="141" w:wrap="around" w:vAnchor="page" w:hAnchor="margin" w:y="416"/>
                    <w:tabs>
                      <w:tab w:val="left" w:pos="426"/>
                      <w:tab w:val="left" w:pos="709"/>
                    </w:tabs>
                    <w:spacing w:before="120" w:after="120"/>
                    <w:suppressOverlap/>
                    <w:jc w:val="both"/>
                    <w:rPr>
                      <w:rStyle w:val="FontStyle23"/>
                      <w:rFonts w:ascii="Times New Roman" w:cs="Times New Roman"/>
                      <w:sz w:val="24"/>
                      <w:szCs w:val="24"/>
                    </w:rPr>
                  </w:pPr>
                  <w:r w:rsidRPr="002877D8">
                    <w:rPr>
                      <w:rStyle w:val="FontStyle23"/>
                      <w:rFonts w:ascii="Times New Roman" w:cs="Times New Roman"/>
                      <w:sz w:val="24"/>
                      <w:szCs w:val="24"/>
                    </w:rPr>
                    <w:t xml:space="preserve">Collecte des données et rapprochement initial </w:t>
                  </w:r>
                </w:p>
              </w:tc>
              <w:tc>
                <w:tcPr>
                  <w:tcW w:w="5216" w:type="dxa"/>
                  <w:shd w:val="clear" w:color="auto" w:fill="auto"/>
                </w:tcPr>
                <w:p w:rsidR="00FB6671" w:rsidRPr="00E85005" w:rsidRDefault="004F3C93" w:rsidP="007400CA">
                  <w:pPr>
                    <w:framePr w:hSpace="141" w:wrap="around" w:vAnchor="page" w:hAnchor="margin" w:y="416"/>
                    <w:tabs>
                      <w:tab w:val="left" w:pos="426"/>
                      <w:tab w:val="left" w:pos="709"/>
                    </w:tabs>
                    <w:spacing w:before="120" w:after="120"/>
                    <w:suppressOverlap/>
                    <w:rPr>
                      <w:rStyle w:val="FontStyle23"/>
                      <w:rFonts w:ascii="Times New Roman" w:cs="Times New Roman"/>
                      <w:sz w:val="24"/>
                      <w:szCs w:val="24"/>
                    </w:rPr>
                  </w:pPr>
                  <w:r>
                    <w:rPr>
                      <w:rStyle w:val="FontStyle23"/>
                      <w:rFonts w:ascii="Times New Roman" w:cs="Times New Roman"/>
                      <w:sz w:val="24"/>
                      <w:szCs w:val="24"/>
                    </w:rPr>
                    <w:t>04</w:t>
                  </w:r>
                  <w:r w:rsidR="00817C83">
                    <w:rPr>
                      <w:rStyle w:val="FontStyle23"/>
                      <w:rFonts w:ascii="Times New Roman" w:cs="Times New Roman"/>
                      <w:sz w:val="24"/>
                      <w:szCs w:val="24"/>
                    </w:rPr>
                    <w:t xml:space="preserve"> Septembre 2014 au </w:t>
                  </w:r>
                  <w:r>
                    <w:rPr>
                      <w:rStyle w:val="FontStyle23"/>
                      <w:rFonts w:ascii="Times New Roman" w:cs="Times New Roman"/>
                      <w:sz w:val="24"/>
                      <w:szCs w:val="24"/>
                    </w:rPr>
                    <w:t>21</w:t>
                  </w:r>
                  <w:r w:rsidR="00817C83">
                    <w:rPr>
                      <w:rStyle w:val="FontStyle23"/>
                      <w:rFonts w:ascii="Times New Roman" w:cs="Times New Roman"/>
                      <w:sz w:val="24"/>
                      <w:szCs w:val="24"/>
                    </w:rPr>
                    <w:t xml:space="preserve"> Octobre 2014</w:t>
                  </w:r>
                </w:p>
              </w:tc>
            </w:tr>
            <w:tr w:rsidR="00FB6671" w:rsidRPr="00E85005" w:rsidTr="00A7249C">
              <w:tc>
                <w:tcPr>
                  <w:tcW w:w="4531"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suppressOverlap/>
                    <w:jc w:val="both"/>
                    <w:rPr>
                      <w:rStyle w:val="FontStyle23"/>
                      <w:rFonts w:ascii="Times New Roman" w:cs="Times New Roman"/>
                      <w:sz w:val="24"/>
                      <w:szCs w:val="24"/>
                    </w:rPr>
                  </w:pPr>
                  <w:r w:rsidRPr="00E85005">
                    <w:rPr>
                      <w:rStyle w:val="FontStyle23"/>
                      <w:rFonts w:ascii="Times New Roman" w:cs="Times New Roman"/>
                      <w:sz w:val="24"/>
                      <w:szCs w:val="24"/>
                    </w:rPr>
                    <w:t>Rapport de rapprochement initial</w:t>
                  </w:r>
                </w:p>
              </w:tc>
              <w:tc>
                <w:tcPr>
                  <w:tcW w:w="5216" w:type="dxa"/>
                  <w:shd w:val="clear" w:color="auto" w:fill="auto"/>
                </w:tcPr>
                <w:p w:rsidR="00FB6671" w:rsidRPr="00E85005" w:rsidRDefault="004F3C93" w:rsidP="007400CA">
                  <w:pPr>
                    <w:framePr w:hSpace="141" w:wrap="around" w:vAnchor="page" w:hAnchor="margin" w:y="416"/>
                    <w:tabs>
                      <w:tab w:val="left" w:pos="426"/>
                      <w:tab w:val="left" w:pos="709"/>
                    </w:tabs>
                    <w:spacing w:before="120" w:after="120"/>
                    <w:suppressOverlap/>
                    <w:rPr>
                      <w:rStyle w:val="FontStyle23"/>
                      <w:rFonts w:ascii="Times New Roman" w:cs="Times New Roman"/>
                      <w:sz w:val="24"/>
                      <w:szCs w:val="24"/>
                    </w:rPr>
                  </w:pPr>
                  <w:r>
                    <w:rPr>
                      <w:rStyle w:val="FontStyle23"/>
                      <w:rFonts w:ascii="Times New Roman" w:cs="Times New Roman"/>
                      <w:sz w:val="24"/>
                      <w:szCs w:val="24"/>
                    </w:rPr>
                    <w:t>28</w:t>
                  </w:r>
                  <w:r w:rsidR="00781B3E">
                    <w:rPr>
                      <w:rStyle w:val="FontStyle23"/>
                      <w:rFonts w:ascii="Times New Roman" w:cs="Times New Roman"/>
                      <w:sz w:val="24"/>
                      <w:szCs w:val="24"/>
                    </w:rPr>
                    <w:t xml:space="preserve"> Octobre 2014</w:t>
                  </w:r>
                </w:p>
              </w:tc>
            </w:tr>
            <w:tr w:rsidR="00FB6671" w:rsidRPr="00E85005" w:rsidTr="00A7249C">
              <w:tc>
                <w:tcPr>
                  <w:tcW w:w="4531"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Projet de rapport </w:t>
                  </w:r>
                </w:p>
              </w:tc>
              <w:tc>
                <w:tcPr>
                  <w:tcW w:w="5216" w:type="dxa"/>
                  <w:shd w:val="clear" w:color="auto" w:fill="auto"/>
                </w:tcPr>
                <w:p w:rsidR="00FB6671" w:rsidRPr="00E85005" w:rsidRDefault="004F3C93" w:rsidP="007400CA">
                  <w:pPr>
                    <w:framePr w:hSpace="141" w:wrap="around" w:vAnchor="page" w:hAnchor="margin" w:y="416"/>
                    <w:tabs>
                      <w:tab w:val="left" w:pos="426"/>
                      <w:tab w:val="left" w:pos="709"/>
                    </w:tabs>
                    <w:spacing w:before="120" w:after="120"/>
                    <w:suppressOverlap/>
                    <w:rPr>
                      <w:rStyle w:val="FontStyle23"/>
                      <w:rFonts w:ascii="Times New Roman" w:cs="Times New Roman"/>
                      <w:sz w:val="24"/>
                      <w:szCs w:val="24"/>
                    </w:rPr>
                  </w:pPr>
                  <w:r>
                    <w:rPr>
                      <w:rStyle w:val="FontStyle23"/>
                      <w:rFonts w:ascii="Times New Roman" w:cs="Times New Roman"/>
                      <w:sz w:val="24"/>
                      <w:szCs w:val="24"/>
                    </w:rPr>
                    <w:t>11 Novembre 2014</w:t>
                  </w:r>
                </w:p>
              </w:tc>
            </w:tr>
            <w:tr w:rsidR="00FB6671" w:rsidRPr="00E85005" w:rsidTr="00A7249C">
              <w:tc>
                <w:tcPr>
                  <w:tcW w:w="4531"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suppressOverlap/>
                    <w:jc w:val="both"/>
                    <w:rPr>
                      <w:rStyle w:val="FontStyle23"/>
                      <w:rFonts w:ascii="Times New Roman" w:cs="Times New Roman"/>
                      <w:sz w:val="24"/>
                      <w:szCs w:val="24"/>
                    </w:rPr>
                  </w:pPr>
                  <w:r w:rsidRPr="00E85005">
                    <w:rPr>
                      <w:rStyle w:val="FontStyle23"/>
                      <w:rFonts w:ascii="Times New Roman" w:cs="Times New Roman"/>
                      <w:sz w:val="24"/>
                      <w:szCs w:val="24"/>
                    </w:rPr>
                    <w:t>Rapport final</w:t>
                  </w:r>
                </w:p>
              </w:tc>
              <w:tc>
                <w:tcPr>
                  <w:tcW w:w="5216" w:type="dxa"/>
                  <w:shd w:val="clear" w:color="auto" w:fill="auto"/>
                </w:tcPr>
                <w:p w:rsidR="00FB6671" w:rsidRPr="00E85005" w:rsidRDefault="00781B3E" w:rsidP="007400CA">
                  <w:pPr>
                    <w:framePr w:hSpace="141" w:wrap="around" w:vAnchor="page" w:hAnchor="margin" w:y="416"/>
                    <w:tabs>
                      <w:tab w:val="left" w:pos="426"/>
                      <w:tab w:val="left" w:pos="709"/>
                    </w:tabs>
                    <w:spacing w:before="120" w:after="120"/>
                    <w:suppressOverlap/>
                    <w:rPr>
                      <w:rStyle w:val="FontStyle23"/>
                      <w:rFonts w:ascii="Times New Roman" w:cs="Times New Roman"/>
                      <w:sz w:val="24"/>
                      <w:szCs w:val="24"/>
                    </w:rPr>
                  </w:pPr>
                  <w:r>
                    <w:rPr>
                      <w:rStyle w:val="FontStyle23"/>
                      <w:rFonts w:ascii="Times New Roman" w:cs="Times New Roman"/>
                      <w:sz w:val="24"/>
                      <w:szCs w:val="24"/>
                    </w:rPr>
                    <w:t xml:space="preserve"> </w:t>
                  </w:r>
                  <w:r w:rsidR="004F3C93" w:rsidRPr="00014628">
                    <w:rPr>
                      <w:rStyle w:val="FontStyle23"/>
                      <w:rFonts w:ascii="Times New Roman" w:cs="Times New Roman"/>
                      <w:sz w:val="24"/>
                      <w:szCs w:val="24"/>
                    </w:rPr>
                    <w:t xml:space="preserve">25 </w:t>
                  </w:r>
                  <w:r w:rsidR="004F3C93">
                    <w:rPr>
                      <w:rStyle w:val="FontStyle23"/>
                      <w:rFonts w:ascii="Times New Roman" w:cs="Times New Roman"/>
                      <w:sz w:val="24"/>
                      <w:szCs w:val="24"/>
                    </w:rPr>
                    <w:t xml:space="preserve"> </w:t>
                  </w:r>
                  <w:r>
                    <w:rPr>
                      <w:rStyle w:val="FontStyle23"/>
                      <w:rFonts w:ascii="Times New Roman" w:cs="Times New Roman"/>
                      <w:sz w:val="24"/>
                      <w:szCs w:val="24"/>
                    </w:rPr>
                    <w:t>Novembre 2014</w:t>
                  </w:r>
                </w:p>
              </w:tc>
            </w:tr>
            <w:tr w:rsidR="00FB6671" w:rsidRPr="00E85005" w:rsidTr="00A7249C">
              <w:trPr>
                <w:trHeight w:val="1633"/>
              </w:trPr>
              <w:tc>
                <w:tcPr>
                  <w:tcW w:w="4531"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Format de rapport </w:t>
                  </w:r>
                </w:p>
              </w:tc>
              <w:tc>
                <w:tcPr>
                  <w:tcW w:w="5216" w:type="dxa"/>
                  <w:shd w:val="clear" w:color="auto" w:fill="auto"/>
                </w:tcPr>
                <w:p w:rsidR="00FB6671" w:rsidRPr="00E85005" w:rsidRDefault="00FB6671" w:rsidP="007400CA">
                  <w:pPr>
                    <w:pStyle w:val="Style7"/>
                    <w:framePr w:hSpace="141" w:wrap="around" w:vAnchor="page" w:hAnchor="margin" w:y="416"/>
                    <w:widowControl/>
                    <w:tabs>
                      <w:tab w:val="left" w:pos="701"/>
                    </w:tabs>
                    <w:ind w:right="10"/>
                    <w:suppressOverlap/>
                    <w:rPr>
                      <w:rStyle w:val="FontStyle23"/>
                      <w:rFonts w:ascii="Times New Roman" w:cs="Times New Roman"/>
                      <w:sz w:val="24"/>
                      <w:szCs w:val="24"/>
                    </w:rPr>
                  </w:pPr>
                  <w:r w:rsidRPr="00E85005">
                    <w:rPr>
                      <w:rStyle w:val="FontStyle23"/>
                      <w:rFonts w:ascii="Times New Roman" w:cs="Times New Roman"/>
                      <w:sz w:val="24"/>
                      <w:szCs w:val="24"/>
                    </w:rPr>
                    <w:t>cinq (05) exempla</w:t>
                  </w:r>
                  <w:r w:rsidR="002877D8">
                    <w:rPr>
                      <w:rStyle w:val="FontStyle23"/>
                      <w:rFonts w:ascii="Times New Roman" w:cs="Times New Roman"/>
                      <w:sz w:val="24"/>
                      <w:szCs w:val="24"/>
                    </w:rPr>
                    <w:t xml:space="preserve">ires sur support papier, format </w:t>
                  </w:r>
                  <w:r w:rsidRPr="002877D8">
                    <w:rPr>
                      <w:rStyle w:val="FontStyle23"/>
                      <w:rFonts w:ascii="Times New Roman" w:cs="Times New Roman"/>
                      <w:sz w:val="24"/>
                      <w:szCs w:val="24"/>
                    </w:rPr>
                    <w:t>A4</w:t>
                  </w:r>
                  <w:r w:rsidRPr="00E85005">
                    <w:rPr>
                      <w:rStyle w:val="FontStyle23"/>
                      <w:rFonts w:ascii="Times New Roman" w:cs="Times New Roman"/>
                      <w:sz w:val="24"/>
                      <w:szCs w:val="24"/>
                    </w:rPr>
                    <w:t> ;</w:t>
                  </w:r>
                </w:p>
                <w:p w:rsidR="00FB6671" w:rsidRPr="00E85005" w:rsidRDefault="00FB6671" w:rsidP="007400CA">
                  <w:pPr>
                    <w:pStyle w:val="Style7"/>
                    <w:framePr w:hSpace="141" w:wrap="around" w:vAnchor="page" w:hAnchor="margin" w:y="416"/>
                    <w:widowControl/>
                    <w:tabs>
                      <w:tab w:val="left" w:pos="701"/>
                    </w:tabs>
                    <w:ind w:right="10"/>
                    <w:suppressOverlap/>
                    <w:rPr>
                      <w:rStyle w:val="FontStyle23"/>
                      <w:rFonts w:ascii="Times New Roman" w:cs="Times New Roman"/>
                      <w:sz w:val="24"/>
                      <w:szCs w:val="24"/>
                    </w:rPr>
                  </w:pPr>
                  <w:r w:rsidRPr="00E85005">
                    <w:rPr>
                      <w:rStyle w:val="FontStyle23"/>
                      <w:rFonts w:ascii="Times New Roman" w:cs="Times New Roman"/>
                      <w:sz w:val="24"/>
                      <w:szCs w:val="24"/>
                    </w:rPr>
                    <w:t>un (01) exemplaire de la traduction en anglais ;</w:t>
                  </w:r>
                </w:p>
                <w:p w:rsidR="00FB6671" w:rsidRPr="00E85005" w:rsidRDefault="00FB6671" w:rsidP="007400CA">
                  <w:pPr>
                    <w:pStyle w:val="Style7"/>
                    <w:framePr w:hSpace="141" w:wrap="around" w:vAnchor="page" w:hAnchor="margin" w:y="416"/>
                    <w:widowControl/>
                    <w:tabs>
                      <w:tab w:val="left" w:pos="701"/>
                    </w:tabs>
                    <w:ind w:right="10"/>
                    <w:suppressOverlap/>
                    <w:rPr>
                      <w:rStyle w:val="FontStyle23"/>
                      <w:rFonts w:ascii="Times New Roman" w:cs="Times New Roman"/>
                      <w:sz w:val="24"/>
                      <w:szCs w:val="24"/>
                    </w:rPr>
                  </w:pPr>
                  <w:r w:rsidRPr="00E85005">
                    <w:rPr>
                      <w:rStyle w:val="FontStyle23"/>
                      <w:rFonts w:ascii="Times New Roman" w:cs="Times New Roman"/>
                      <w:sz w:val="24"/>
                      <w:szCs w:val="24"/>
                    </w:rPr>
                    <w:t>un (01) exemplaire en version simplifiée pour le grand public ;</w:t>
                  </w:r>
                </w:p>
                <w:p w:rsidR="00FB6671" w:rsidRPr="00E85005" w:rsidRDefault="00FB6671" w:rsidP="007400CA">
                  <w:pPr>
                    <w:pStyle w:val="Style7"/>
                    <w:framePr w:hSpace="141" w:wrap="around" w:vAnchor="page" w:hAnchor="margin" w:y="416"/>
                    <w:widowControl/>
                    <w:tabs>
                      <w:tab w:val="left" w:pos="701"/>
                    </w:tabs>
                    <w:ind w:right="10"/>
                    <w:suppressOverlap/>
                    <w:rPr>
                      <w:rStyle w:val="FontStyle23"/>
                      <w:rFonts w:ascii="Times New Roman" w:cs="Times New Roman"/>
                      <w:sz w:val="24"/>
                      <w:szCs w:val="24"/>
                    </w:rPr>
                  </w:pPr>
                  <w:r w:rsidRPr="00E85005">
                    <w:rPr>
                      <w:rStyle w:val="FontStyle23"/>
                      <w:rFonts w:ascii="Times New Roman" w:cs="Times New Roman"/>
                      <w:sz w:val="24"/>
                      <w:szCs w:val="24"/>
                    </w:rPr>
                    <w:t>une (01) copie électronique sur CD et une (01) sur clé USB</w:t>
                  </w:r>
                </w:p>
              </w:tc>
            </w:tr>
          </w:tbl>
          <w:p w:rsidR="00FB6671" w:rsidRPr="00E85005" w:rsidRDefault="00FB6671" w:rsidP="007C5949">
            <w:pPr>
              <w:shd w:val="clear" w:color="auto" w:fill="FFFFFF"/>
              <w:tabs>
                <w:tab w:val="left" w:pos="426"/>
                <w:tab w:val="left" w:pos="709"/>
              </w:tabs>
              <w:spacing w:before="240" w:after="240"/>
              <w:jc w:val="both"/>
              <w:rPr>
                <w:rStyle w:val="BookTitle"/>
                <w:rFonts w:eastAsia="Arial Unicode MS"/>
                <w:szCs w:val="24"/>
                <w:u w:val="single"/>
              </w:rPr>
            </w:pPr>
            <w:r w:rsidRPr="00E85005">
              <w:rPr>
                <w:rStyle w:val="BookTitle"/>
                <w:rFonts w:eastAsia="Arial Unicode MS"/>
                <w:szCs w:val="24"/>
                <w:u w:val="single"/>
              </w:rPr>
              <w:t>VII Le calendrier des paiements</w:t>
            </w:r>
          </w:p>
          <w:p w:rsidR="00FB6671" w:rsidRPr="00E85005" w:rsidRDefault="00FB6671" w:rsidP="007C5949">
            <w:pPr>
              <w:shd w:val="clear" w:color="auto" w:fill="FFFFFF"/>
              <w:tabs>
                <w:tab w:val="left" w:pos="426"/>
                <w:tab w:val="left" w:pos="709"/>
              </w:tabs>
              <w:spacing w:before="240" w:beforeAutospacing="1" w:after="240" w:afterAutospacing="1"/>
              <w:jc w:val="both"/>
              <w:rPr>
                <w:rStyle w:val="FontStyle23"/>
                <w:rFonts w:ascii="Times New Roman" w:cs="Times New Roman"/>
                <w:sz w:val="24"/>
                <w:szCs w:val="24"/>
              </w:rPr>
            </w:pPr>
            <w:r w:rsidRPr="00E85005">
              <w:rPr>
                <w:rStyle w:val="FontStyle23"/>
                <w:rFonts w:ascii="Times New Roman" w:cs="Times New Roman"/>
                <w:sz w:val="24"/>
                <w:szCs w:val="24"/>
              </w:rPr>
              <w:t>Le calendrier des paiements sera comme suit :</w:t>
            </w:r>
          </w:p>
          <w:p w:rsidR="00FB6671" w:rsidRPr="00E85005" w:rsidRDefault="00FB6671" w:rsidP="00FB6671">
            <w:pPr>
              <w:numPr>
                <w:ilvl w:val="0"/>
                <w:numId w:val="27"/>
              </w:numPr>
              <w:ind w:right="-72"/>
              <w:jc w:val="both"/>
              <w:rPr>
                <w:rStyle w:val="FontStyle23"/>
                <w:rFonts w:ascii="Times New Roman" w:cs="Times New Roman"/>
                <w:sz w:val="24"/>
                <w:szCs w:val="24"/>
              </w:rPr>
            </w:pPr>
            <w:r w:rsidRPr="00E85005">
              <w:rPr>
                <w:rStyle w:val="FontStyle23"/>
                <w:rFonts w:ascii="Times New Roman" w:cs="Times New Roman"/>
                <w:sz w:val="24"/>
                <w:szCs w:val="24"/>
              </w:rPr>
              <w:t>Dix (10) pour cent du Montant du Marché seront versés au démarrage de la mission suite à la signature du contrat;</w:t>
            </w:r>
          </w:p>
          <w:p w:rsidR="00FB6671" w:rsidRPr="00E85005" w:rsidRDefault="00FB6671" w:rsidP="007C5949">
            <w:pPr>
              <w:numPr>
                <w:ilvl w:val="12"/>
                <w:numId w:val="0"/>
              </w:numPr>
              <w:ind w:right="-72"/>
              <w:jc w:val="both"/>
              <w:rPr>
                <w:rStyle w:val="FontStyle23"/>
                <w:rFonts w:ascii="Times New Roman" w:cs="Times New Roman"/>
                <w:sz w:val="24"/>
                <w:szCs w:val="24"/>
              </w:rPr>
            </w:pPr>
          </w:p>
          <w:p w:rsidR="00FB6671" w:rsidRPr="00E85005" w:rsidRDefault="00FB6671" w:rsidP="00FB6671">
            <w:pPr>
              <w:numPr>
                <w:ilvl w:val="0"/>
                <w:numId w:val="27"/>
              </w:numPr>
              <w:ind w:right="-72"/>
              <w:jc w:val="both"/>
              <w:rPr>
                <w:rStyle w:val="FontStyle23"/>
                <w:rFonts w:ascii="Times New Roman" w:cs="Times New Roman"/>
                <w:sz w:val="24"/>
                <w:szCs w:val="24"/>
              </w:rPr>
            </w:pPr>
            <w:r w:rsidRPr="00E85005">
              <w:rPr>
                <w:rStyle w:val="FontStyle23"/>
                <w:rFonts w:ascii="Times New Roman" w:cs="Times New Roman"/>
                <w:sz w:val="24"/>
                <w:szCs w:val="24"/>
              </w:rPr>
              <w:t>Quinze (15) pour cent du Montant du Marché seront versés suite à la livraison du rapport de lancement;</w:t>
            </w:r>
          </w:p>
          <w:p w:rsidR="00FB6671" w:rsidRPr="00E85005" w:rsidRDefault="00FB6671" w:rsidP="007C5949">
            <w:pPr>
              <w:pStyle w:val="ListParagraph"/>
              <w:rPr>
                <w:rStyle w:val="FontStyle23"/>
                <w:rFonts w:ascii="Times New Roman" w:hAnsi="Times New Roman" w:cs="Times New Roman"/>
                <w:sz w:val="24"/>
                <w:szCs w:val="24"/>
              </w:rPr>
            </w:pPr>
          </w:p>
          <w:p w:rsidR="00FB6671" w:rsidRPr="00E85005" w:rsidRDefault="00FB6671" w:rsidP="00FB6671">
            <w:pPr>
              <w:numPr>
                <w:ilvl w:val="0"/>
                <w:numId w:val="27"/>
              </w:numPr>
              <w:ind w:right="-72"/>
              <w:jc w:val="both"/>
              <w:rPr>
                <w:rStyle w:val="FontStyle23"/>
                <w:rFonts w:ascii="Times New Roman" w:cs="Times New Roman"/>
                <w:sz w:val="24"/>
                <w:szCs w:val="24"/>
              </w:rPr>
            </w:pPr>
            <w:r w:rsidRPr="00E85005">
              <w:rPr>
                <w:rStyle w:val="FontStyle23"/>
                <w:rFonts w:ascii="Times New Roman" w:cs="Times New Roman"/>
                <w:sz w:val="24"/>
                <w:szCs w:val="24"/>
              </w:rPr>
              <w:t>Vingt cinq (25) pour cent du Montant du Marché seront versés suite à la livraison du projet de rapport ITIE;</w:t>
            </w:r>
          </w:p>
          <w:p w:rsidR="00FB6671" w:rsidRPr="00E85005" w:rsidRDefault="00FB6671" w:rsidP="007C5949">
            <w:pPr>
              <w:numPr>
                <w:ilvl w:val="12"/>
                <w:numId w:val="0"/>
              </w:numPr>
              <w:ind w:left="540" w:right="-72" w:hanging="540"/>
              <w:jc w:val="both"/>
              <w:rPr>
                <w:rStyle w:val="FontStyle23"/>
                <w:rFonts w:ascii="Times New Roman" w:cs="Times New Roman"/>
                <w:sz w:val="24"/>
                <w:szCs w:val="24"/>
              </w:rPr>
            </w:pPr>
          </w:p>
          <w:p w:rsidR="00FB6671" w:rsidRPr="00E85005" w:rsidRDefault="00FB6671" w:rsidP="00FB6671">
            <w:pPr>
              <w:numPr>
                <w:ilvl w:val="0"/>
                <w:numId w:val="27"/>
              </w:numPr>
              <w:ind w:right="-72"/>
              <w:jc w:val="both"/>
              <w:rPr>
                <w:rStyle w:val="FontStyle23"/>
                <w:rFonts w:ascii="Times New Roman" w:cs="Times New Roman"/>
                <w:sz w:val="24"/>
                <w:szCs w:val="24"/>
              </w:rPr>
            </w:pPr>
            <w:r w:rsidRPr="00E85005">
              <w:rPr>
                <w:rStyle w:val="FontStyle23"/>
                <w:rFonts w:ascii="Times New Roman" w:cs="Times New Roman"/>
                <w:sz w:val="24"/>
                <w:szCs w:val="24"/>
              </w:rPr>
              <w:t>Cinquante (50) pour cent du Montant du Marché seront versés suite à l’approbation du rapport final par les groupes multipartites de l’ITIE-Togo selon les formats indiqués dans les termes de référence et à sa publication.</w:t>
            </w:r>
          </w:p>
          <w:p w:rsidR="00FB6671" w:rsidRPr="00E85005" w:rsidRDefault="00FB6671" w:rsidP="007C5949">
            <w:pPr>
              <w:tabs>
                <w:tab w:val="left" w:pos="709"/>
              </w:tabs>
              <w:ind w:right="-72"/>
              <w:jc w:val="both"/>
              <w:rPr>
                <w:rStyle w:val="FontStyle23"/>
                <w:rFonts w:ascii="Times New Roman" w:cs="Times New Roman"/>
                <w:sz w:val="24"/>
                <w:szCs w:val="24"/>
              </w:rPr>
            </w:pPr>
          </w:p>
          <w:p w:rsidR="00FB6671" w:rsidRPr="00E85005" w:rsidRDefault="00FB6671" w:rsidP="007C5949">
            <w:pPr>
              <w:tabs>
                <w:tab w:val="left" w:pos="709"/>
              </w:tabs>
              <w:ind w:left="360" w:right="-72"/>
              <w:jc w:val="both"/>
              <w:rPr>
                <w:rStyle w:val="FontStyle23"/>
                <w:rFonts w:ascii="Times New Roman" w:cs="Times New Roman"/>
                <w:b/>
                <w:sz w:val="24"/>
                <w:szCs w:val="24"/>
              </w:rPr>
            </w:pPr>
            <w:r w:rsidRPr="00E85005">
              <w:rPr>
                <w:rStyle w:val="FontStyle23"/>
                <w:rFonts w:ascii="Times New Roman" w:cs="Times New Roman"/>
                <w:b/>
                <w:sz w:val="24"/>
                <w:szCs w:val="24"/>
              </w:rPr>
              <w:t>VIII  Contribution du Client et personnel de contrepartie</w:t>
            </w:r>
          </w:p>
          <w:p w:rsidR="00FB6671" w:rsidRPr="00E85005" w:rsidRDefault="00FB6671" w:rsidP="007C5949">
            <w:pPr>
              <w:pStyle w:val="ListParagraph"/>
              <w:autoSpaceDE w:val="0"/>
              <w:autoSpaceDN w:val="0"/>
              <w:adjustRightInd w:val="0"/>
              <w:ind w:left="360"/>
              <w:jc w:val="both"/>
              <w:rPr>
                <w:rStyle w:val="FontStyle23"/>
                <w:rFonts w:ascii="Times New Roman" w:hAnsi="Times New Roman" w:cs="Times New Roman"/>
                <w:sz w:val="24"/>
                <w:szCs w:val="24"/>
              </w:rPr>
            </w:pPr>
          </w:p>
          <w:p w:rsidR="00FB6671" w:rsidRPr="00E85005" w:rsidRDefault="00FB6671" w:rsidP="007C5949">
            <w:pPr>
              <w:pStyle w:val="ListParagraph"/>
              <w:autoSpaceDE w:val="0"/>
              <w:autoSpaceDN w:val="0"/>
              <w:adjustRightInd w:val="0"/>
              <w:ind w:left="36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Le Secrétariat Technique de l’ITIE-TOGO et les organes multipartites de mise en œuvre du processus mettront à la disposition de l’administrateur indépendant :</w:t>
            </w:r>
          </w:p>
          <w:p w:rsidR="00FB6671" w:rsidRPr="00E85005" w:rsidRDefault="00FB6671" w:rsidP="007C5949">
            <w:pPr>
              <w:pStyle w:val="ListParagraph"/>
              <w:autoSpaceDE w:val="0"/>
              <w:autoSpaceDN w:val="0"/>
              <w:adjustRightInd w:val="0"/>
              <w:ind w:left="360"/>
              <w:jc w:val="both"/>
              <w:rPr>
                <w:rStyle w:val="FontStyle23"/>
                <w:rFonts w:ascii="Times New Roman" w:hAnsi="Times New Roman" w:cs="Times New Roman"/>
                <w:sz w:val="24"/>
                <w:szCs w:val="24"/>
              </w:rPr>
            </w:pPr>
          </w:p>
          <w:p w:rsidR="00FB6671" w:rsidRPr="00E85005" w:rsidRDefault="00FB6671" w:rsidP="00FB6671">
            <w:pPr>
              <w:pStyle w:val="ListParagraph"/>
              <w:numPr>
                <w:ilvl w:val="0"/>
                <w:numId w:val="39"/>
              </w:numPr>
              <w:autoSpaceDE w:val="0"/>
              <w:autoSpaceDN w:val="0"/>
              <w:adjustRightInd w:val="0"/>
              <w:ind w:left="-142" w:firstLine="502"/>
              <w:contextualSpacing/>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Tous les documents disponibles et nécessaires à la réussite de sa mission ;</w:t>
            </w:r>
          </w:p>
          <w:p w:rsidR="00FB6671" w:rsidRPr="00E85005" w:rsidRDefault="00FB6671" w:rsidP="00FB6671">
            <w:pPr>
              <w:pStyle w:val="ListParagraph"/>
              <w:numPr>
                <w:ilvl w:val="0"/>
                <w:numId w:val="39"/>
              </w:numPr>
              <w:autoSpaceDE w:val="0"/>
              <w:autoSpaceDN w:val="0"/>
              <w:adjustRightInd w:val="0"/>
              <w:ind w:left="-142" w:firstLine="502"/>
              <w:contextualSpacing/>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Un bureau avec une connexion internet et le matériel nécessaire pour la réussite de la mission.</w:t>
            </w:r>
          </w:p>
          <w:p w:rsidR="00FB6671" w:rsidRPr="00E85005" w:rsidRDefault="00FB6671" w:rsidP="007C5949">
            <w:pPr>
              <w:pStyle w:val="ListParagraph"/>
              <w:autoSpaceDE w:val="0"/>
              <w:autoSpaceDN w:val="0"/>
              <w:adjustRightInd w:val="0"/>
              <w:ind w:left="360"/>
              <w:jc w:val="both"/>
              <w:rPr>
                <w:rStyle w:val="FontStyle23"/>
                <w:rFonts w:ascii="Times New Roman" w:hAnsi="Times New Roman" w:cs="Times New Roman"/>
                <w:sz w:val="24"/>
                <w:szCs w:val="24"/>
              </w:rPr>
            </w:pPr>
          </w:p>
          <w:p w:rsidR="00FB6671" w:rsidRPr="00E85005" w:rsidRDefault="00FB6671" w:rsidP="007C5949">
            <w:pPr>
              <w:autoSpaceDE w:val="0"/>
              <w:autoSpaceDN w:val="0"/>
              <w:adjustRightInd w:val="0"/>
              <w:jc w:val="both"/>
              <w:rPr>
                <w:rStyle w:val="FontStyle23"/>
                <w:rFonts w:ascii="Times New Roman" w:cs="Times New Roman"/>
                <w:sz w:val="24"/>
                <w:szCs w:val="24"/>
              </w:rPr>
            </w:pPr>
            <w:r w:rsidRPr="00E85005">
              <w:rPr>
                <w:rStyle w:val="FontStyle23"/>
                <w:rFonts w:ascii="Times New Roman" w:cs="Times New Roman"/>
                <w:sz w:val="24"/>
                <w:szCs w:val="24"/>
              </w:rPr>
              <w:t>Par ailleurs tout le personnel du Secrétariat Technique est disponible pour toute collaboration nécessaire.</w:t>
            </w:r>
          </w:p>
          <w:p w:rsidR="00FB6671" w:rsidRPr="00E85005" w:rsidRDefault="00FB6671" w:rsidP="007C5949">
            <w:pPr>
              <w:pStyle w:val="Heading1"/>
              <w:rPr>
                <w:rStyle w:val="BookTitle"/>
                <w:rFonts w:ascii="Times New Roman" w:eastAsia="Arial Unicode MS" w:hAnsi="Times New Roman"/>
                <w:sz w:val="24"/>
                <w:szCs w:val="24"/>
                <w:u w:val="single"/>
              </w:rPr>
            </w:pPr>
            <w:r w:rsidRPr="00E85005">
              <w:rPr>
                <w:rStyle w:val="FontStyle23"/>
                <w:rFonts w:ascii="Times New Roman" w:hAnsi="Times New Roman" w:cs="Times New Roman"/>
                <w:sz w:val="24"/>
                <w:szCs w:val="24"/>
              </w:rPr>
              <w:br w:type="page"/>
            </w:r>
            <w:r w:rsidRPr="00E85005">
              <w:rPr>
                <w:rStyle w:val="BookTitle"/>
                <w:rFonts w:ascii="Times New Roman" w:eastAsia="Arial Unicode MS" w:hAnsi="Times New Roman"/>
                <w:sz w:val="24"/>
                <w:szCs w:val="24"/>
                <w:u w:val="single"/>
              </w:rPr>
              <w:t>Annexe 1 – Fiche de données sur l’étendue des services</w:t>
            </w: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En se fondant sur les études préliminaires de délimitation du périmètre d'application et des informations recueillies auprès des entités déclarantes, le Groupe multipartite propose à titre indicatif, le périmètre d'application suivant pour l’ITIE, qui doit être révisé et confirmé avec l’administrateur indépendant pendant la période initiale.</w:t>
            </w:r>
          </w:p>
          <w:p w:rsidR="00FB6671" w:rsidRPr="00E85005" w:rsidRDefault="00FB6671" w:rsidP="00FB6671">
            <w:pPr>
              <w:numPr>
                <w:ilvl w:val="0"/>
                <w:numId w:val="40"/>
              </w:numPr>
              <w:shd w:val="clear" w:color="auto" w:fill="FFFFFF"/>
              <w:tabs>
                <w:tab w:val="left" w:pos="426"/>
                <w:tab w:val="left" w:pos="709"/>
              </w:tabs>
              <w:spacing w:before="240" w:after="240"/>
              <w:jc w:val="both"/>
              <w:rPr>
                <w:rStyle w:val="BookTitle"/>
                <w:rFonts w:eastAsia="Arial Unicode MS"/>
                <w:szCs w:val="24"/>
                <w:u w:val="single"/>
              </w:rPr>
            </w:pPr>
            <w:r w:rsidRPr="00E85005">
              <w:rPr>
                <w:rStyle w:val="BookTitle"/>
                <w:rFonts w:eastAsia="Arial Unicode MS"/>
                <w:szCs w:val="24"/>
                <w:u w:val="single"/>
              </w:rPr>
              <w:t xml:space="preserve">Informations contextuelles </w:t>
            </w: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est chargé de regrouper les informations conformément à l’Exigence  de l’ITIE n°3.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68"/>
            </w:tblGrid>
            <w:tr w:rsidR="00FB6671" w:rsidRPr="00E85005" w:rsidTr="007C5949">
              <w:tc>
                <w:tcPr>
                  <w:tcW w:w="4219" w:type="dxa"/>
                  <w:shd w:val="clear" w:color="auto" w:fill="D9D9D9"/>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Informations contextuelles à fournir dans le rapport ITIE </w:t>
                  </w:r>
                </w:p>
              </w:tc>
              <w:tc>
                <w:tcPr>
                  <w:tcW w:w="5068" w:type="dxa"/>
                  <w:shd w:val="clear" w:color="auto" w:fill="D9D9D9"/>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Commentaires sur le travail à entreprendre par l’administrateur indépendant</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Description du cadre juridique et du régime fiscal applicable aux industries extractives (Exigence n°3.2), et en particulier des lois ayant traits aux informations divulguées dans le rapport ITIE</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analysera les documents régissant le cadre juridique et règlementaire des flux financiers au niveau de toutes les agences gouvernementales percevant des recettes auprès des industries extractives.</w:t>
                  </w:r>
                </w:p>
              </w:tc>
            </w:tr>
            <w:tr w:rsidR="00FB6671" w:rsidRPr="00E85005" w:rsidTr="00350740">
              <w:trPr>
                <w:trHeight w:val="1284"/>
              </w:trPr>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Vue d’ensemble des industries extractives, y compris de toute activité importante de prospection (Exigence n°3.3)</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tiendra compte de toutes les entreprises en exploration ou en exploitation conformément aux répertoires miniers, pétrolier et des nappes souterraines disponibles dans les directions respectives.</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autoSpaceDE w:val="0"/>
                    <w:autoSpaceDN w:val="0"/>
                    <w:adjustRightInd w:val="0"/>
                    <w:suppressOverlap/>
                    <w:jc w:val="both"/>
                    <w:rPr>
                      <w:rStyle w:val="FontStyle23"/>
                      <w:rFonts w:ascii="Times New Roman" w:cs="Times New Roman"/>
                      <w:sz w:val="24"/>
                      <w:szCs w:val="24"/>
                    </w:rPr>
                  </w:pPr>
                  <w:r w:rsidRPr="00E85005">
                    <w:rPr>
                      <w:rStyle w:val="FontStyle23"/>
                      <w:rFonts w:ascii="Times New Roman" w:cs="Times New Roman"/>
                      <w:sz w:val="24"/>
                      <w:szCs w:val="24"/>
                    </w:rPr>
                    <w:t>Lorsqu’elles sont disponibles, informations sur la contribution des industries extractives à l’économie pour l’exercice fiscal couvert par le rapport ITIE (Exigence n°3.4)</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L’administrateur indépendant collectera ces  informations qui sont disponibles auprès de la Direction Générale de la Statistique et de la Comptabilité Nationale, de la Direction de l’Economie, du Budget, de la Banque Centrale </w:t>
                  </w:r>
                  <w:r w:rsidRPr="00E85005">
                    <w:rPr>
                      <w:rStyle w:val="FontStyle23"/>
                      <w:rFonts w:ascii="Times New Roman" w:cs="Times New Roman"/>
                      <w:sz w:val="24"/>
                      <w:szCs w:val="24"/>
                    </w:rPr>
                    <w:lastRenderedPageBreak/>
                    <w:t>des Etats de l’Afrique de l’Ouest (BCEAO) ou de toute autre institution internationale, telle que la Banque Mondiale et autres.</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lastRenderedPageBreak/>
                    <w:t>Données de production pour l’exercice fiscal couvert par le rapport ITIE (Exigence n°3.5)</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La mission de l’administrateur indépendant portera sur les données des années 2012 et 2013</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Informations concernant la participation de l’État aux industries extractives (Exigence n°3.6)</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collectera ces informations auprès de la Direction Générale des Mines et de la Géologie (DGMG) ou autres institutions</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Distribution des revenus en provenance des industries extractives (Exigence n°3.7)</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Informations à rechercher auprès de la Direction Générale du Trésor et de la Comptabilité Publique  (DGTCP) et de la DGMG, et à la DGI (OTR).</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Toutes informations supplémentaires requises par le Groupe multipartite sur la gestion des revenus et des dépenses (Exigence n°3.8)</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Par  le  Groupe Multipartite</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Informations sur le processus et le registre des licences (Exigence n°3.9) et sur l’octroi des licences (Exigence n°3.10)</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L’administrateur indépendant collectera ces informations auprès de la DGMG, DE, ANGE, DGH, Direction de l’EAU et des entreprises</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Toutes informations requises par le Groupe multipartite sur la propriété réelle (Exigence n°3.11)</w:t>
                  </w:r>
                </w:p>
              </w:tc>
              <w:tc>
                <w:tcPr>
                  <w:tcW w:w="5068" w:type="dxa"/>
                  <w:shd w:val="clear" w:color="auto" w:fill="auto"/>
                </w:tcPr>
                <w:p w:rsidR="00FB6671" w:rsidRPr="00E85005" w:rsidRDefault="00FB6671" w:rsidP="007400CA">
                  <w:pPr>
                    <w:framePr w:hSpace="141" w:wrap="around" w:vAnchor="page" w:hAnchor="margin" w:y="416"/>
                    <w:tabs>
                      <w:tab w:val="left" w:pos="1470"/>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Information à collecter auprès des entreprises.</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Toutes informations requises par le Groupe multipartite sur les contrats (Exigence n°3.12)</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Information à recueillir à la DGMG (MME), et les entreprises</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r w:rsidRPr="00E85005">
                    <w:rPr>
                      <w:rStyle w:val="FontStyle23"/>
                      <w:rFonts w:ascii="Times New Roman" w:cs="Times New Roman"/>
                      <w:sz w:val="24"/>
                      <w:szCs w:val="24"/>
                    </w:rPr>
                    <w:t>Autres informations</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120" w:after="120" w:line="240" w:lineRule="exact"/>
                    <w:suppressOverlap/>
                    <w:jc w:val="both"/>
                    <w:rPr>
                      <w:rStyle w:val="FontStyle23"/>
                      <w:rFonts w:ascii="Times New Roman" w:cs="Times New Roman"/>
                      <w:sz w:val="24"/>
                      <w:szCs w:val="24"/>
                    </w:rPr>
                  </w:pPr>
                </w:p>
              </w:tc>
            </w:tr>
          </w:tbl>
          <w:p w:rsidR="00A7249C" w:rsidRDefault="00FB6671" w:rsidP="00A7249C">
            <w:pPr>
              <w:numPr>
                <w:ilvl w:val="0"/>
                <w:numId w:val="40"/>
              </w:numPr>
              <w:shd w:val="clear" w:color="auto" w:fill="FFFFFF"/>
              <w:tabs>
                <w:tab w:val="left" w:pos="426"/>
                <w:tab w:val="left" w:pos="709"/>
              </w:tabs>
              <w:spacing w:before="240" w:after="240"/>
              <w:jc w:val="both"/>
              <w:rPr>
                <w:rStyle w:val="BookTitle"/>
                <w:rFonts w:eastAsia="Arial Unicode MS"/>
                <w:szCs w:val="24"/>
                <w:u w:val="single"/>
              </w:rPr>
            </w:pPr>
            <w:r w:rsidRPr="00A7249C">
              <w:rPr>
                <w:rStyle w:val="BookTitle"/>
                <w:rFonts w:eastAsia="Arial Unicode MS"/>
                <w:szCs w:val="24"/>
                <w:u w:val="single"/>
              </w:rPr>
              <w:t xml:space="preserve">Impôts et revenus qui doivent être inclus dans le rapport ITIE </w:t>
            </w:r>
          </w:p>
          <w:p w:rsidR="00FB6671" w:rsidRPr="00A7249C" w:rsidRDefault="00FB6671" w:rsidP="00A7249C">
            <w:pPr>
              <w:shd w:val="clear" w:color="auto" w:fill="FFFFFF"/>
              <w:tabs>
                <w:tab w:val="left" w:pos="426"/>
                <w:tab w:val="left" w:pos="709"/>
              </w:tabs>
              <w:spacing w:before="240" w:after="240"/>
              <w:ind w:left="720"/>
              <w:jc w:val="both"/>
              <w:rPr>
                <w:rStyle w:val="FontStyle23"/>
                <w:rFonts w:ascii="Times New Roman" w:cs="Times New Roman"/>
                <w:b/>
                <w:bCs/>
                <w:smallCaps/>
                <w:color w:val="auto"/>
                <w:spacing w:val="5"/>
                <w:sz w:val="24"/>
                <w:szCs w:val="24"/>
                <w:u w:val="single"/>
              </w:rPr>
            </w:pPr>
            <w:r w:rsidRPr="00A7249C">
              <w:rPr>
                <w:rStyle w:val="FontStyle23"/>
                <w:rFonts w:ascii="Times New Roman" w:cs="Times New Roman"/>
                <w:sz w:val="24"/>
                <w:szCs w:val="24"/>
              </w:rPr>
              <w:t>Liste des impôts et revenus à titre indicatif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4"/>
            </w:tblGrid>
            <w:tr w:rsidR="00FB6671" w:rsidRPr="00E85005" w:rsidTr="00A7249C">
              <w:trPr>
                <w:trHeight w:val="777"/>
              </w:trPr>
              <w:tc>
                <w:tcPr>
                  <w:tcW w:w="4390" w:type="dxa"/>
                  <w:shd w:val="clear" w:color="auto" w:fill="D9D9D9"/>
                  <w:vAlign w:val="center"/>
                </w:tcPr>
                <w:p w:rsidR="00FB6671" w:rsidRPr="00A7249C"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b/>
                      <w:sz w:val="22"/>
                      <w:szCs w:val="22"/>
                    </w:rPr>
                  </w:pPr>
                  <w:r w:rsidRPr="00A7249C">
                    <w:rPr>
                      <w:rStyle w:val="FontStyle23"/>
                      <w:rFonts w:ascii="Times New Roman" w:cs="Times New Roman"/>
                      <w:b/>
                      <w:sz w:val="22"/>
                      <w:szCs w:val="22"/>
                    </w:rPr>
                    <w:t>Flux financier et économique</w:t>
                  </w:r>
                </w:p>
              </w:tc>
              <w:tc>
                <w:tcPr>
                  <w:tcW w:w="5244" w:type="dxa"/>
                  <w:shd w:val="clear" w:color="auto" w:fill="D9D9D9"/>
                  <w:vAlign w:val="center"/>
                </w:tcPr>
                <w:p w:rsidR="00FB6671" w:rsidRPr="00A7249C"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b/>
                      <w:sz w:val="22"/>
                      <w:szCs w:val="22"/>
                    </w:rPr>
                  </w:pPr>
                  <w:r w:rsidRPr="00A7249C">
                    <w:rPr>
                      <w:rStyle w:val="FontStyle23"/>
                      <w:rFonts w:ascii="Times New Roman" w:cs="Times New Roman"/>
                      <w:b/>
                      <w:sz w:val="22"/>
                      <w:szCs w:val="22"/>
                    </w:rPr>
                    <w:t xml:space="preserve">Commentaires sur le travail à entreprendre par l’administrateur indépendant </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Redevance proportionnelle à la production</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Définir le cadre légal et le régime fiscal auxquels se rapporte le flux. Décrire un aperçu des lois et de la réglementation et aussi les informations sur les rôles et les responsabilités des entités de l’Etat. (exigence 3.2 (a et b))   </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Bonus de signature</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lastRenderedPageBreak/>
                    <w:t>Bonus de production</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Idem (exigence 3.2 (a et b)) </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Prélèvement pétrolier additionnel</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Frais d’instruction du dossier</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Droits fixes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Redevances </w:t>
                  </w:r>
                  <w:proofErr w:type="spellStart"/>
                  <w:r w:rsidRPr="00E85005">
                    <w:rPr>
                      <w:rStyle w:val="FontStyle23"/>
                      <w:rFonts w:ascii="Times New Roman" w:cs="Times New Roman"/>
                      <w:sz w:val="24"/>
                      <w:szCs w:val="24"/>
                    </w:rPr>
                    <w:t>superficiaires</w:t>
                  </w:r>
                  <w:proofErr w:type="spellEnd"/>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Redevances Minières (Royalties)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Dividendes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Avance sur dividende </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sur la commercialisation des pierres et substances précieuses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Idem (exigence 3.2 (a et b)) </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de prélèvement d’eau dans la nappe</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Impôt Minimum forfaitaire (IMF)</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Impôt sur les Sociétés (IS)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Impôt sur le Revenu des capitaux Mobiliers (IRCM)</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professionnelle (TP)</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foncière (TF)</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Impôt sur le Revenu des Personnes Physiques (IRPP)</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sur Salaire (TS)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lastRenderedPageBreak/>
                    <w:t>Taxe complémentaire sur Salaire (TCS)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sur la Valeur Ajoutée (TVA)</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d’Enlèvement d’Ordure (TEO)</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Retenue sur prestation de service (RSPS)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Prélèvement IRBIC-IRPP (Retenue à la source)</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Retenue sur le Loyer (RSL)</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Redressements fiscaux et pénalités payés à la DGI</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Droit de Douane (DD-RS-PCS-PC-RI et autres)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sur la valeur Ajouté (TVA) au cordon Douanier</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sur la délivrance de conformité environnementale</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Certificat de régularisation environnementale</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Idem (exigence 3.2 (a et b)) </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d’autorisation d’embauche</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Cotisations sociales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Paiements au fonds spécial d’électrification (FSE)</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Idem (exigence 3.2 (a et b)) </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Paiements directs aux communes et aux préfectures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lastRenderedPageBreak/>
                    <w:t>Ristournes perçues par les communautés des sites miniers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Transferts et projets sociaux</w:t>
                  </w:r>
                </w:p>
              </w:tc>
              <w:tc>
                <w:tcPr>
                  <w:tcW w:w="5244" w:type="dxa"/>
                  <w:shd w:val="clear" w:color="auto" w:fill="auto"/>
                </w:tcPr>
                <w:p w:rsidR="00FB6671" w:rsidRPr="00E85005" w:rsidRDefault="00FB6671" w:rsidP="007400CA">
                  <w:pPr>
                    <w:framePr w:hSpace="141" w:wrap="around" w:vAnchor="page" w:hAnchor="margin" w:y="416"/>
                    <w:suppressOverlap/>
                    <w:rPr>
                      <w:rStyle w:val="FontStyle23"/>
                      <w:rFonts w:ascii="Times New Roman" w:cs="Times New Roman"/>
                      <w:sz w:val="24"/>
                      <w:szCs w:val="24"/>
                    </w:rPr>
                  </w:pPr>
                </w:p>
                <w:p w:rsidR="00FB6671" w:rsidRPr="00E85005" w:rsidRDefault="00FB6671" w:rsidP="007400CA">
                  <w:pPr>
                    <w:framePr w:hSpace="141" w:wrap="around" w:vAnchor="page" w:hAnchor="margin" w:y="416"/>
                    <w:suppressOverlap/>
                    <w:rPr>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Droits d’Enregistrement </w:t>
                  </w:r>
                </w:p>
              </w:tc>
              <w:tc>
                <w:tcPr>
                  <w:tcW w:w="5244" w:type="dxa"/>
                  <w:shd w:val="clear" w:color="auto" w:fill="auto"/>
                </w:tcPr>
                <w:p w:rsidR="00FB6671" w:rsidRPr="00E85005" w:rsidRDefault="00FB6671" w:rsidP="007400CA">
                  <w:pPr>
                    <w:framePr w:hSpace="141" w:wrap="around" w:vAnchor="page" w:hAnchor="margin" w:y="416"/>
                    <w:suppressOverlap/>
                    <w:rPr>
                      <w:rStyle w:val="FontStyle23"/>
                      <w:rFonts w:ascii="Times New Roman" w:cs="Times New Roman"/>
                      <w:sz w:val="24"/>
                      <w:szCs w:val="24"/>
                    </w:rPr>
                  </w:pPr>
                </w:p>
                <w:p w:rsidR="00FB6671" w:rsidRPr="00E85005" w:rsidRDefault="00FB6671" w:rsidP="007400CA">
                  <w:pPr>
                    <w:framePr w:hSpace="141" w:wrap="around" w:vAnchor="page" w:hAnchor="margin" w:y="416"/>
                    <w:suppressOverlap/>
                    <w:rPr>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Taxes de Visa des contrats des étrangers</w:t>
                  </w:r>
                </w:p>
              </w:tc>
              <w:tc>
                <w:tcPr>
                  <w:tcW w:w="5244" w:type="dxa"/>
                  <w:shd w:val="clear" w:color="auto" w:fill="auto"/>
                </w:tcPr>
                <w:p w:rsidR="00FB6671" w:rsidRPr="00E85005" w:rsidRDefault="00FB6671" w:rsidP="007400CA">
                  <w:pPr>
                    <w:framePr w:hSpace="141" w:wrap="around" w:vAnchor="page" w:hAnchor="margin" w:y="416"/>
                    <w:suppressOverlap/>
                    <w:rPr>
                      <w:rStyle w:val="FontStyle23"/>
                      <w:rFonts w:ascii="Times New Roman" w:cs="Times New Roman"/>
                      <w:sz w:val="24"/>
                      <w:szCs w:val="24"/>
                    </w:rPr>
                  </w:pPr>
                </w:p>
                <w:p w:rsidR="00FB6671" w:rsidRPr="00E85005" w:rsidRDefault="00FB6671" w:rsidP="007400CA">
                  <w:pPr>
                    <w:framePr w:hSpace="141" w:wrap="around" w:vAnchor="page" w:hAnchor="margin" w:y="416"/>
                    <w:suppressOverlap/>
                    <w:rPr>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Frais d’Etude et de Visa des règlements intérieurs</w:t>
                  </w:r>
                </w:p>
              </w:tc>
              <w:tc>
                <w:tcPr>
                  <w:tcW w:w="5244" w:type="dxa"/>
                  <w:shd w:val="clear" w:color="auto" w:fill="auto"/>
                </w:tcPr>
                <w:p w:rsidR="00FB6671" w:rsidRPr="00E85005" w:rsidRDefault="00FB6671" w:rsidP="007400CA">
                  <w:pPr>
                    <w:framePr w:hSpace="141" w:wrap="around" w:vAnchor="page" w:hAnchor="margin" w:y="416"/>
                    <w:suppressOverlap/>
                    <w:rPr>
                      <w:rStyle w:val="FontStyle23"/>
                      <w:rFonts w:ascii="Times New Roman" w:cs="Times New Roman"/>
                      <w:sz w:val="24"/>
                      <w:szCs w:val="24"/>
                    </w:rPr>
                  </w:pPr>
                </w:p>
                <w:p w:rsidR="00FB6671" w:rsidRPr="00E85005" w:rsidRDefault="00FB6671" w:rsidP="007400CA">
                  <w:pPr>
                    <w:framePr w:hSpace="141" w:wrap="around" w:vAnchor="page" w:hAnchor="margin" w:y="416"/>
                    <w:suppressOverlap/>
                    <w:rPr>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Frais d’attestation de paiement de créance de salaire</w:t>
                  </w:r>
                </w:p>
              </w:tc>
              <w:tc>
                <w:tcPr>
                  <w:tcW w:w="5244" w:type="dxa"/>
                  <w:shd w:val="clear" w:color="auto" w:fill="auto"/>
                </w:tcPr>
                <w:p w:rsidR="00FB6671" w:rsidRPr="00E85005" w:rsidRDefault="00FB6671" w:rsidP="007400CA">
                  <w:pPr>
                    <w:framePr w:hSpace="141" w:wrap="around" w:vAnchor="page" w:hAnchor="margin" w:y="416"/>
                    <w:suppressOverlap/>
                    <w:rPr>
                      <w:rStyle w:val="FontStyle23"/>
                      <w:rFonts w:ascii="Times New Roman" w:cs="Times New Roman"/>
                      <w:sz w:val="24"/>
                      <w:szCs w:val="24"/>
                    </w:rPr>
                  </w:pPr>
                </w:p>
                <w:p w:rsidR="00FB6671" w:rsidRPr="00E85005" w:rsidRDefault="00FB6671" w:rsidP="007400CA">
                  <w:pPr>
                    <w:framePr w:hSpace="141" w:wrap="around" w:vAnchor="page" w:hAnchor="margin" w:y="416"/>
                    <w:suppressOverlap/>
                    <w:rPr>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Frais de certification de la qualité de documents.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de visa des contrats d’apprentissages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Droits de consommation/ droit d’Assise (ADACS)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Taxe sur la fabrication et la commercialisation des boissons (TSFCB)</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Prise en charge des dépenses au titre d’un voyage ou autres d’une Autorité quelconque.</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Contribution au développement (loi du 05 Mai)</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Contribution au processus ITIE</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Dons aux Fondations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Paiements sociaux</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lastRenderedPageBreak/>
                    <w:t>Contributions Volontaires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p>
              </w:tc>
            </w:tr>
            <w:tr w:rsidR="00BA1B91" w:rsidRPr="00E85005" w:rsidTr="00A7249C">
              <w:tc>
                <w:tcPr>
                  <w:tcW w:w="4390" w:type="dxa"/>
                  <w:shd w:val="clear" w:color="auto" w:fill="auto"/>
                </w:tcPr>
                <w:p w:rsidR="00BA1B91" w:rsidRPr="00E85005" w:rsidRDefault="00BA1B9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Pr>
                      <w:rStyle w:val="FontStyle23"/>
                      <w:rFonts w:ascii="Times New Roman" w:cs="Times New Roman"/>
                      <w:sz w:val="24"/>
                      <w:szCs w:val="24"/>
                    </w:rPr>
                    <w:t>Paiement à la DGMD</w:t>
                  </w:r>
                </w:p>
              </w:tc>
              <w:tc>
                <w:tcPr>
                  <w:tcW w:w="5244" w:type="dxa"/>
                  <w:shd w:val="clear" w:color="auto" w:fill="auto"/>
                </w:tcPr>
                <w:p w:rsidR="00BA1B91" w:rsidRPr="00E85005" w:rsidRDefault="000F5122"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Idem (exigence 3.2 (a et b))</w:t>
                  </w:r>
                  <w:r>
                    <w:rPr>
                      <w:rStyle w:val="FontStyle23"/>
                      <w:rFonts w:ascii="Times New Roman" w:cs="Times New Roman"/>
                      <w:sz w:val="24"/>
                      <w:szCs w:val="24"/>
                    </w:rPr>
                    <w:t xml:space="preserve"> </w:t>
                  </w:r>
                </w:p>
              </w:tc>
            </w:tr>
            <w:tr w:rsidR="00FB6671" w:rsidRPr="00E85005" w:rsidTr="00A7249C">
              <w:tc>
                <w:tcPr>
                  <w:tcW w:w="4390"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Autres versements</w:t>
                  </w:r>
                </w:p>
              </w:tc>
              <w:tc>
                <w:tcPr>
                  <w:tcW w:w="5244"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Idem (exigence 3.2 (a et b)) </w:t>
                  </w:r>
                </w:p>
              </w:tc>
            </w:tr>
          </w:tbl>
          <w:p w:rsidR="00FB6671" w:rsidRPr="00E85005" w:rsidRDefault="00FB6671" w:rsidP="00FB6671">
            <w:pPr>
              <w:numPr>
                <w:ilvl w:val="0"/>
                <w:numId w:val="40"/>
              </w:num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BookTitle"/>
                <w:rFonts w:eastAsia="Arial Unicode MS"/>
                <w:szCs w:val="24"/>
                <w:u w:val="single"/>
              </w:rPr>
              <w:t>Liste des entités déclarantes (entreprises et agences gouvernementales</w:t>
            </w:r>
            <w:r w:rsidRPr="00E85005">
              <w:rPr>
                <w:rStyle w:val="FontStyle23"/>
                <w:rFonts w:ascii="Times New Roman" w:cs="Times New Roman"/>
                <w:sz w:val="24"/>
                <w:szCs w:val="24"/>
              </w:rPr>
              <w:t>)</w:t>
            </w:r>
          </w:p>
          <w:p w:rsidR="00FB6671" w:rsidRPr="00E85005" w:rsidRDefault="00FB6671" w:rsidP="00FB6671">
            <w:pPr>
              <w:pStyle w:val="ListParagraph"/>
              <w:numPr>
                <w:ilvl w:val="0"/>
                <w:numId w:val="41"/>
              </w:numPr>
              <w:shd w:val="clear" w:color="auto" w:fill="FFFFFF"/>
              <w:tabs>
                <w:tab w:val="left" w:pos="426"/>
                <w:tab w:val="left" w:pos="709"/>
              </w:tabs>
              <w:spacing w:before="240" w:after="240"/>
              <w:jc w:val="both"/>
              <w:rPr>
                <w:rStyle w:val="FontStyle23"/>
                <w:rFonts w:ascii="Times New Roman" w:hAnsi="Times New Roman" w:cs="Times New Roman"/>
                <w:b/>
                <w:sz w:val="24"/>
                <w:szCs w:val="24"/>
              </w:rPr>
            </w:pPr>
            <w:r w:rsidRPr="00E85005">
              <w:rPr>
                <w:rStyle w:val="FontStyle23"/>
                <w:rFonts w:ascii="Times New Roman" w:hAnsi="Times New Roman" w:cs="Times New Roman"/>
                <w:b/>
                <w:sz w:val="24"/>
                <w:szCs w:val="24"/>
              </w:rPr>
              <w:t>ENTREPRISES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ENI Togo (pétrole)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SNPT  (phosphate)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WEST AFRICAN CEMENT SA (calcaire)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lang w:val="en-US"/>
              </w:rPr>
            </w:pPr>
            <w:r w:rsidRPr="00E85005">
              <w:rPr>
                <w:rStyle w:val="FontStyle23"/>
                <w:rFonts w:ascii="Times New Roman" w:hAnsi="Times New Roman" w:cs="Times New Roman"/>
                <w:sz w:val="24"/>
                <w:szCs w:val="24"/>
                <w:lang w:val="en-US"/>
              </w:rPr>
              <w:t>MM Mining (</w:t>
            </w:r>
            <w:proofErr w:type="spellStart"/>
            <w:r w:rsidRPr="00E85005">
              <w:rPr>
                <w:rStyle w:val="FontStyle23"/>
                <w:rFonts w:ascii="Times New Roman" w:hAnsi="Times New Roman" w:cs="Times New Roman"/>
                <w:sz w:val="24"/>
                <w:szCs w:val="24"/>
                <w:lang w:val="en-US"/>
              </w:rPr>
              <w:t>fer</w:t>
            </w:r>
            <w:proofErr w:type="spellEnd"/>
            <w:r w:rsidRPr="00E85005">
              <w:rPr>
                <w:rStyle w:val="FontStyle23"/>
                <w:rFonts w:ascii="Times New Roman" w:hAnsi="Times New Roman" w:cs="Times New Roman"/>
                <w:sz w:val="24"/>
                <w:szCs w:val="24"/>
                <w:lang w:val="en-US"/>
              </w:rPr>
              <w:t>)</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lang w:val="en-US"/>
              </w:rPr>
            </w:pPr>
            <w:r w:rsidRPr="00E85005">
              <w:rPr>
                <w:rStyle w:val="FontStyle23"/>
                <w:rFonts w:ascii="Times New Roman" w:hAnsi="Times New Roman" w:cs="Times New Roman"/>
                <w:sz w:val="24"/>
                <w:szCs w:val="24"/>
              </w:rPr>
              <w:t>SCANTOGO Mines SA (calcaire)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lang w:val="en-US"/>
              </w:rPr>
            </w:pPr>
            <w:r w:rsidRPr="00E85005">
              <w:rPr>
                <w:rStyle w:val="FontStyle23"/>
                <w:rFonts w:ascii="Times New Roman" w:hAnsi="Times New Roman" w:cs="Times New Roman"/>
                <w:sz w:val="24"/>
                <w:szCs w:val="24"/>
              </w:rPr>
              <w:t>POMAR TOGO SA   (marbre)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lang w:val="en-US"/>
              </w:rPr>
            </w:pPr>
            <w:r w:rsidRPr="00E85005">
              <w:rPr>
                <w:rStyle w:val="FontStyle23"/>
                <w:rFonts w:ascii="Times New Roman" w:hAnsi="Times New Roman" w:cs="Times New Roman"/>
                <w:sz w:val="24"/>
                <w:szCs w:val="24"/>
              </w:rPr>
              <w:t>VOLTIC  (eau)</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BRASSERIE BB Lomé Eau Vitale (eau)</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Horizon Oxygène Clever  (eau)</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Cristal (eau)</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Société Togolaise des Eaux TdE (eau)</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Etablissement BLESS (Eau)</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lang w:val="en-US"/>
              </w:rPr>
              <w:t>TOGO RAIL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Togo Carrière </w:t>
            </w:r>
            <w:r w:rsidRPr="00E85005">
              <w:rPr>
                <w:rStyle w:val="FontStyle23"/>
                <w:rFonts w:ascii="Times New Roman" w:hAnsi="Times New Roman" w:cs="Times New Roman"/>
                <w:sz w:val="24"/>
                <w:szCs w:val="24"/>
                <w:lang w:val="en-US"/>
              </w:rPr>
              <w:t xml:space="preserve"> (</w:t>
            </w:r>
            <w:proofErr w:type="spellStart"/>
            <w:r w:rsidRPr="00E85005">
              <w:rPr>
                <w:rStyle w:val="FontStyle23"/>
                <w:rFonts w:ascii="Times New Roman" w:hAnsi="Times New Roman" w:cs="Times New Roman"/>
                <w:sz w:val="24"/>
                <w:szCs w:val="24"/>
                <w:lang w:val="en-US"/>
              </w:rPr>
              <w:t>migmatite</w:t>
            </w:r>
            <w:proofErr w:type="spellEnd"/>
            <w:r w:rsidRPr="00E85005">
              <w:rPr>
                <w:rStyle w:val="FontStyle23"/>
                <w:rFonts w:ascii="Times New Roman" w:hAnsi="Times New Roman" w:cs="Times New Roman"/>
                <w:sz w:val="24"/>
                <w:szCs w:val="24"/>
                <w:lang w:val="en-US"/>
              </w:rPr>
              <w:t>)</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COLAS AFRIQUE SUCCURSALE DU TOGO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ENCOTRAN  (gneiss et sable </w:t>
            </w:r>
            <w:proofErr w:type="spellStart"/>
            <w:r w:rsidRPr="00E85005">
              <w:rPr>
                <w:rStyle w:val="FontStyle23"/>
                <w:rFonts w:ascii="Times New Roman" w:hAnsi="Times New Roman" w:cs="Times New Roman"/>
                <w:sz w:val="24"/>
                <w:szCs w:val="24"/>
              </w:rPr>
              <w:t>siliteux</w:t>
            </w:r>
            <w:proofErr w:type="spellEnd"/>
            <w:r w:rsidRPr="00E85005">
              <w:rPr>
                <w:rStyle w:val="FontStyle23"/>
                <w:rFonts w:ascii="Times New Roman" w:hAnsi="Times New Roman" w:cs="Times New Roman"/>
                <w:sz w:val="24"/>
                <w:szCs w:val="24"/>
              </w:rPr>
              <w:t xml:space="preserve">) </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Les AIGLES (gravier concassé)</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CEMAT industrie (migmatite)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INOVA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EBOMAF (gneiss, granite et sable)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lastRenderedPageBreak/>
              <w:t>Etoile du Golfe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Togolaise de Grands </w:t>
            </w:r>
            <w:proofErr w:type="spellStart"/>
            <w:r w:rsidRPr="00E85005">
              <w:rPr>
                <w:rStyle w:val="FontStyle23"/>
                <w:rFonts w:ascii="Times New Roman" w:hAnsi="Times New Roman" w:cs="Times New Roman"/>
                <w:sz w:val="24"/>
                <w:szCs w:val="24"/>
              </w:rPr>
              <w:t>Caous</w:t>
            </w:r>
            <w:proofErr w:type="spellEnd"/>
            <w:r w:rsidRPr="00E85005">
              <w:rPr>
                <w:rStyle w:val="FontStyle23"/>
                <w:rFonts w:ascii="Times New Roman" w:hAnsi="Times New Roman" w:cs="Times New Roman"/>
                <w:sz w:val="24"/>
                <w:szCs w:val="24"/>
              </w:rPr>
              <w:t xml:space="preserve"> (TGC) SA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Granutogo  (dolomies)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lang w:val="en-US"/>
              </w:rPr>
            </w:pPr>
            <w:r w:rsidRPr="00E85005">
              <w:rPr>
                <w:rStyle w:val="FontStyle23"/>
                <w:rFonts w:ascii="Times New Roman" w:hAnsi="Times New Roman" w:cs="Times New Roman"/>
                <w:sz w:val="24"/>
                <w:szCs w:val="24"/>
                <w:lang w:val="en-US"/>
              </w:rPr>
              <w:t>G&amp;B African Resources (phosphate, uranium)</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lang w:val="en-US"/>
              </w:rPr>
              <w:t>REGENT RESOURCES CAPITAL CORPORATION RRCC (Zinc, nickel, uranium)</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Global Merchants (or, ilménite, monazite, marbre, grenat almadin, granite)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Société Générale des Mines SARL (manganèse)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Terra Métaux Rares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Société Togo OR SARL</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proofErr w:type="spellStart"/>
            <w:r w:rsidRPr="00E85005">
              <w:rPr>
                <w:rStyle w:val="FontStyle23"/>
                <w:rFonts w:ascii="Times New Roman" w:hAnsi="Times New Roman" w:cs="Times New Roman"/>
                <w:sz w:val="24"/>
                <w:szCs w:val="24"/>
              </w:rPr>
              <w:t>Servax</w:t>
            </w:r>
            <w:proofErr w:type="spellEnd"/>
            <w:r w:rsidRPr="00E85005">
              <w:rPr>
                <w:rStyle w:val="FontStyle23"/>
                <w:rFonts w:ascii="Times New Roman" w:hAnsi="Times New Roman" w:cs="Times New Roman"/>
                <w:sz w:val="24"/>
                <w:szCs w:val="24"/>
              </w:rPr>
              <w:t xml:space="preserve"> Groupe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GEO NATURAL Ressources SARL</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Option Transit</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Ets 3TR</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Ets Jésus Sauve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SILME- BTP SARL</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M. ATTIOGBE – ERNEST</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GTOA SARL</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lang w:val="en-US"/>
              </w:rPr>
              <w:t>PANAFRICAN GOLD CORPORATION (or)</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lang w:val="en-US"/>
              </w:rPr>
              <w:t>TECH-MINES (or)</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Société Africaine de Dragage SAD TOGO (sable lagunaire)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CRSSG TG SARLU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SATEM Sarlu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SNTC (concassage de gravier)</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SNCTCP  (concassage)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Société CARMAR (concassage de gravier)</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Société ADEOTI (concassage de gravier) </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DGMG (sable)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lastRenderedPageBreak/>
              <w:t>Société GEA pm SARLU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Société ALMACAR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STDM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CECO BTP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STII S.A. (sable </w:t>
            </w:r>
            <w:proofErr w:type="spellStart"/>
            <w:r w:rsidRPr="00E85005">
              <w:rPr>
                <w:rStyle w:val="FontStyle23"/>
                <w:rFonts w:ascii="Times New Roman" w:hAnsi="Times New Roman" w:cs="Times New Roman"/>
                <w:sz w:val="24"/>
                <w:szCs w:val="24"/>
              </w:rPr>
              <w:t>laguno</w:t>
            </w:r>
            <w:proofErr w:type="spellEnd"/>
            <w:r w:rsidRPr="00E85005">
              <w:rPr>
                <w:rStyle w:val="FontStyle23"/>
                <w:rFonts w:ascii="Times New Roman" w:hAnsi="Times New Roman" w:cs="Times New Roman"/>
                <w:sz w:val="24"/>
                <w:szCs w:val="24"/>
              </w:rPr>
              <w:t>-lacustre)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ALFO- GROUP (concassage de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ETS VICILA (sable)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GER TOGO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STG ADAISSO (concassage de migmatite)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TRANSXES SARL (sable, gravier et latérite)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SST SABLIERE (sable continentale)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PRO-SERVICES (sable)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ALZAMA et FILS SARL (or)</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MIDNIGH SUN (sable)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SONATRAC TOGO (carrière de sable)</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proofErr w:type="spellStart"/>
            <w:r w:rsidRPr="00E85005">
              <w:rPr>
                <w:rStyle w:val="FontStyle23"/>
                <w:rFonts w:ascii="Times New Roman" w:hAnsi="Times New Roman" w:cs="Times New Roman"/>
                <w:sz w:val="24"/>
                <w:szCs w:val="24"/>
              </w:rPr>
              <w:t>Godia</w:t>
            </w:r>
            <w:proofErr w:type="spellEnd"/>
            <w:r w:rsidRPr="00E85005">
              <w:rPr>
                <w:rStyle w:val="FontStyle23"/>
                <w:rFonts w:ascii="Times New Roman" w:hAnsi="Times New Roman" w:cs="Times New Roman"/>
                <w:sz w:val="24"/>
                <w:szCs w:val="24"/>
              </w:rPr>
              <w:t xml:space="preserve"> AFRIQUE (concassage de graviers)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SHEHU DAN FODIO (concassage de gneiss)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Eau </w:t>
            </w:r>
            <w:proofErr w:type="spellStart"/>
            <w:r w:rsidRPr="00E85005">
              <w:rPr>
                <w:rStyle w:val="FontStyle23"/>
                <w:rFonts w:ascii="Times New Roman" w:hAnsi="Times New Roman" w:cs="Times New Roman"/>
                <w:sz w:val="24"/>
                <w:szCs w:val="24"/>
              </w:rPr>
              <w:t>miral</w:t>
            </w:r>
            <w:proofErr w:type="spellEnd"/>
            <w:r w:rsidRPr="00E85005">
              <w:rPr>
                <w:rStyle w:val="FontStyle23"/>
                <w:rFonts w:ascii="Times New Roman" w:hAnsi="Times New Roman" w:cs="Times New Roman"/>
                <w:sz w:val="24"/>
                <w:szCs w:val="24"/>
              </w:rPr>
              <w:t xml:space="preserve"> </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Autres Sociétés</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color w:val="FF0000"/>
                <w:sz w:val="24"/>
                <w:szCs w:val="24"/>
              </w:rPr>
            </w:pPr>
            <w:proofErr w:type="spellStart"/>
            <w:r w:rsidRPr="00E85005">
              <w:rPr>
                <w:rStyle w:val="FontStyle23"/>
                <w:rFonts w:ascii="Times New Roman" w:hAnsi="Times New Roman" w:cs="Times New Roman"/>
                <w:color w:val="FF0000"/>
                <w:sz w:val="24"/>
                <w:szCs w:val="24"/>
                <w:lang w:val="en-US"/>
              </w:rPr>
              <w:t>Soltrans</w:t>
            </w:r>
            <w:proofErr w:type="spellEnd"/>
            <w:r w:rsidRPr="00E85005">
              <w:rPr>
                <w:rStyle w:val="FontStyle23"/>
                <w:rFonts w:ascii="Times New Roman" w:hAnsi="Times New Roman" w:cs="Times New Roman"/>
                <w:color w:val="FF0000"/>
                <w:sz w:val="24"/>
                <w:szCs w:val="24"/>
                <w:lang w:val="en-US"/>
              </w:rPr>
              <w:t xml:space="preserve"> (substance </w:t>
            </w:r>
            <w:proofErr w:type="spellStart"/>
            <w:r w:rsidRPr="00E85005">
              <w:rPr>
                <w:rStyle w:val="FontStyle23"/>
                <w:rFonts w:ascii="Times New Roman" w:hAnsi="Times New Roman" w:cs="Times New Roman"/>
                <w:color w:val="FF0000"/>
                <w:sz w:val="24"/>
                <w:szCs w:val="24"/>
                <w:lang w:val="en-US"/>
              </w:rPr>
              <w:t>minérale</w:t>
            </w:r>
            <w:proofErr w:type="spellEnd"/>
            <w:r w:rsidRPr="00E85005">
              <w:rPr>
                <w:rStyle w:val="FontStyle23"/>
                <w:rFonts w:ascii="Times New Roman" w:hAnsi="Times New Roman" w:cs="Times New Roman"/>
                <w:color w:val="FF0000"/>
                <w:sz w:val="24"/>
                <w:szCs w:val="24"/>
                <w:lang w:val="en-US"/>
              </w:rPr>
              <w:t xml:space="preserve"> </w:t>
            </w:r>
            <w:proofErr w:type="spellStart"/>
            <w:r w:rsidRPr="00E85005">
              <w:rPr>
                <w:rStyle w:val="FontStyle23"/>
                <w:rFonts w:ascii="Times New Roman" w:hAnsi="Times New Roman" w:cs="Times New Roman"/>
                <w:color w:val="FF0000"/>
                <w:sz w:val="24"/>
                <w:szCs w:val="24"/>
                <w:lang w:val="en-US"/>
              </w:rPr>
              <w:t>précieuse</w:t>
            </w:r>
            <w:proofErr w:type="spellEnd"/>
            <w:r w:rsidRPr="00E85005">
              <w:rPr>
                <w:rStyle w:val="FontStyle23"/>
                <w:rFonts w:ascii="Times New Roman" w:hAnsi="Times New Roman" w:cs="Times New Roman"/>
                <w:color w:val="FF0000"/>
                <w:sz w:val="24"/>
                <w:szCs w:val="24"/>
                <w:lang w:val="en-US"/>
              </w:rPr>
              <w:t>)</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color w:val="FF0000"/>
                <w:sz w:val="24"/>
                <w:szCs w:val="24"/>
              </w:rPr>
            </w:pPr>
            <w:proofErr w:type="spellStart"/>
            <w:r w:rsidRPr="00E85005">
              <w:rPr>
                <w:rStyle w:val="FontStyle23"/>
                <w:rFonts w:ascii="Times New Roman" w:hAnsi="Times New Roman" w:cs="Times New Roman"/>
                <w:color w:val="FF0000"/>
                <w:sz w:val="24"/>
                <w:szCs w:val="24"/>
                <w:lang w:val="en-US"/>
              </w:rPr>
              <w:t>Wafex</w:t>
            </w:r>
            <w:proofErr w:type="spellEnd"/>
            <w:r w:rsidRPr="00E85005">
              <w:rPr>
                <w:rStyle w:val="FontStyle23"/>
                <w:rFonts w:ascii="Times New Roman" w:hAnsi="Times New Roman" w:cs="Times New Roman"/>
                <w:color w:val="FF0000"/>
                <w:sz w:val="24"/>
                <w:szCs w:val="24"/>
                <w:lang w:val="en-US"/>
              </w:rPr>
              <w:t xml:space="preserve"> (substance </w:t>
            </w:r>
            <w:proofErr w:type="spellStart"/>
            <w:r w:rsidRPr="00E85005">
              <w:rPr>
                <w:rStyle w:val="FontStyle23"/>
                <w:rFonts w:ascii="Times New Roman" w:hAnsi="Times New Roman" w:cs="Times New Roman"/>
                <w:color w:val="FF0000"/>
                <w:sz w:val="24"/>
                <w:szCs w:val="24"/>
                <w:lang w:val="en-US"/>
              </w:rPr>
              <w:t>minérale</w:t>
            </w:r>
            <w:proofErr w:type="spellEnd"/>
            <w:r w:rsidRPr="00E85005">
              <w:rPr>
                <w:rStyle w:val="FontStyle23"/>
                <w:rFonts w:ascii="Times New Roman" w:hAnsi="Times New Roman" w:cs="Times New Roman"/>
                <w:color w:val="FF0000"/>
                <w:sz w:val="24"/>
                <w:szCs w:val="24"/>
                <w:lang w:val="en-US"/>
              </w:rPr>
              <w:t xml:space="preserve"> </w:t>
            </w:r>
            <w:proofErr w:type="spellStart"/>
            <w:r w:rsidRPr="00E85005">
              <w:rPr>
                <w:rStyle w:val="FontStyle23"/>
                <w:rFonts w:ascii="Times New Roman" w:hAnsi="Times New Roman" w:cs="Times New Roman"/>
                <w:color w:val="FF0000"/>
                <w:sz w:val="24"/>
                <w:szCs w:val="24"/>
                <w:lang w:val="en-US"/>
              </w:rPr>
              <w:t>précieuse</w:t>
            </w:r>
            <w:proofErr w:type="spellEnd"/>
            <w:r w:rsidRPr="00E85005">
              <w:rPr>
                <w:rStyle w:val="FontStyle23"/>
                <w:rFonts w:ascii="Times New Roman" w:hAnsi="Times New Roman" w:cs="Times New Roman"/>
                <w:color w:val="FF0000"/>
                <w:sz w:val="24"/>
                <w:szCs w:val="24"/>
                <w:lang w:val="en-US"/>
              </w:rPr>
              <w:t>)</w:t>
            </w:r>
          </w:p>
          <w:p w:rsidR="00FB6671" w:rsidRPr="00E85005" w:rsidRDefault="00FB6671" w:rsidP="00FB6671">
            <w:pPr>
              <w:pStyle w:val="ListParagraph"/>
              <w:numPr>
                <w:ilvl w:val="0"/>
                <w:numId w:val="42"/>
              </w:numPr>
              <w:shd w:val="clear" w:color="auto" w:fill="FFFFFF"/>
              <w:tabs>
                <w:tab w:val="left" w:pos="426"/>
                <w:tab w:val="left" w:pos="709"/>
              </w:tabs>
              <w:spacing w:before="240" w:after="240"/>
              <w:jc w:val="both"/>
              <w:rPr>
                <w:rStyle w:val="FontStyle23"/>
                <w:rFonts w:ascii="Times New Roman" w:hAnsi="Times New Roman" w:cs="Times New Roman"/>
                <w:color w:val="FF0000"/>
                <w:sz w:val="24"/>
                <w:szCs w:val="24"/>
              </w:rPr>
            </w:pPr>
            <w:proofErr w:type="spellStart"/>
            <w:r w:rsidRPr="00E85005">
              <w:rPr>
                <w:rStyle w:val="FontStyle23"/>
                <w:rFonts w:ascii="Times New Roman" w:hAnsi="Times New Roman" w:cs="Times New Roman"/>
                <w:color w:val="FF0000"/>
                <w:sz w:val="24"/>
                <w:szCs w:val="24"/>
                <w:lang w:val="en-US"/>
              </w:rPr>
              <w:t>Sylverhill</w:t>
            </w:r>
            <w:proofErr w:type="spellEnd"/>
            <w:r w:rsidRPr="00E85005">
              <w:rPr>
                <w:rStyle w:val="FontStyle23"/>
                <w:rFonts w:ascii="Times New Roman" w:hAnsi="Times New Roman" w:cs="Times New Roman"/>
                <w:color w:val="FF0000"/>
                <w:sz w:val="24"/>
                <w:szCs w:val="24"/>
                <w:lang w:val="en-US"/>
              </w:rPr>
              <w:t xml:space="preserve"> Enterprises Ltd (phosphate)</w:t>
            </w:r>
          </w:p>
          <w:p w:rsidR="00FB6671" w:rsidRPr="00E85005" w:rsidRDefault="00FB6671" w:rsidP="007C5949">
            <w:pPr>
              <w:shd w:val="clear" w:color="auto" w:fill="FFFFFF"/>
              <w:tabs>
                <w:tab w:val="left" w:pos="426"/>
                <w:tab w:val="left" w:pos="709"/>
              </w:tabs>
              <w:spacing w:before="240" w:after="240"/>
              <w:ind w:left="360"/>
              <w:jc w:val="both"/>
              <w:rPr>
                <w:rStyle w:val="FontStyle23"/>
                <w:rFonts w:ascii="Times New Roman" w:cs="Times New Roman"/>
                <w:sz w:val="24"/>
                <w:szCs w:val="24"/>
                <w:lang w:val="en-US"/>
              </w:rPr>
            </w:pPr>
            <w:r w:rsidRPr="00E85005">
              <w:rPr>
                <w:rStyle w:val="FontStyle23"/>
                <w:rFonts w:ascii="Times New Roman" w:cs="Times New Roman"/>
                <w:color w:val="FF0000"/>
                <w:sz w:val="24"/>
                <w:szCs w:val="24"/>
                <w:lang w:val="en-US"/>
              </w:rPr>
              <w:t xml:space="preserve">70-Future Investment (exploration </w:t>
            </w:r>
            <w:proofErr w:type="spellStart"/>
            <w:r w:rsidRPr="00E85005">
              <w:rPr>
                <w:rStyle w:val="FontStyle23"/>
                <w:rFonts w:ascii="Times New Roman" w:cs="Times New Roman"/>
                <w:color w:val="FF0000"/>
                <w:sz w:val="24"/>
                <w:szCs w:val="24"/>
                <w:lang w:val="en-US"/>
              </w:rPr>
              <w:t>minière</w:t>
            </w:r>
            <w:proofErr w:type="spellEnd"/>
            <w:r w:rsidRPr="00E85005">
              <w:rPr>
                <w:rStyle w:val="FontStyle23"/>
                <w:rFonts w:ascii="Times New Roman" w:cs="Times New Roman"/>
                <w:sz w:val="24"/>
                <w:szCs w:val="24"/>
                <w:lang w:val="en-US"/>
              </w:rPr>
              <w:t>)</w:t>
            </w:r>
          </w:p>
          <w:p w:rsidR="00FB6671" w:rsidRPr="00E85005" w:rsidRDefault="00FB6671" w:rsidP="007C5949">
            <w:pPr>
              <w:shd w:val="clear" w:color="auto" w:fill="FFFFFF"/>
              <w:tabs>
                <w:tab w:val="left" w:pos="426"/>
                <w:tab w:val="left" w:pos="709"/>
              </w:tabs>
              <w:spacing w:before="240" w:after="240"/>
              <w:ind w:left="360"/>
              <w:jc w:val="both"/>
              <w:rPr>
                <w:rStyle w:val="FontStyle23"/>
                <w:rFonts w:ascii="Times New Roman" w:cs="Times New Roman"/>
                <w:color w:val="FF0000"/>
                <w:sz w:val="24"/>
                <w:szCs w:val="24"/>
              </w:rPr>
            </w:pPr>
            <w:r w:rsidRPr="00E85005">
              <w:rPr>
                <w:rStyle w:val="FontStyle23"/>
                <w:rFonts w:ascii="Times New Roman" w:cs="Times New Roman"/>
                <w:color w:val="FF0000"/>
                <w:sz w:val="24"/>
                <w:szCs w:val="24"/>
              </w:rPr>
              <w:t xml:space="preserve">71-Togo </w:t>
            </w:r>
            <w:proofErr w:type="spellStart"/>
            <w:r w:rsidRPr="00E85005">
              <w:rPr>
                <w:rStyle w:val="FontStyle23"/>
                <w:rFonts w:ascii="Times New Roman" w:cs="Times New Roman"/>
                <w:color w:val="FF0000"/>
                <w:sz w:val="24"/>
                <w:szCs w:val="24"/>
              </w:rPr>
              <w:t>Minerals</w:t>
            </w:r>
            <w:proofErr w:type="spellEnd"/>
            <w:r w:rsidRPr="00E85005">
              <w:rPr>
                <w:rStyle w:val="FontStyle23"/>
                <w:rFonts w:ascii="Times New Roman" w:cs="Times New Roman"/>
                <w:color w:val="FF0000"/>
                <w:sz w:val="24"/>
                <w:szCs w:val="24"/>
              </w:rPr>
              <w:t xml:space="preserve">  (diamant et minéraux associés</w:t>
            </w:r>
          </w:p>
          <w:p w:rsidR="00FB6671" w:rsidRPr="00E85005" w:rsidRDefault="00FB6671" w:rsidP="007C5949">
            <w:pPr>
              <w:shd w:val="clear" w:color="auto" w:fill="FFFFFF"/>
              <w:tabs>
                <w:tab w:val="left" w:pos="426"/>
                <w:tab w:val="left" w:pos="709"/>
              </w:tabs>
              <w:spacing w:before="240" w:after="240"/>
              <w:ind w:left="360"/>
              <w:jc w:val="both"/>
              <w:rPr>
                <w:rStyle w:val="FontStyle23"/>
                <w:rFonts w:ascii="Times New Roman" w:cs="Times New Roman"/>
                <w:color w:val="FF0000"/>
                <w:sz w:val="24"/>
                <w:szCs w:val="24"/>
              </w:rPr>
            </w:pPr>
            <w:r w:rsidRPr="00E85005">
              <w:rPr>
                <w:rStyle w:val="FontStyle23"/>
                <w:rFonts w:ascii="Times New Roman" w:cs="Times New Roman"/>
                <w:color w:val="FF0000"/>
                <w:sz w:val="24"/>
                <w:szCs w:val="24"/>
              </w:rPr>
              <w:t>72-Brillant Stones   (diamant, or)</w:t>
            </w:r>
          </w:p>
          <w:p w:rsidR="00FB6671" w:rsidRPr="00E85005" w:rsidRDefault="00FB6671" w:rsidP="00FB6671">
            <w:pPr>
              <w:pStyle w:val="ListParagraph"/>
              <w:numPr>
                <w:ilvl w:val="0"/>
                <w:numId w:val="41"/>
              </w:numPr>
              <w:shd w:val="clear" w:color="auto" w:fill="FFFFFF"/>
              <w:tabs>
                <w:tab w:val="left" w:pos="426"/>
                <w:tab w:val="left" w:pos="709"/>
              </w:tabs>
              <w:spacing w:before="240" w:after="240"/>
              <w:jc w:val="both"/>
              <w:rPr>
                <w:rStyle w:val="FontStyle23"/>
                <w:rFonts w:ascii="Times New Roman" w:hAnsi="Times New Roman" w:cs="Times New Roman"/>
                <w:b/>
                <w:sz w:val="24"/>
                <w:szCs w:val="24"/>
              </w:rPr>
            </w:pPr>
            <w:r w:rsidRPr="00E85005">
              <w:rPr>
                <w:rStyle w:val="FontStyle23"/>
                <w:rFonts w:ascii="Times New Roman" w:hAnsi="Times New Roman" w:cs="Times New Roman"/>
                <w:b/>
                <w:sz w:val="24"/>
                <w:szCs w:val="24"/>
              </w:rPr>
              <w:t>AGENCES GOUVERNEMENTALES</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Le Commissariat aux Impôts (OTR)</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lastRenderedPageBreak/>
              <w:t>Le Commissariat aux Douanes (OTR)</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La Direction Générale du Trésors et de la Comptabilité Publique</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La Direction Générale des Mines et de la Géologie</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La Direction Générale des Hydrocarbures</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La Direction Générale de l’Environnement</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L’Agence Nationale de Gestion de l’Environnement</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La Direction Générale du Travail et des Lois Sociales</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La Société Togolaise des Eaux</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L’Autorité de Régulation du Secteur de L’Electricité</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La Caisse Nationale de Sécurité Nationale</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Autres</w:t>
            </w:r>
          </w:p>
          <w:p w:rsidR="00FB6671" w:rsidRPr="00E85005" w:rsidRDefault="00FB6671" w:rsidP="00FB6671">
            <w:pPr>
              <w:pStyle w:val="ListParagraph"/>
              <w:numPr>
                <w:ilvl w:val="0"/>
                <w:numId w:val="43"/>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Les délégations Spéciales des Communes et des Préfectures des Localités minières</w:t>
            </w:r>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Préfecture du Golfe / Commune de Lomé</w:t>
            </w:r>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Préfecture de Vo / Commune de Vogan</w:t>
            </w:r>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Préfecture de Zio / Commune de Tsévié</w:t>
            </w:r>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Préfecture de Yoto / Commune de Tabligbo</w:t>
            </w:r>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Préfecture de </w:t>
            </w:r>
            <w:proofErr w:type="spellStart"/>
            <w:r w:rsidRPr="00E85005">
              <w:rPr>
                <w:rStyle w:val="FontStyle23"/>
                <w:rFonts w:ascii="Times New Roman" w:hAnsi="Times New Roman" w:cs="Times New Roman"/>
                <w:sz w:val="24"/>
                <w:szCs w:val="24"/>
              </w:rPr>
              <w:t>Kloto</w:t>
            </w:r>
            <w:proofErr w:type="spellEnd"/>
            <w:r w:rsidRPr="00E85005">
              <w:rPr>
                <w:rStyle w:val="FontStyle23"/>
                <w:rFonts w:ascii="Times New Roman" w:hAnsi="Times New Roman" w:cs="Times New Roman"/>
                <w:sz w:val="24"/>
                <w:szCs w:val="24"/>
              </w:rPr>
              <w:t xml:space="preserve"> / Commune de Kpalimé</w:t>
            </w:r>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Préfecture de </w:t>
            </w:r>
            <w:proofErr w:type="spellStart"/>
            <w:r w:rsidRPr="00E85005">
              <w:rPr>
                <w:rStyle w:val="FontStyle23"/>
                <w:rFonts w:ascii="Times New Roman" w:hAnsi="Times New Roman" w:cs="Times New Roman"/>
                <w:sz w:val="24"/>
                <w:szCs w:val="24"/>
              </w:rPr>
              <w:t>Kpélé</w:t>
            </w:r>
            <w:proofErr w:type="spellEnd"/>
            <w:r w:rsidRPr="00E85005">
              <w:rPr>
                <w:rStyle w:val="FontStyle23"/>
                <w:rFonts w:ascii="Times New Roman" w:hAnsi="Times New Roman" w:cs="Times New Roman"/>
                <w:sz w:val="24"/>
                <w:szCs w:val="24"/>
              </w:rPr>
              <w:t xml:space="preserve"> </w:t>
            </w:r>
            <w:proofErr w:type="spellStart"/>
            <w:r w:rsidRPr="00E85005">
              <w:rPr>
                <w:rStyle w:val="FontStyle23"/>
                <w:rFonts w:ascii="Times New Roman" w:hAnsi="Times New Roman" w:cs="Times New Roman"/>
                <w:sz w:val="24"/>
                <w:szCs w:val="24"/>
              </w:rPr>
              <w:t>Akata</w:t>
            </w:r>
            <w:proofErr w:type="spellEnd"/>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Préfecture de l’Ogou</w:t>
            </w:r>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Préfecture de l’</w:t>
            </w:r>
            <w:proofErr w:type="spellStart"/>
            <w:r w:rsidRPr="00E85005">
              <w:rPr>
                <w:rStyle w:val="FontStyle23"/>
                <w:rFonts w:ascii="Times New Roman" w:hAnsi="Times New Roman" w:cs="Times New Roman"/>
                <w:sz w:val="24"/>
                <w:szCs w:val="24"/>
              </w:rPr>
              <w:t>Anié</w:t>
            </w:r>
            <w:proofErr w:type="spellEnd"/>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Préfecture de </w:t>
            </w:r>
            <w:proofErr w:type="spellStart"/>
            <w:r w:rsidRPr="00E85005">
              <w:rPr>
                <w:rStyle w:val="FontStyle23"/>
                <w:rFonts w:ascii="Times New Roman" w:hAnsi="Times New Roman" w:cs="Times New Roman"/>
                <w:sz w:val="24"/>
                <w:szCs w:val="24"/>
              </w:rPr>
              <w:t>Blita</w:t>
            </w:r>
            <w:proofErr w:type="spellEnd"/>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Préfecture de Bassar / Commune de Bassar</w:t>
            </w:r>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Préfecture des Lacs / Commune de Aného</w:t>
            </w:r>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Préfecture de </w:t>
            </w:r>
            <w:proofErr w:type="spellStart"/>
            <w:r w:rsidRPr="00E85005">
              <w:rPr>
                <w:rStyle w:val="FontStyle23"/>
                <w:rFonts w:ascii="Times New Roman" w:hAnsi="Times New Roman" w:cs="Times New Roman"/>
                <w:sz w:val="24"/>
                <w:szCs w:val="24"/>
              </w:rPr>
              <w:t>Tandjoare</w:t>
            </w:r>
            <w:proofErr w:type="spellEnd"/>
            <w:r w:rsidRPr="00E85005">
              <w:rPr>
                <w:rStyle w:val="FontStyle23"/>
                <w:rFonts w:ascii="Times New Roman" w:hAnsi="Times New Roman" w:cs="Times New Roman"/>
                <w:sz w:val="24"/>
                <w:szCs w:val="24"/>
              </w:rPr>
              <w:t xml:space="preserve"> </w:t>
            </w:r>
          </w:p>
          <w:p w:rsidR="00FB6671" w:rsidRPr="00E85005" w:rsidRDefault="00FB6671" w:rsidP="00FB667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sidRPr="00E85005">
              <w:rPr>
                <w:rStyle w:val="FontStyle23"/>
                <w:rFonts w:ascii="Times New Roman" w:hAnsi="Times New Roman" w:cs="Times New Roman"/>
                <w:sz w:val="24"/>
                <w:szCs w:val="24"/>
              </w:rPr>
              <w:t xml:space="preserve">Préfecture de la </w:t>
            </w:r>
            <w:proofErr w:type="spellStart"/>
            <w:r w:rsidRPr="00E85005">
              <w:rPr>
                <w:rStyle w:val="FontStyle23"/>
                <w:rFonts w:ascii="Times New Roman" w:hAnsi="Times New Roman" w:cs="Times New Roman"/>
                <w:sz w:val="24"/>
                <w:szCs w:val="24"/>
              </w:rPr>
              <w:t>Koza</w:t>
            </w:r>
            <w:r w:rsidR="004C2009">
              <w:rPr>
                <w:rStyle w:val="FontStyle23"/>
                <w:rFonts w:ascii="Times New Roman" w:hAnsi="Times New Roman" w:cs="Times New Roman"/>
                <w:sz w:val="24"/>
                <w:szCs w:val="24"/>
              </w:rPr>
              <w:t>h</w:t>
            </w:r>
            <w:proofErr w:type="spellEnd"/>
            <w:r w:rsidRPr="00E85005">
              <w:rPr>
                <w:rStyle w:val="FontStyle23"/>
                <w:rFonts w:ascii="Times New Roman" w:hAnsi="Times New Roman" w:cs="Times New Roman"/>
                <w:sz w:val="24"/>
                <w:szCs w:val="24"/>
              </w:rPr>
              <w:t xml:space="preserve"> / Commune de la Kara</w:t>
            </w:r>
          </w:p>
          <w:p w:rsidR="00A7249C" w:rsidRPr="00EC06F1" w:rsidRDefault="004C2009" w:rsidP="00EC06F1">
            <w:pPr>
              <w:pStyle w:val="ListParagraph"/>
              <w:numPr>
                <w:ilvl w:val="0"/>
                <w:numId w:val="44"/>
              </w:numPr>
              <w:shd w:val="clear" w:color="auto" w:fill="FFFFFF"/>
              <w:tabs>
                <w:tab w:val="left" w:pos="426"/>
                <w:tab w:val="left" w:pos="709"/>
              </w:tabs>
              <w:spacing w:before="240" w:after="240"/>
              <w:jc w:val="both"/>
              <w:rPr>
                <w:rStyle w:val="FontStyle23"/>
                <w:rFonts w:ascii="Times New Roman" w:hAnsi="Times New Roman" w:cs="Times New Roman"/>
                <w:sz w:val="24"/>
                <w:szCs w:val="24"/>
              </w:rPr>
            </w:pPr>
            <w:r>
              <w:rPr>
                <w:rStyle w:val="FontStyle23"/>
                <w:rFonts w:ascii="Times New Roman" w:hAnsi="Times New Roman" w:cs="Times New Roman"/>
                <w:sz w:val="24"/>
                <w:szCs w:val="24"/>
              </w:rPr>
              <w:t xml:space="preserve">Préfecture de </w:t>
            </w:r>
            <w:proofErr w:type="spellStart"/>
            <w:r>
              <w:rPr>
                <w:rStyle w:val="FontStyle23"/>
                <w:rFonts w:ascii="Times New Roman" w:hAnsi="Times New Roman" w:cs="Times New Roman"/>
                <w:sz w:val="24"/>
                <w:szCs w:val="24"/>
              </w:rPr>
              <w:t>Tô</w:t>
            </w:r>
            <w:r w:rsidR="00FB6671" w:rsidRPr="00E85005">
              <w:rPr>
                <w:rStyle w:val="FontStyle23"/>
                <w:rFonts w:ascii="Times New Roman" w:hAnsi="Times New Roman" w:cs="Times New Roman"/>
                <w:sz w:val="24"/>
                <w:szCs w:val="24"/>
              </w:rPr>
              <w:t>ne</w:t>
            </w:r>
            <w:proofErr w:type="spellEnd"/>
            <w:r w:rsidR="00FB6671" w:rsidRPr="00E85005">
              <w:rPr>
                <w:rStyle w:val="FontStyle23"/>
                <w:rFonts w:ascii="Times New Roman" w:hAnsi="Times New Roman" w:cs="Times New Roman"/>
                <w:sz w:val="24"/>
                <w:szCs w:val="24"/>
              </w:rPr>
              <w:t xml:space="preserve"> / Commune de Dapaong</w:t>
            </w:r>
          </w:p>
          <w:p w:rsidR="00FB6671" w:rsidRPr="00E85005" w:rsidRDefault="00FB6671" w:rsidP="00FB6671">
            <w:pPr>
              <w:numPr>
                <w:ilvl w:val="0"/>
                <w:numId w:val="40"/>
              </w:numPr>
              <w:shd w:val="clear" w:color="auto" w:fill="FFFFFF"/>
              <w:tabs>
                <w:tab w:val="left" w:pos="426"/>
                <w:tab w:val="left" w:pos="709"/>
              </w:tabs>
              <w:spacing w:before="240" w:after="240"/>
              <w:jc w:val="both"/>
              <w:rPr>
                <w:rStyle w:val="BookTitle"/>
                <w:rFonts w:eastAsia="Arial Unicode MS"/>
                <w:szCs w:val="24"/>
                <w:u w:val="single"/>
              </w:rPr>
            </w:pPr>
            <w:r w:rsidRPr="00E85005">
              <w:rPr>
                <w:rStyle w:val="FontStyle23"/>
                <w:rFonts w:ascii="Times New Roman" w:cs="Times New Roman"/>
                <w:sz w:val="24"/>
                <w:szCs w:val="24"/>
              </w:rPr>
              <w:t xml:space="preserve"> </w:t>
            </w:r>
            <w:r w:rsidRPr="00E85005">
              <w:rPr>
                <w:rStyle w:val="BookTitle"/>
                <w:rFonts w:eastAsia="Arial Unicode MS"/>
                <w:szCs w:val="24"/>
                <w:u w:val="single"/>
              </w:rPr>
              <w:t xml:space="preserve">Commentaires supplémentaires sur le périmètre d'application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68"/>
            </w:tblGrid>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lastRenderedPageBreak/>
                    <w:t>La matérialité et l’inclusion des paiements infranationaux (Exigence n°4.2(d))</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 xml:space="preserve">Les paiements infranationaux sont fournis à l’administrateur indépendant par les sociétés des localités minières où ils sont payés </w:t>
                  </w:r>
                </w:p>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Mesures correctives à mettre en place en réponse aux recommandations du rapport 2011 par rapport aux paiements infranationaux</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La divulgation et le rapprochement des paiements en provenance et à destination des entreprises d’État (Exigence n° 4.2(c))</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Les entreprises d’Etat regroupent les agences traditionnelles perceptrices des recettes et les sociétés d’Etat à caractère autonome qui auraient perçu des recettes en provenance du secteur extractif.</w:t>
                  </w:r>
                </w:p>
              </w:tc>
            </w:tr>
            <w:tr w:rsidR="00FB6671" w:rsidRPr="00E85005" w:rsidTr="007C5949">
              <w:tc>
                <w:tcPr>
                  <w:tcW w:w="4219"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La matérialité et l’inclusion des transferts infranationaux conformément à l’Exigence n° 4.2(e))</w:t>
                  </w:r>
                </w:p>
              </w:tc>
              <w:tc>
                <w:tcPr>
                  <w:tcW w:w="5068" w:type="dxa"/>
                  <w:shd w:val="clear" w:color="auto" w:fill="auto"/>
                </w:tcPr>
                <w:p w:rsidR="00FB6671" w:rsidRPr="00E85005" w:rsidRDefault="00FB6671" w:rsidP="007400CA">
                  <w:pPr>
                    <w:framePr w:hSpace="141" w:wrap="around" w:vAnchor="page" w:hAnchor="margin" w:y="416"/>
                    <w:tabs>
                      <w:tab w:val="left" w:pos="426"/>
                      <w:tab w:val="left" w:pos="709"/>
                    </w:tabs>
                    <w:spacing w:before="240" w:after="240"/>
                    <w:suppressOverlap/>
                    <w:jc w:val="both"/>
                    <w:rPr>
                      <w:rStyle w:val="FontStyle23"/>
                      <w:rFonts w:ascii="Times New Roman" w:cs="Times New Roman"/>
                      <w:sz w:val="24"/>
                      <w:szCs w:val="24"/>
                    </w:rPr>
                  </w:pPr>
                  <w:r w:rsidRPr="00E85005">
                    <w:rPr>
                      <w:rStyle w:val="FontStyle23"/>
                      <w:rFonts w:ascii="Times New Roman" w:cs="Times New Roman"/>
                      <w:sz w:val="24"/>
                      <w:szCs w:val="24"/>
                    </w:rPr>
                    <w:t>Les transferts infranationaux sont fournis à l’administrateur indépendant par la DGI et les collectivités locales. Mesures correctives à mettre en place en réponse aux recommandations du rapport 2011</w:t>
                  </w:r>
                </w:p>
              </w:tc>
            </w:tr>
          </w:tbl>
          <w:p w:rsidR="00FB6671" w:rsidRPr="00E85005" w:rsidRDefault="00A7249C" w:rsidP="00A7249C">
            <w:pPr>
              <w:pStyle w:val="Heading1"/>
              <w:jc w:val="left"/>
              <w:rPr>
                <w:rStyle w:val="FontStyle23"/>
                <w:rFonts w:ascii="Times New Roman" w:hAnsi="Times New Roman" w:cs="Times New Roman"/>
                <w:sz w:val="24"/>
                <w:szCs w:val="24"/>
              </w:rPr>
            </w:pPr>
            <w:r>
              <w:rPr>
                <w:rStyle w:val="FontStyle23"/>
                <w:rFonts w:ascii="Times New Roman" w:hAnsi="Times New Roman" w:cs="Times New Roman"/>
                <w:sz w:val="24"/>
                <w:szCs w:val="24"/>
              </w:rPr>
              <w:t xml:space="preserve">                                             </w:t>
            </w:r>
            <w:r w:rsidR="00FB6671" w:rsidRPr="00E85005">
              <w:rPr>
                <w:rStyle w:val="BookTitle"/>
                <w:rFonts w:ascii="Times New Roman" w:eastAsia="Arial Unicode MS" w:hAnsi="Times New Roman"/>
                <w:sz w:val="24"/>
                <w:szCs w:val="24"/>
                <w:u w:val="single"/>
              </w:rPr>
              <w:t>Annexe 2 – Pièces justificatives</w:t>
            </w:r>
            <w:r w:rsidR="00FB6671" w:rsidRPr="00E85005">
              <w:rPr>
                <w:rStyle w:val="FontStyle23"/>
                <w:rFonts w:ascii="Times New Roman" w:hAnsi="Times New Roman" w:cs="Times New Roman"/>
                <w:sz w:val="24"/>
                <w:szCs w:val="24"/>
              </w:rPr>
              <w:t xml:space="preserve"> </w:t>
            </w:r>
          </w:p>
          <w:p w:rsidR="00FB6671" w:rsidRPr="00E85005" w:rsidRDefault="00FB6671" w:rsidP="007C5949">
            <w:pPr>
              <w:shd w:val="clear" w:color="auto" w:fill="FFFFFF"/>
              <w:tabs>
                <w:tab w:val="left" w:pos="426"/>
                <w:tab w:val="left" w:pos="709"/>
              </w:tab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Documents sur les dispositions en matière de gouvernance et sur les politiques fiscales dans le domaine des industries extractives, y compris la législation et les réglementations pertinentes : </w:t>
            </w:r>
          </w:p>
          <w:p w:rsidR="00FB6671" w:rsidRPr="00E85005" w:rsidRDefault="00FB6671" w:rsidP="00FB6671">
            <w:pPr>
              <w:widowControl w:val="0"/>
              <w:numPr>
                <w:ilvl w:val="0"/>
                <w:numId w:val="33"/>
              </w:numPr>
              <w:shd w:val="clear" w:color="auto" w:fill="FFFFFF"/>
              <w:tabs>
                <w:tab w:val="left" w:pos="426"/>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Les différents codes et lois</w:t>
            </w:r>
          </w:p>
          <w:p w:rsidR="00FB6671" w:rsidRPr="00E85005" w:rsidRDefault="00FB6671" w:rsidP="00FB6671">
            <w:pPr>
              <w:widowControl w:val="0"/>
              <w:numPr>
                <w:ilvl w:val="0"/>
                <w:numId w:val="33"/>
              </w:numPr>
              <w:shd w:val="clear" w:color="auto" w:fill="FFFFFF"/>
              <w:tabs>
                <w:tab w:val="left" w:pos="426"/>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La loi du 05 mai 2011</w:t>
            </w:r>
          </w:p>
          <w:p w:rsidR="00FB6671" w:rsidRPr="00E85005" w:rsidRDefault="00FB6671" w:rsidP="00FB6671">
            <w:pPr>
              <w:widowControl w:val="0"/>
              <w:numPr>
                <w:ilvl w:val="0"/>
                <w:numId w:val="33"/>
              </w:numPr>
              <w:shd w:val="clear" w:color="auto" w:fill="FFFFFF"/>
              <w:tabs>
                <w:tab w:val="left" w:pos="426"/>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La loi portant création de l’OTR (concerne directement les industries extractives et pourra permettre la satisfaction des exigences 3.7 et 3.8 relatives à l’utilisation des recettes en provenance du secteur extractif)</w:t>
            </w:r>
          </w:p>
          <w:p w:rsidR="00FB6671" w:rsidRPr="00E85005" w:rsidRDefault="00FB6671" w:rsidP="007C5949">
            <w:pPr>
              <w:pStyle w:val="Heading1"/>
              <w:jc w:val="left"/>
              <w:rPr>
                <w:rStyle w:val="BookTitle"/>
                <w:rFonts w:ascii="Times New Roman" w:eastAsia="Arial Unicode MS" w:hAnsi="Times New Roman"/>
                <w:sz w:val="24"/>
                <w:szCs w:val="24"/>
                <w:u w:val="single"/>
              </w:rPr>
            </w:pPr>
            <w:r w:rsidRPr="00E85005">
              <w:rPr>
                <w:rStyle w:val="BookTitle"/>
                <w:rFonts w:ascii="Times New Roman" w:eastAsia="Arial Unicode MS" w:hAnsi="Times New Roman"/>
                <w:sz w:val="24"/>
                <w:szCs w:val="24"/>
                <w:u w:val="single"/>
              </w:rPr>
              <w:t>Plans de travail de l’ITIE et autres documents</w:t>
            </w:r>
          </w:p>
          <w:p w:rsidR="00FB6671" w:rsidRPr="00E85005" w:rsidRDefault="00FB6671" w:rsidP="00FB6671">
            <w:pPr>
              <w:widowControl w:val="0"/>
              <w:numPr>
                <w:ilvl w:val="0"/>
                <w:numId w:val="33"/>
              </w:numPr>
              <w:shd w:val="clear" w:color="auto" w:fill="FFFFFF"/>
              <w:tabs>
                <w:tab w:val="left" w:pos="426"/>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Plan d’actions 2010-2013 ; 2014 -2016  (site web </w:t>
            </w:r>
            <w:hyperlink r:id="rId30" w:history="1">
              <w:r w:rsidRPr="00E85005">
                <w:rPr>
                  <w:rStyle w:val="Hyperlink"/>
                  <w:rFonts w:eastAsia="Arial Unicode MS"/>
                  <w:szCs w:val="24"/>
                </w:rPr>
                <w:t>http://itietogo.org</w:t>
              </w:r>
            </w:hyperlink>
            <w:r w:rsidRPr="00E85005">
              <w:rPr>
                <w:rStyle w:val="FontStyle23"/>
                <w:rFonts w:ascii="Times New Roman" w:cs="Times New Roman"/>
                <w:sz w:val="24"/>
                <w:szCs w:val="24"/>
              </w:rPr>
              <w:t>);</w:t>
            </w:r>
          </w:p>
          <w:p w:rsidR="00FB6671" w:rsidRPr="00E85005" w:rsidRDefault="00FB6671" w:rsidP="007C5949">
            <w:pPr>
              <w:shd w:val="clear" w:color="auto" w:fill="FFFFFF"/>
              <w:tabs>
                <w:tab w:val="left" w:pos="426"/>
                <w:tab w:val="left" w:pos="709"/>
              </w:tabs>
              <w:spacing w:before="240" w:after="240"/>
              <w:jc w:val="both"/>
              <w:rPr>
                <w:rStyle w:val="BookTitle"/>
                <w:rFonts w:eastAsia="Arial Unicode MS"/>
                <w:szCs w:val="24"/>
                <w:u w:val="single"/>
              </w:rPr>
            </w:pPr>
            <w:r w:rsidRPr="00E85005">
              <w:rPr>
                <w:rStyle w:val="BookTitle"/>
                <w:rFonts w:eastAsia="Arial Unicode MS"/>
                <w:szCs w:val="24"/>
                <w:u w:val="single"/>
              </w:rPr>
              <w:t>Conclusions des travaux préliminaires de délimitation du périmètre ;</w:t>
            </w:r>
          </w:p>
          <w:p w:rsidR="00FB6671" w:rsidRPr="00E85005" w:rsidRDefault="00FB6671" w:rsidP="00FB6671">
            <w:pPr>
              <w:widowControl w:val="0"/>
              <w:numPr>
                <w:ilvl w:val="0"/>
                <w:numId w:val="33"/>
              </w:numPr>
              <w:shd w:val="clear" w:color="auto" w:fill="FFFFFF"/>
              <w:tabs>
                <w:tab w:val="left" w:pos="426"/>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Rapport de l’étude de cadrage effectué en 2012 par le cabinet Moore Stephens ;</w:t>
            </w:r>
          </w:p>
          <w:p w:rsidR="00FB6671" w:rsidRPr="00E85005" w:rsidRDefault="00FB6671" w:rsidP="00FB6671">
            <w:pPr>
              <w:widowControl w:val="0"/>
              <w:numPr>
                <w:ilvl w:val="0"/>
                <w:numId w:val="33"/>
              </w:numPr>
              <w:shd w:val="clear" w:color="auto" w:fill="FFFFFF"/>
              <w:tabs>
                <w:tab w:val="left" w:pos="426"/>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Compte rendu des réunions du Comité de pilotage et du Conseil National de Supervision de l’ITIE-Togo</w:t>
            </w:r>
          </w:p>
          <w:p w:rsidR="00FB6671" w:rsidRPr="00E85005" w:rsidRDefault="00FB6671" w:rsidP="007C5949">
            <w:pPr>
              <w:pStyle w:val="Heading1"/>
              <w:jc w:val="left"/>
              <w:rPr>
                <w:rStyle w:val="BookTitle"/>
                <w:rFonts w:ascii="Times New Roman" w:eastAsia="Arial Unicode MS" w:hAnsi="Times New Roman"/>
                <w:sz w:val="24"/>
                <w:szCs w:val="24"/>
                <w:u w:val="single"/>
              </w:rPr>
            </w:pPr>
            <w:r w:rsidRPr="00E85005">
              <w:rPr>
                <w:rStyle w:val="BookTitle"/>
                <w:rFonts w:ascii="Times New Roman" w:eastAsia="Arial Unicode MS" w:hAnsi="Times New Roman"/>
                <w:sz w:val="24"/>
                <w:szCs w:val="24"/>
                <w:u w:val="single"/>
              </w:rPr>
              <w:t xml:space="preserve">Rapports ITIE précédents  </w:t>
            </w:r>
          </w:p>
          <w:p w:rsidR="00FB6671" w:rsidRPr="00E85005" w:rsidRDefault="00FB6671" w:rsidP="00FB6671">
            <w:pPr>
              <w:widowControl w:val="0"/>
              <w:numPr>
                <w:ilvl w:val="0"/>
                <w:numId w:val="33"/>
              </w:numPr>
              <w:shd w:val="clear" w:color="auto" w:fill="FFFFFF"/>
              <w:tabs>
                <w:tab w:val="left" w:pos="426"/>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Rapport 2010 (site web </w:t>
            </w:r>
            <w:hyperlink r:id="rId31" w:history="1">
              <w:r w:rsidRPr="00E85005">
                <w:rPr>
                  <w:rStyle w:val="Hyperlink"/>
                  <w:rFonts w:eastAsia="Arial Unicode MS"/>
                  <w:szCs w:val="24"/>
                </w:rPr>
                <w:t>http://itietogo.org</w:t>
              </w:r>
            </w:hyperlink>
            <w:r w:rsidRPr="00E85005">
              <w:rPr>
                <w:rStyle w:val="FontStyle23"/>
                <w:rFonts w:ascii="Times New Roman" w:cs="Times New Roman"/>
                <w:sz w:val="24"/>
                <w:szCs w:val="24"/>
              </w:rPr>
              <w:t>);</w:t>
            </w:r>
          </w:p>
          <w:p w:rsidR="00FB6671" w:rsidRDefault="00FB6671" w:rsidP="00FB6671">
            <w:pPr>
              <w:widowControl w:val="0"/>
              <w:numPr>
                <w:ilvl w:val="0"/>
                <w:numId w:val="33"/>
              </w:numPr>
              <w:shd w:val="clear" w:color="auto" w:fill="FFFFFF"/>
              <w:tabs>
                <w:tab w:val="left" w:pos="426"/>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lastRenderedPageBreak/>
              <w:t xml:space="preserve">Rapport 2011 (site web </w:t>
            </w:r>
            <w:hyperlink r:id="rId32" w:history="1">
              <w:r w:rsidRPr="00E85005">
                <w:rPr>
                  <w:rStyle w:val="Hyperlink"/>
                  <w:rFonts w:eastAsia="Arial Unicode MS"/>
                  <w:szCs w:val="24"/>
                </w:rPr>
                <w:t>http://itietogo.org</w:t>
              </w:r>
            </w:hyperlink>
            <w:r w:rsidRPr="00E85005">
              <w:rPr>
                <w:rStyle w:val="FontStyle23"/>
                <w:rFonts w:ascii="Times New Roman" w:cs="Times New Roman"/>
                <w:sz w:val="24"/>
                <w:szCs w:val="24"/>
              </w:rPr>
              <w:t>);</w:t>
            </w:r>
          </w:p>
          <w:p w:rsidR="00A7249C" w:rsidRPr="00E85005" w:rsidRDefault="00A7249C" w:rsidP="00A7249C">
            <w:pPr>
              <w:widowControl w:val="0"/>
              <w:shd w:val="clear" w:color="auto" w:fill="FFFFFF"/>
              <w:tabs>
                <w:tab w:val="left" w:pos="426"/>
                <w:tab w:val="left" w:pos="709"/>
              </w:tabs>
              <w:suppressAutoHyphens/>
              <w:spacing w:before="240" w:after="240"/>
              <w:ind w:left="720"/>
              <w:jc w:val="both"/>
              <w:rPr>
                <w:rStyle w:val="FontStyle23"/>
                <w:rFonts w:ascii="Times New Roman" w:cs="Times New Roman"/>
                <w:sz w:val="24"/>
                <w:szCs w:val="24"/>
              </w:rPr>
            </w:pPr>
          </w:p>
          <w:p w:rsidR="00FB6671" w:rsidRPr="00E85005" w:rsidRDefault="00FB6671" w:rsidP="007C5949">
            <w:pPr>
              <w:shd w:val="clear" w:color="auto" w:fill="FFFFFF"/>
              <w:tabs>
                <w:tab w:val="left" w:pos="426"/>
                <w:tab w:val="left" w:pos="709"/>
              </w:tabs>
              <w:spacing w:before="240" w:after="240"/>
              <w:jc w:val="both"/>
              <w:rPr>
                <w:rStyle w:val="BookTitle"/>
                <w:rFonts w:eastAsia="Arial Unicode MS"/>
                <w:szCs w:val="24"/>
                <w:u w:val="single"/>
              </w:rPr>
            </w:pPr>
            <w:r w:rsidRPr="00E85005">
              <w:rPr>
                <w:rStyle w:val="BookTitle"/>
                <w:rFonts w:eastAsia="Arial Unicode MS"/>
                <w:szCs w:val="24"/>
                <w:u w:val="single"/>
              </w:rPr>
              <w:t xml:space="preserve">Commentaires sur les rapports ITIE précédents </w:t>
            </w:r>
          </w:p>
          <w:p w:rsidR="00FB6671" w:rsidRPr="00E85005" w:rsidRDefault="00FB6671" w:rsidP="00FB6671">
            <w:pPr>
              <w:widowControl w:val="0"/>
              <w:numPr>
                <w:ilvl w:val="0"/>
                <w:numId w:val="33"/>
              </w:numPr>
              <w:shd w:val="clear" w:color="auto" w:fill="FFFFFF"/>
              <w:tabs>
                <w:tab w:val="left" w:pos="426"/>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Note sur la mise en œuvre des recommandations des rapports précédents</w:t>
            </w:r>
          </w:p>
          <w:p w:rsidR="00FB6671" w:rsidRPr="00E85005" w:rsidRDefault="00FB6671" w:rsidP="007C5949">
            <w:pPr>
              <w:pStyle w:val="Heading1"/>
              <w:jc w:val="left"/>
              <w:rPr>
                <w:rStyle w:val="BookTitle"/>
                <w:rFonts w:ascii="Times New Roman" w:eastAsia="Arial Unicode MS" w:hAnsi="Times New Roman"/>
                <w:sz w:val="24"/>
                <w:szCs w:val="24"/>
                <w:u w:val="single"/>
              </w:rPr>
            </w:pPr>
            <w:r w:rsidRPr="00E85005">
              <w:rPr>
                <w:rStyle w:val="BookTitle"/>
                <w:rFonts w:ascii="Times New Roman" w:eastAsia="Arial Unicode MS" w:hAnsi="Times New Roman"/>
                <w:sz w:val="24"/>
                <w:szCs w:val="24"/>
                <w:u w:val="single"/>
              </w:rPr>
              <w:t xml:space="preserve">Rapports de Validation </w:t>
            </w:r>
          </w:p>
          <w:p w:rsidR="00FB6671" w:rsidRPr="00E85005" w:rsidRDefault="00FB6671" w:rsidP="00FB6671">
            <w:pPr>
              <w:widowControl w:val="0"/>
              <w:numPr>
                <w:ilvl w:val="0"/>
                <w:numId w:val="33"/>
              </w:numPr>
              <w:shd w:val="clear" w:color="auto" w:fill="FFFFFF"/>
              <w:tabs>
                <w:tab w:val="left" w:pos="426"/>
                <w:tab w:val="left" w:pos="709"/>
              </w:tabs>
              <w:suppressAutoHyphens/>
              <w:spacing w:before="240" w:after="240"/>
              <w:jc w:val="both"/>
              <w:rPr>
                <w:rStyle w:val="FontStyle23"/>
                <w:rFonts w:ascii="Times New Roman" w:cs="Times New Roman"/>
                <w:sz w:val="24"/>
                <w:szCs w:val="24"/>
              </w:rPr>
            </w:pPr>
            <w:r w:rsidRPr="00E85005">
              <w:rPr>
                <w:rStyle w:val="FontStyle23"/>
                <w:rFonts w:ascii="Times New Roman" w:cs="Times New Roman"/>
                <w:sz w:val="24"/>
                <w:szCs w:val="24"/>
              </w:rPr>
              <w:t xml:space="preserve">Rapport de validation  Avril 2013 (site web </w:t>
            </w:r>
            <w:hyperlink r:id="rId33" w:history="1">
              <w:r w:rsidRPr="00E85005">
                <w:rPr>
                  <w:rStyle w:val="Hyperlink"/>
                  <w:rFonts w:eastAsia="Arial Unicode MS"/>
                  <w:szCs w:val="24"/>
                </w:rPr>
                <w:t>http://itietogo.org</w:t>
              </w:r>
            </w:hyperlink>
            <w:r w:rsidRPr="00E85005">
              <w:rPr>
                <w:rStyle w:val="FontStyle23"/>
                <w:rFonts w:ascii="Times New Roman" w:cs="Times New Roman"/>
                <w:sz w:val="24"/>
                <w:szCs w:val="24"/>
              </w:rPr>
              <w:t>);</w:t>
            </w:r>
          </w:p>
          <w:p w:rsidR="00FB6671" w:rsidRPr="00E85005" w:rsidRDefault="00FB6671" w:rsidP="007C5949">
            <w:pPr>
              <w:pStyle w:val="Heading1"/>
              <w:jc w:val="left"/>
              <w:rPr>
                <w:rStyle w:val="BookTitle"/>
                <w:rFonts w:ascii="Times New Roman" w:eastAsia="Arial Unicode MS" w:hAnsi="Times New Roman"/>
                <w:sz w:val="24"/>
                <w:szCs w:val="24"/>
                <w:u w:val="single"/>
              </w:rPr>
            </w:pPr>
            <w:r w:rsidRPr="00E85005">
              <w:rPr>
                <w:rStyle w:val="BookTitle"/>
                <w:rFonts w:ascii="Times New Roman" w:eastAsia="Arial Unicode MS" w:hAnsi="Times New Roman"/>
                <w:sz w:val="24"/>
                <w:szCs w:val="24"/>
                <w:u w:val="single"/>
              </w:rPr>
              <w:t>Autres documents pertinents (par ex. rapports d’activité annuels)</w:t>
            </w:r>
          </w:p>
          <w:p w:rsidR="00FB6671" w:rsidRPr="00E85005" w:rsidRDefault="00FB6671" w:rsidP="00FB6671">
            <w:pPr>
              <w:widowControl w:val="0"/>
              <w:numPr>
                <w:ilvl w:val="0"/>
                <w:numId w:val="33"/>
              </w:numPr>
              <w:shd w:val="clear" w:color="auto" w:fill="FFFFFF"/>
              <w:tabs>
                <w:tab w:val="left" w:pos="426"/>
                <w:tab w:val="left" w:pos="709"/>
              </w:tabs>
              <w:suppressAutoHyphens/>
              <w:spacing w:before="240" w:after="240"/>
              <w:jc w:val="both"/>
              <w:rPr>
                <w:szCs w:val="24"/>
              </w:rPr>
            </w:pPr>
            <w:r w:rsidRPr="00E85005">
              <w:rPr>
                <w:rStyle w:val="FontStyle23"/>
                <w:rFonts w:ascii="Times New Roman" w:cs="Times New Roman"/>
                <w:sz w:val="24"/>
                <w:szCs w:val="24"/>
              </w:rPr>
              <w:t xml:space="preserve">Rapport d’activité 2010 – 2013 </w:t>
            </w:r>
          </w:p>
        </w:tc>
        <w:tc>
          <w:tcPr>
            <w:tcW w:w="924" w:type="dxa"/>
          </w:tcPr>
          <w:p w:rsidR="00FB6671" w:rsidRPr="00E85005" w:rsidRDefault="00FB6671" w:rsidP="007C5949">
            <w:pPr>
              <w:rPr>
                <w:bCs/>
                <w:szCs w:val="24"/>
              </w:rPr>
            </w:pPr>
            <w:r w:rsidRPr="00E85005">
              <w:rPr>
                <w:bCs/>
                <w:szCs w:val="24"/>
              </w:rPr>
              <w:lastRenderedPageBreak/>
              <w:tab/>
            </w:r>
          </w:p>
        </w:tc>
        <w:tc>
          <w:tcPr>
            <w:tcW w:w="1803" w:type="dxa"/>
          </w:tcPr>
          <w:p w:rsidR="00FB6671" w:rsidRPr="00E85005" w:rsidRDefault="00FB6671" w:rsidP="007C5949">
            <w:pPr>
              <w:jc w:val="center"/>
              <w:rPr>
                <w:b/>
                <w:bCs/>
                <w:szCs w:val="24"/>
              </w:rPr>
            </w:pPr>
            <w:r w:rsidRPr="00E85005">
              <w:rPr>
                <w:b/>
                <w:bCs/>
                <w:szCs w:val="24"/>
              </w:rPr>
              <w:t xml:space="preserve">              </w:t>
            </w:r>
          </w:p>
          <w:p w:rsidR="00FB6671" w:rsidRPr="007400CA" w:rsidRDefault="00FB6671" w:rsidP="007C5949">
            <w:pPr>
              <w:pStyle w:val="Heading1"/>
              <w:jc w:val="left"/>
              <w:rPr>
                <w:rFonts w:ascii="Times New Roman" w:eastAsia="Arial Unicode MS" w:hAnsi="Times New Roman"/>
                <w:sz w:val="24"/>
                <w:szCs w:val="24"/>
                <w14:shadow w14:blurRad="50800" w14:dist="38100" w14:dir="2700000" w14:sx="100000" w14:sy="100000" w14:kx="0" w14:ky="0" w14:algn="tl">
                  <w14:srgbClr w14:val="000000">
                    <w14:alpha w14:val="60000"/>
                  </w14:srgbClr>
                </w14:shadow>
              </w:rPr>
            </w:pPr>
            <w:bookmarkStart w:id="98" w:name="_Toc353953761"/>
            <w:bookmarkStart w:id="99" w:name="_Toc353954407"/>
            <w:bookmarkStart w:id="100" w:name="_Toc374006101"/>
            <w:bookmarkStart w:id="101" w:name="_Toc374007038"/>
            <w:bookmarkStart w:id="102" w:name="_Toc374007437"/>
            <w:bookmarkStart w:id="103" w:name="_Toc374074534"/>
            <w:bookmarkStart w:id="104" w:name="_Toc374082485"/>
          </w:p>
          <w:p w:rsidR="00FB6671" w:rsidRPr="007400CA" w:rsidRDefault="00FB6671" w:rsidP="007C5949">
            <w:pPr>
              <w:pStyle w:val="Heading1"/>
              <w:jc w:val="left"/>
              <w:rPr>
                <w:rFonts w:ascii="Times New Roman" w:eastAsia="Arial Unicode MS" w:hAnsi="Times New Roman"/>
                <w:sz w:val="24"/>
                <w:szCs w:val="24"/>
                <w14:shadow w14:blurRad="50800" w14:dist="38100" w14:dir="2700000" w14:sx="100000" w14:sy="100000" w14:kx="0" w14:ky="0" w14:algn="tl">
                  <w14:srgbClr w14:val="000000">
                    <w14:alpha w14:val="60000"/>
                  </w14:srgbClr>
                </w14:shadow>
              </w:rPr>
            </w:pPr>
          </w:p>
          <w:p w:rsidR="00FB6671" w:rsidRPr="00E85005" w:rsidRDefault="00FB6671" w:rsidP="007C5949">
            <w:pPr>
              <w:pStyle w:val="Heading1"/>
              <w:jc w:val="left"/>
              <w:rPr>
                <w:rFonts w:ascii="Times New Roman" w:hAnsi="Times New Roman"/>
                <w:bCs/>
                <w:sz w:val="24"/>
                <w:szCs w:val="24"/>
              </w:rPr>
            </w:pPr>
            <w:r w:rsidRPr="007400CA">
              <w:rPr>
                <w:rFonts w:ascii="Times New Roman" w:eastAsia="Arial Unicode MS" w:hAnsi="Times New Roman"/>
                <w:sz w:val="24"/>
                <w:szCs w:val="24"/>
                <w14:shadow w14:blurRad="50800" w14:dist="38100" w14:dir="2700000" w14:sx="100000" w14:sy="100000" w14:kx="0" w14:ky="0" w14:algn="tl">
                  <w14:srgbClr w14:val="000000">
                    <w14:alpha w14:val="60000"/>
                  </w14:srgbClr>
                </w14:shadow>
              </w:rPr>
              <w:t>REPUBLIQUE</w:t>
            </w:r>
            <w:r w:rsidRPr="00E85005">
              <w:rPr>
                <w:rFonts w:ascii="Times New Roman" w:hAnsi="Times New Roman"/>
                <w:sz w:val="24"/>
                <w:szCs w:val="24"/>
              </w:rPr>
              <w:t xml:space="preserve"> </w:t>
            </w:r>
            <w:r w:rsidRPr="007400CA">
              <w:rPr>
                <w:rFonts w:ascii="Times New Roman" w:eastAsia="Arial Unicode MS" w:hAnsi="Times New Roman"/>
                <w:sz w:val="24"/>
                <w:szCs w:val="24"/>
                <w14:shadow w14:blurRad="50800" w14:dist="38100" w14:dir="2700000" w14:sx="100000" w14:sy="100000" w14:kx="0" w14:ky="0" w14:algn="tl">
                  <w14:srgbClr w14:val="000000">
                    <w14:alpha w14:val="60000"/>
                  </w14:srgbClr>
                </w14:shadow>
              </w:rPr>
              <w:t>TOGOLAISE</w:t>
            </w:r>
            <w:bookmarkEnd w:id="98"/>
            <w:bookmarkEnd w:id="99"/>
            <w:bookmarkEnd w:id="100"/>
            <w:bookmarkEnd w:id="101"/>
            <w:bookmarkEnd w:id="102"/>
            <w:bookmarkEnd w:id="103"/>
            <w:bookmarkEnd w:id="104"/>
          </w:p>
          <w:p w:rsidR="00FB6671" w:rsidRPr="00E85005" w:rsidRDefault="00FB6671" w:rsidP="007C5949">
            <w:pPr>
              <w:pStyle w:val="Heading1"/>
              <w:jc w:val="left"/>
              <w:rPr>
                <w:rFonts w:ascii="Times New Roman" w:hAnsi="Times New Roman"/>
                <w:b w:val="0"/>
                <w:bCs/>
                <w:i/>
                <w:iCs/>
                <w:sz w:val="24"/>
                <w:szCs w:val="24"/>
              </w:rPr>
            </w:pPr>
            <w:bookmarkStart w:id="105" w:name="_Toc353953762"/>
            <w:bookmarkStart w:id="106" w:name="_Toc353954408"/>
            <w:bookmarkStart w:id="107" w:name="_Toc374006102"/>
            <w:bookmarkStart w:id="108" w:name="_Toc374007039"/>
            <w:bookmarkStart w:id="109" w:name="_Toc374007438"/>
            <w:bookmarkStart w:id="110" w:name="_Toc374074535"/>
            <w:bookmarkStart w:id="111" w:name="_Toc374082486"/>
            <w:r w:rsidRPr="007400CA">
              <w:rPr>
                <w:rFonts w:ascii="Times New Roman" w:eastAsia="Arial Unicode MS" w:hAnsi="Times New Roman"/>
                <w:b w:val="0"/>
                <w:i/>
                <w:sz w:val="24"/>
                <w:szCs w:val="24"/>
                <w14:shadow w14:blurRad="50800" w14:dist="38100" w14:dir="2700000" w14:sx="100000" w14:sy="100000" w14:kx="0" w14:ky="0" w14:algn="tl">
                  <w14:srgbClr w14:val="000000">
                    <w14:alpha w14:val="60000"/>
                  </w14:srgbClr>
                </w14:shadow>
              </w:rPr>
              <w:t>Travail</w:t>
            </w:r>
            <w:r w:rsidRPr="007400CA">
              <w:rPr>
                <w:rFonts w:ascii="Times New Roman" w:hAnsi="Times New Roman"/>
                <w:b w:val="0"/>
                <w:i/>
                <w:sz w:val="24"/>
                <w:szCs w:val="24"/>
                <w14:shadow w14:blurRad="50800" w14:dist="38100" w14:dir="2700000" w14:sx="100000" w14:sy="100000" w14:kx="0" w14:ky="0" w14:algn="tl">
                  <w14:srgbClr w14:val="000000">
                    <w14:alpha w14:val="60000"/>
                  </w14:srgbClr>
                </w14:shadow>
              </w:rPr>
              <w:t xml:space="preserve"> – </w:t>
            </w:r>
            <w:r w:rsidRPr="007400CA">
              <w:rPr>
                <w:rFonts w:ascii="Times New Roman" w:eastAsia="Arial Unicode MS" w:hAnsi="Times New Roman"/>
                <w:b w:val="0"/>
                <w:i/>
                <w:sz w:val="24"/>
                <w:szCs w:val="24"/>
                <w14:shadow w14:blurRad="50800" w14:dist="38100" w14:dir="2700000" w14:sx="100000" w14:sy="100000" w14:kx="0" w14:ky="0" w14:algn="tl">
                  <w14:srgbClr w14:val="000000">
                    <w14:alpha w14:val="60000"/>
                  </w14:srgbClr>
                </w14:shadow>
              </w:rPr>
              <w:t>Liberté</w:t>
            </w:r>
            <w:r w:rsidRPr="007400CA">
              <w:rPr>
                <w:rFonts w:ascii="Times New Roman" w:hAnsi="Times New Roman"/>
                <w:b w:val="0"/>
                <w:i/>
                <w:sz w:val="24"/>
                <w:szCs w:val="24"/>
                <w14:shadow w14:blurRad="50800" w14:dist="38100" w14:dir="2700000" w14:sx="100000" w14:sy="100000" w14:kx="0" w14:ky="0" w14:algn="tl">
                  <w14:srgbClr w14:val="000000">
                    <w14:alpha w14:val="60000"/>
                  </w14:srgbClr>
                </w14:shadow>
              </w:rPr>
              <w:t xml:space="preserve"> – </w:t>
            </w:r>
            <w:r w:rsidRPr="007400CA">
              <w:rPr>
                <w:rFonts w:ascii="Times New Roman" w:eastAsia="Arial Unicode MS" w:hAnsi="Times New Roman"/>
                <w:b w:val="0"/>
                <w:i/>
                <w:sz w:val="24"/>
                <w:szCs w:val="24"/>
                <w14:shadow w14:blurRad="50800" w14:dist="38100" w14:dir="2700000" w14:sx="100000" w14:sy="100000" w14:kx="0" w14:ky="0" w14:algn="tl">
                  <w14:srgbClr w14:val="000000">
                    <w14:alpha w14:val="60000"/>
                  </w14:srgbClr>
                </w14:shadow>
              </w:rPr>
              <w:t>Patrie</w:t>
            </w:r>
            <w:bookmarkEnd w:id="105"/>
            <w:bookmarkEnd w:id="106"/>
            <w:bookmarkEnd w:id="107"/>
            <w:bookmarkEnd w:id="108"/>
            <w:bookmarkEnd w:id="109"/>
            <w:bookmarkEnd w:id="110"/>
            <w:bookmarkEnd w:id="111"/>
            <w:r w:rsidRPr="00E85005">
              <w:rPr>
                <w:rFonts w:ascii="Times New Roman" w:hAnsi="Times New Roman"/>
                <w:b w:val="0"/>
                <w:i/>
                <w:iCs/>
                <w:sz w:val="24"/>
                <w:szCs w:val="24"/>
              </w:rPr>
              <w:t xml:space="preserve"> </w:t>
            </w:r>
          </w:p>
          <w:p w:rsidR="00FB6671" w:rsidRPr="00E85005" w:rsidRDefault="00FB6671" w:rsidP="007C5949">
            <w:pPr>
              <w:rPr>
                <w:b/>
                <w:bCs/>
                <w:i/>
                <w:iCs/>
                <w:szCs w:val="24"/>
              </w:rPr>
            </w:pPr>
            <w:r w:rsidRPr="00E85005">
              <w:rPr>
                <w:b/>
                <w:bCs/>
                <w:i/>
                <w:iCs/>
                <w:szCs w:val="24"/>
              </w:rPr>
              <w:tab/>
              <w:t xml:space="preserve">                   ------------------</w:t>
            </w:r>
          </w:p>
        </w:tc>
      </w:tr>
    </w:tbl>
    <w:p w:rsidR="00EE5CB4" w:rsidRPr="00E85005" w:rsidRDefault="00EE5CB4" w:rsidP="00FB6671">
      <w:pPr>
        <w:ind w:right="900"/>
        <w:jc w:val="center"/>
        <w:rPr>
          <w:szCs w:val="24"/>
        </w:rPr>
      </w:pPr>
    </w:p>
    <w:p w:rsidR="00FB6671" w:rsidRPr="00E85005" w:rsidRDefault="00FB6671" w:rsidP="00FB6671">
      <w:pPr>
        <w:ind w:right="900"/>
        <w:jc w:val="center"/>
        <w:rPr>
          <w:szCs w:val="24"/>
        </w:rPr>
      </w:pPr>
    </w:p>
    <w:p w:rsidR="00FB6671" w:rsidRPr="00E85005" w:rsidRDefault="00FB6671" w:rsidP="00FB6671">
      <w:pPr>
        <w:ind w:right="900"/>
        <w:jc w:val="center"/>
        <w:rPr>
          <w:szCs w:val="24"/>
        </w:rPr>
      </w:pPr>
    </w:p>
    <w:p w:rsidR="00FB6671" w:rsidRPr="00E85005" w:rsidRDefault="00FB6671" w:rsidP="00FB6671">
      <w:pPr>
        <w:ind w:right="900"/>
        <w:jc w:val="center"/>
        <w:rPr>
          <w:szCs w:val="24"/>
        </w:rPr>
      </w:pPr>
    </w:p>
    <w:p w:rsidR="00FB6671" w:rsidRPr="00E85005" w:rsidRDefault="00FB6671" w:rsidP="00FB6671">
      <w:pPr>
        <w:ind w:right="900"/>
        <w:jc w:val="center"/>
        <w:rPr>
          <w:szCs w:val="24"/>
        </w:rPr>
      </w:pPr>
    </w:p>
    <w:p w:rsidR="00FB6671" w:rsidRPr="00E85005" w:rsidRDefault="00FB6671" w:rsidP="00FB6671">
      <w:pPr>
        <w:ind w:right="900"/>
        <w:jc w:val="center"/>
        <w:rPr>
          <w:szCs w:val="24"/>
        </w:rPr>
      </w:pPr>
    </w:p>
    <w:p w:rsidR="00FB6671" w:rsidRPr="00E85005" w:rsidRDefault="00FB6671" w:rsidP="00FB6671">
      <w:pPr>
        <w:ind w:right="900"/>
        <w:jc w:val="center"/>
        <w:rPr>
          <w:szCs w:val="24"/>
        </w:rPr>
      </w:pPr>
    </w:p>
    <w:p w:rsidR="00FB6671" w:rsidRPr="00E85005" w:rsidRDefault="00FB6671" w:rsidP="00FB6671">
      <w:pPr>
        <w:ind w:right="900"/>
        <w:jc w:val="center"/>
        <w:rPr>
          <w:szCs w:val="24"/>
        </w:rPr>
      </w:pPr>
    </w:p>
    <w:p w:rsidR="00FB6671" w:rsidRPr="00E85005" w:rsidRDefault="00FB6671"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Pr="00E85005" w:rsidRDefault="00563479" w:rsidP="00FB6671">
      <w:pPr>
        <w:ind w:right="900"/>
        <w:jc w:val="center"/>
        <w:rPr>
          <w:szCs w:val="24"/>
        </w:rP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FB6671" w:rsidRDefault="00FB6671" w:rsidP="00FB6671">
      <w:pPr>
        <w:ind w:right="900"/>
        <w:jc w:val="center"/>
      </w:pPr>
    </w:p>
    <w:p w:rsidR="00FB6671" w:rsidRDefault="00FB6671"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563479" w:rsidRDefault="00563479" w:rsidP="00FB6671">
      <w:pPr>
        <w:ind w:right="900"/>
        <w:jc w:val="center"/>
      </w:pPr>
    </w:p>
    <w:p w:rsidR="00FB6671" w:rsidRDefault="00FB6671" w:rsidP="00FB6671">
      <w:pPr>
        <w:ind w:right="900"/>
        <w:jc w:val="center"/>
      </w:pPr>
    </w:p>
    <w:p w:rsidR="00FB6671" w:rsidRDefault="00FB6671" w:rsidP="00FB6671">
      <w:pPr>
        <w:ind w:right="900"/>
        <w:jc w:val="center"/>
      </w:pPr>
    </w:p>
    <w:p w:rsidR="00FB6671" w:rsidRPr="00237EAC" w:rsidRDefault="00FB6671" w:rsidP="00FB6671">
      <w:pPr>
        <w:jc w:val="center"/>
        <w:rPr>
          <w:b/>
          <w:sz w:val="32"/>
          <w:szCs w:val="32"/>
        </w:rPr>
      </w:pPr>
      <w:r w:rsidRPr="00237EAC">
        <w:rPr>
          <w:b/>
          <w:sz w:val="32"/>
          <w:szCs w:val="32"/>
        </w:rPr>
        <w:t xml:space="preserve">MODELE </w:t>
      </w:r>
      <w:r>
        <w:rPr>
          <w:b/>
          <w:sz w:val="32"/>
          <w:szCs w:val="32"/>
        </w:rPr>
        <w:t>TYPE</w:t>
      </w:r>
      <w:r w:rsidRPr="00237EAC">
        <w:rPr>
          <w:b/>
          <w:sz w:val="32"/>
          <w:szCs w:val="32"/>
        </w:rPr>
        <w:t xml:space="preserve"> DE MARCHE</w:t>
      </w:r>
    </w:p>
    <w:p w:rsidR="00FB6671" w:rsidRDefault="00FB6671" w:rsidP="00FB6671"/>
    <w:p w:rsidR="00FB6671" w:rsidRDefault="00FB6671" w:rsidP="00FB6671"/>
    <w:p w:rsidR="00FB6671" w:rsidRDefault="00FB6671" w:rsidP="00FB6671"/>
    <w:p w:rsidR="00FB6671" w:rsidRDefault="00FB6671" w:rsidP="00FB6671"/>
    <w:p w:rsidR="00FB6671" w:rsidRDefault="00FB6671" w:rsidP="00FB6671"/>
    <w:p w:rsidR="00FB6671" w:rsidRPr="00D9662F" w:rsidRDefault="00FB6671" w:rsidP="00FB6671">
      <w:pPr>
        <w:jc w:val="center"/>
        <w:rPr>
          <w:b/>
          <w:sz w:val="40"/>
          <w:szCs w:val="40"/>
        </w:rPr>
      </w:pPr>
      <w:r w:rsidRPr="00D9662F">
        <w:rPr>
          <w:b/>
          <w:sz w:val="40"/>
          <w:szCs w:val="40"/>
        </w:rPr>
        <w:t>Services de Consultants</w:t>
      </w:r>
    </w:p>
    <w:p w:rsidR="00FB6671" w:rsidRDefault="00FB6671" w:rsidP="00FB6671">
      <w:pPr>
        <w:jc w:val="center"/>
        <w:rPr>
          <w:b/>
          <w:smallCaps/>
          <w:sz w:val="32"/>
        </w:rPr>
      </w:pPr>
    </w:p>
    <w:p w:rsidR="00FB6671" w:rsidRDefault="00FB6671" w:rsidP="00FB6671">
      <w:pPr>
        <w:jc w:val="center"/>
        <w:rPr>
          <w:b/>
          <w:smallCaps/>
          <w:sz w:val="32"/>
        </w:rPr>
      </w:pPr>
      <w:r>
        <w:rPr>
          <w:b/>
          <w:smallCaps/>
          <w:sz w:val="32"/>
        </w:rPr>
        <w:t>(Prestations intellectuelles)</w:t>
      </w:r>
    </w:p>
    <w:p w:rsidR="00FB6671" w:rsidRDefault="00FB6671" w:rsidP="00FB6671">
      <w:pPr>
        <w:jc w:val="center"/>
        <w:rPr>
          <w:b/>
          <w:sz w:val="88"/>
        </w:rPr>
      </w:pPr>
    </w:p>
    <w:p w:rsidR="00FB6671" w:rsidRDefault="00FB6671" w:rsidP="00FB6671">
      <w:pPr>
        <w:jc w:val="center"/>
      </w:pPr>
      <w:r>
        <w:rPr>
          <w:b/>
          <w:sz w:val="48"/>
        </w:rPr>
        <w:t>Marché à rémunération forfaitaire</w:t>
      </w:r>
    </w:p>
    <w:p w:rsidR="00FB6671" w:rsidRDefault="00FB6671" w:rsidP="00FB6671"/>
    <w:p w:rsidR="00FB6671" w:rsidRDefault="00FB6671" w:rsidP="00FB6671">
      <w:pPr>
        <w:jc w:val="center"/>
        <w:rPr>
          <w:b/>
          <w:sz w:val="32"/>
        </w:rPr>
      </w:pPr>
    </w:p>
    <w:p w:rsidR="00FB6671" w:rsidRDefault="00FB6671" w:rsidP="00FB6671">
      <w:pPr>
        <w:ind w:right="900"/>
        <w:jc w:val="center"/>
        <w:rPr>
          <w:b/>
          <w:sz w:val="32"/>
        </w:rPr>
      </w:pPr>
      <w:r>
        <w:rPr>
          <w:b/>
          <w:sz w:val="32"/>
        </w:rPr>
        <w:t>Source de financemen</w:t>
      </w:r>
      <w:r w:rsidR="00A7249C">
        <w:rPr>
          <w:b/>
          <w:sz w:val="32"/>
        </w:rPr>
        <w:t>t : Contrepartie ; Compte ITIE/</w:t>
      </w:r>
      <w:r>
        <w:rPr>
          <w:b/>
          <w:sz w:val="32"/>
        </w:rPr>
        <w:t>Trésors</w:t>
      </w: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FB6671">
      <w:pPr>
        <w:ind w:right="900"/>
        <w:jc w:val="center"/>
        <w:rPr>
          <w:b/>
          <w:sz w:val="32"/>
        </w:rPr>
      </w:pPr>
    </w:p>
    <w:p w:rsidR="00E3381D" w:rsidRDefault="00E3381D" w:rsidP="00E3381D">
      <w:pPr>
        <w:jc w:val="center"/>
        <w:rPr>
          <w:b/>
          <w:smallCaps/>
          <w:sz w:val="32"/>
        </w:rPr>
      </w:pPr>
      <w:r>
        <w:rPr>
          <w:rFonts w:ascii="Times New Roman Bold" w:hAnsi="Times New Roman Bold"/>
          <w:b/>
          <w:smallCaps/>
          <w:sz w:val="32"/>
        </w:rPr>
        <w:t xml:space="preserve">Marché de Consultant pour des Prestations </w:t>
      </w:r>
      <w:r>
        <w:rPr>
          <w:b/>
          <w:smallCaps/>
          <w:sz w:val="32"/>
        </w:rPr>
        <w:t>intellectuelles</w:t>
      </w:r>
    </w:p>
    <w:p w:rsidR="00E3381D" w:rsidRDefault="00E3381D" w:rsidP="00E3381D">
      <w:pPr>
        <w:jc w:val="center"/>
        <w:rPr>
          <w:b/>
          <w:smallCaps/>
          <w:sz w:val="32"/>
        </w:rPr>
      </w:pPr>
    </w:p>
    <w:p w:rsidR="00E3381D" w:rsidRDefault="00E3381D" w:rsidP="00E3381D">
      <w:pPr>
        <w:jc w:val="center"/>
      </w:pPr>
    </w:p>
    <w:p w:rsidR="00E3381D" w:rsidRDefault="00E3381D" w:rsidP="00E3381D">
      <w:pPr>
        <w:jc w:val="center"/>
        <w:rPr>
          <w:sz w:val="28"/>
        </w:rPr>
      </w:pPr>
      <w:r>
        <w:rPr>
          <w:b/>
          <w:sz w:val="28"/>
        </w:rPr>
        <w:t>Marché à rémunération forfaitaire</w:t>
      </w:r>
    </w:p>
    <w:p w:rsidR="00E3381D" w:rsidRDefault="00E3381D" w:rsidP="00E3381D"/>
    <w:p w:rsidR="00E3381D" w:rsidRDefault="00E3381D" w:rsidP="00E3381D"/>
    <w:p w:rsidR="00E3381D" w:rsidRDefault="00E3381D" w:rsidP="00E3381D"/>
    <w:p w:rsidR="00E3381D" w:rsidRDefault="00E3381D" w:rsidP="00E3381D"/>
    <w:p w:rsidR="00E3381D" w:rsidRDefault="00E3381D" w:rsidP="00E3381D">
      <w:pPr>
        <w:jc w:val="center"/>
      </w:pPr>
      <w:proofErr w:type="gramStart"/>
      <w:r>
        <w:t>passé</w:t>
      </w:r>
      <w:proofErr w:type="gramEnd"/>
      <w:r>
        <w:t xml:space="preserve"> entre</w:t>
      </w:r>
    </w:p>
    <w:p w:rsidR="00E3381D" w:rsidRDefault="00E3381D" w:rsidP="00E3381D"/>
    <w:p w:rsidR="00E3381D" w:rsidRDefault="00E3381D" w:rsidP="00E3381D"/>
    <w:p w:rsidR="00E3381D" w:rsidRDefault="00E3381D" w:rsidP="00E3381D"/>
    <w:p w:rsidR="00E3381D" w:rsidRDefault="00E3381D" w:rsidP="00E3381D"/>
    <w:p w:rsidR="00E3381D" w:rsidRDefault="00E3381D" w:rsidP="00E3381D"/>
    <w:p w:rsidR="00E3381D" w:rsidRDefault="00E3381D" w:rsidP="00E3381D"/>
    <w:p w:rsidR="00E3381D" w:rsidRPr="00BB31EE" w:rsidRDefault="00E3381D" w:rsidP="00E3381D">
      <w:pPr>
        <w:tabs>
          <w:tab w:val="left" w:pos="4320"/>
        </w:tabs>
        <w:jc w:val="center"/>
        <w:rPr>
          <w:b/>
          <w:sz w:val="44"/>
          <w:szCs w:val="44"/>
        </w:rPr>
      </w:pPr>
      <w:r w:rsidRPr="00BB31EE">
        <w:rPr>
          <w:b/>
          <w:sz w:val="44"/>
          <w:szCs w:val="44"/>
        </w:rPr>
        <w:t>INITIATIVE POUR LA TRANSPARENCE DANS LES INDUSTRIES EXTRACTIVES</w:t>
      </w:r>
    </w:p>
    <w:p w:rsidR="00E3381D" w:rsidRPr="00BB31EE" w:rsidRDefault="00E3381D" w:rsidP="00E3381D">
      <w:pPr>
        <w:jc w:val="center"/>
        <w:rPr>
          <w:b/>
        </w:rPr>
      </w:pPr>
    </w:p>
    <w:p w:rsidR="00E3381D" w:rsidRPr="00BB31EE" w:rsidRDefault="00E3381D" w:rsidP="00E3381D">
      <w:pPr>
        <w:rPr>
          <w:b/>
          <w:u w:val="single"/>
        </w:rPr>
      </w:pPr>
    </w:p>
    <w:p w:rsidR="00E3381D" w:rsidRPr="00BB31EE" w:rsidRDefault="00E3381D" w:rsidP="00E3381D">
      <w:pPr>
        <w:rPr>
          <w:b/>
          <w:u w:val="single"/>
        </w:rPr>
      </w:pPr>
    </w:p>
    <w:p w:rsidR="00E3381D" w:rsidRDefault="00E3381D" w:rsidP="00E3381D"/>
    <w:p w:rsidR="00E3381D" w:rsidRDefault="00E3381D" w:rsidP="00E3381D"/>
    <w:p w:rsidR="00E3381D" w:rsidRDefault="00E3381D" w:rsidP="00E3381D"/>
    <w:p w:rsidR="00E3381D" w:rsidRDefault="00E3381D" w:rsidP="00E3381D"/>
    <w:p w:rsidR="00E3381D" w:rsidRDefault="00E3381D" w:rsidP="00E3381D">
      <w:pPr>
        <w:jc w:val="center"/>
      </w:pPr>
      <w:proofErr w:type="gramStart"/>
      <w:r>
        <w:t>et</w:t>
      </w:r>
      <w:proofErr w:type="gramEnd"/>
    </w:p>
    <w:p w:rsidR="00E3381D" w:rsidRDefault="00E3381D" w:rsidP="00E3381D"/>
    <w:p w:rsidR="00E3381D" w:rsidRDefault="00E3381D" w:rsidP="00E3381D"/>
    <w:p w:rsidR="00E3381D" w:rsidRDefault="00E3381D" w:rsidP="00E3381D"/>
    <w:p w:rsidR="00E3381D" w:rsidRDefault="00E3381D" w:rsidP="00E3381D"/>
    <w:p w:rsidR="00E3381D" w:rsidRDefault="00E3381D" w:rsidP="00E3381D"/>
    <w:p w:rsidR="00E3381D" w:rsidRDefault="00E3381D" w:rsidP="00E3381D"/>
    <w:p w:rsidR="00E3381D" w:rsidRDefault="00E3381D" w:rsidP="00E3381D">
      <w:pPr>
        <w:tabs>
          <w:tab w:val="left" w:pos="4320"/>
        </w:tabs>
        <w:jc w:val="center"/>
      </w:pPr>
      <w:r>
        <w:rPr>
          <w:u w:val="single"/>
        </w:rPr>
        <w:tab/>
      </w:r>
    </w:p>
    <w:p w:rsidR="00E3381D" w:rsidRDefault="00E3381D" w:rsidP="00E3381D">
      <w:pPr>
        <w:jc w:val="center"/>
      </w:pPr>
      <w:r>
        <w:t>[</w:t>
      </w:r>
      <w:proofErr w:type="gramStart"/>
      <w:r>
        <w:t>nom</w:t>
      </w:r>
      <w:proofErr w:type="gramEnd"/>
      <w:r>
        <w:t xml:space="preserve"> du Consultant]</w:t>
      </w:r>
    </w:p>
    <w:p w:rsidR="00E3381D" w:rsidRDefault="00E3381D" w:rsidP="00E3381D"/>
    <w:p w:rsidR="00E3381D" w:rsidRDefault="00E3381D" w:rsidP="00E3381D"/>
    <w:p w:rsidR="00E3381D" w:rsidRDefault="00E3381D" w:rsidP="00E3381D"/>
    <w:p w:rsidR="00E3381D" w:rsidRDefault="00E3381D" w:rsidP="00E3381D"/>
    <w:p w:rsidR="00E3381D" w:rsidRDefault="00E3381D" w:rsidP="00E3381D"/>
    <w:p w:rsidR="00E3381D" w:rsidRDefault="00E3381D" w:rsidP="00E3381D"/>
    <w:p w:rsidR="00E3381D" w:rsidRDefault="00E3381D" w:rsidP="00E3381D">
      <w:pPr>
        <w:tabs>
          <w:tab w:val="left" w:pos="2880"/>
        </w:tabs>
        <w:jc w:val="center"/>
      </w:pPr>
      <w:r>
        <w:t xml:space="preserve">Date: </w:t>
      </w:r>
      <w:r>
        <w:rPr>
          <w:u w:val="single"/>
        </w:rPr>
        <w:tab/>
      </w:r>
    </w:p>
    <w:p w:rsidR="00E3381D" w:rsidRDefault="00E3381D" w:rsidP="00FB6671">
      <w:pPr>
        <w:ind w:right="900"/>
        <w:jc w:val="center"/>
      </w:pPr>
    </w:p>
    <w:p w:rsidR="00E3381D" w:rsidRDefault="00E3381D" w:rsidP="00FB6671">
      <w:pPr>
        <w:ind w:right="900"/>
        <w:jc w:val="center"/>
      </w:pPr>
    </w:p>
    <w:p w:rsidR="00E3381D" w:rsidRDefault="00E3381D" w:rsidP="00FB6671">
      <w:pPr>
        <w:ind w:right="900"/>
        <w:jc w:val="center"/>
      </w:pPr>
    </w:p>
    <w:p w:rsidR="00E3381D" w:rsidRDefault="00E3381D" w:rsidP="00FB6671">
      <w:pPr>
        <w:ind w:right="900"/>
        <w:jc w:val="center"/>
      </w:pPr>
    </w:p>
    <w:p w:rsidR="00E3381D" w:rsidRDefault="00E3381D" w:rsidP="00FB6671">
      <w:pPr>
        <w:ind w:right="900"/>
        <w:jc w:val="center"/>
      </w:pPr>
    </w:p>
    <w:p w:rsidR="00E3381D" w:rsidRDefault="00E3381D" w:rsidP="00FB6671">
      <w:pPr>
        <w:ind w:right="900"/>
        <w:jc w:val="center"/>
      </w:pPr>
    </w:p>
    <w:p w:rsidR="00E3381D" w:rsidRDefault="00E3381D" w:rsidP="00E3381D">
      <w:pPr>
        <w:pStyle w:val="A2-heading1"/>
      </w:pPr>
      <w:bookmarkStart w:id="112" w:name="_Toc356621426"/>
      <w:bookmarkStart w:id="113" w:name="_Toc72514749"/>
      <w:bookmarkStart w:id="114" w:name="_Toc72515146"/>
      <w:bookmarkStart w:id="115" w:name="_Toc319537928"/>
      <w:r>
        <w:t>I. Modèle de Marché</w:t>
      </w:r>
      <w:bookmarkEnd w:id="112"/>
      <w:bookmarkEnd w:id="113"/>
      <w:bookmarkEnd w:id="114"/>
      <w:bookmarkEnd w:id="115"/>
    </w:p>
    <w:p w:rsidR="00E3381D" w:rsidRDefault="00E3381D" w:rsidP="00E3381D">
      <w:pPr>
        <w:jc w:val="center"/>
        <w:rPr>
          <w:rFonts w:ascii="Times New Roman Bold" w:hAnsi="Times New Roman Bold"/>
          <w:b/>
          <w:smallCaps/>
        </w:rPr>
      </w:pPr>
    </w:p>
    <w:p w:rsidR="00E3381D" w:rsidRDefault="00E3381D" w:rsidP="00E3381D">
      <w:pPr>
        <w:jc w:val="center"/>
        <w:rPr>
          <w:rFonts w:ascii="Times New Roman Bold" w:hAnsi="Times New Roman Bold"/>
          <w:b/>
          <w:smallCaps/>
        </w:rPr>
      </w:pPr>
      <w:r>
        <w:rPr>
          <w:rFonts w:ascii="Times New Roman Bold" w:hAnsi="Times New Roman Bold"/>
          <w:b/>
          <w:smallCaps/>
        </w:rPr>
        <w:t>Rémunération Forfaitaire</w:t>
      </w:r>
    </w:p>
    <w:p w:rsidR="00E3381D" w:rsidRPr="006B4EA6" w:rsidRDefault="00E3381D" w:rsidP="00E3381D">
      <w:pPr>
        <w:jc w:val="both"/>
        <w:rPr>
          <w:i/>
        </w:rPr>
      </w:pPr>
    </w:p>
    <w:p w:rsidR="00E3381D" w:rsidRDefault="00E3381D" w:rsidP="00E3381D">
      <w:pPr>
        <w:jc w:val="both"/>
      </w:pPr>
      <w:r>
        <w:t xml:space="preserve">Le présent MARCHE (intitulé ci-après le “Marché”) est passé le </w:t>
      </w:r>
      <w:r>
        <w:rPr>
          <w:i/>
          <w:sz w:val="20"/>
        </w:rPr>
        <w:t>[jour]</w:t>
      </w:r>
      <w:r>
        <w:t xml:space="preserve"> jour du </w:t>
      </w:r>
      <w:r>
        <w:rPr>
          <w:i/>
          <w:sz w:val="20"/>
        </w:rPr>
        <w:t>[mois]</w:t>
      </w:r>
      <w:r>
        <w:t xml:space="preserve"> de </w:t>
      </w:r>
      <w:r>
        <w:rPr>
          <w:i/>
          <w:sz w:val="20"/>
        </w:rPr>
        <w:t>[année]</w:t>
      </w:r>
      <w:r>
        <w:t xml:space="preserve">, entre, d’une part, l’Initiative pour la Transparence dans  les Industries Extractives (ci-après désignée l’Autorité contractante) et, d’autre part, </w:t>
      </w:r>
      <w:r>
        <w:rPr>
          <w:i/>
          <w:sz w:val="20"/>
        </w:rPr>
        <w:t>[nom du Consultant]</w:t>
      </w:r>
      <w:r>
        <w:t xml:space="preserve"> (ci-après désigné le “Consultant”).</w:t>
      </w:r>
    </w:p>
    <w:p w:rsidR="00E3381D" w:rsidRDefault="00E3381D" w:rsidP="00E3381D">
      <w:pPr>
        <w:jc w:val="both"/>
      </w:pPr>
    </w:p>
    <w:p w:rsidR="00E3381D" w:rsidRPr="00B504F4" w:rsidRDefault="00E3381D" w:rsidP="00E3381D">
      <w:pPr>
        <w:jc w:val="both"/>
        <w:rPr>
          <w:b/>
        </w:rPr>
      </w:pPr>
      <w:r w:rsidRPr="00B504F4">
        <w:rPr>
          <w:b/>
        </w:rPr>
        <w:t>ATTENDU QUE</w:t>
      </w:r>
    </w:p>
    <w:p w:rsidR="00E3381D" w:rsidRDefault="00E3381D" w:rsidP="00E3381D">
      <w:pPr>
        <w:tabs>
          <w:tab w:val="left" w:pos="1080"/>
        </w:tabs>
        <w:ind w:left="1080" w:hanging="540"/>
        <w:jc w:val="both"/>
      </w:pPr>
    </w:p>
    <w:p w:rsidR="00E3381D" w:rsidRDefault="00E3381D" w:rsidP="00E3381D">
      <w:pPr>
        <w:tabs>
          <w:tab w:val="left" w:pos="1080"/>
        </w:tabs>
        <w:ind w:left="1080" w:hanging="540"/>
        <w:jc w:val="both"/>
      </w:pPr>
      <w:r>
        <w:t>(a)</w:t>
      </w:r>
      <w:r>
        <w:tab/>
        <w:t>l’Autorité contractante a demandé au Consultant de fournir certaines prestations de services définies dans le présent Marché (ci-après intitulées les “Services ”);</w:t>
      </w:r>
    </w:p>
    <w:p w:rsidR="00E3381D" w:rsidRDefault="00E3381D" w:rsidP="00E3381D">
      <w:pPr>
        <w:tabs>
          <w:tab w:val="left" w:pos="1080"/>
        </w:tabs>
        <w:ind w:left="1080" w:hanging="540"/>
        <w:jc w:val="both"/>
      </w:pPr>
    </w:p>
    <w:p w:rsidR="00E3381D" w:rsidRDefault="00E3381D" w:rsidP="00E3381D">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rsidR="00E3381D" w:rsidRDefault="00E3381D" w:rsidP="00E3381D">
      <w:pPr>
        <w:tabs>
          <w:tab w:val="left" w:pos="1080"/>
        </w:tabs>
        <w:ind w:left="1080" w:hanging="540"/>
        <w:jc w:val="both"/>
      </w:pPr>
    </w:p>
    <w:p w:rsidR="00E3381D" w:rsidRPr="00B55A65" w:rsidRDefault="00E3381D" w:rsidP="00E3381D">
      <w:pPr>
        <w:jc w:val="both"/>
        <w:rPr>
          <w:i/>
          <w:sz w:val="28"/>
        </w:rPr>
      </w:pPr>
      <w:r>
        <w:t>(c)    L’Autorité contractante,</w:t>
      </w:r>
      <w:r>
        <w:rPr>
          <w:i/>
        </w:rPr>
        <w:t xml:space="preserve"> </w:t>
      </w:r>
      <w:r w:rsidRPr="00BB31EE">
        <w:t xml:space="preserve">Initiative pour la </w:t>
      </w:r>
      <w:r>
        <w:t>T</w:t>
      </w:r>
      <w:r w:rsidRPr="00BB31EE">
        <w:t xml:space="preserve">ransparence dans les Industries </w:t>
      </w:r>
      <w:r>
        <w:t>E</w:t>
      </w:r>
      <w:r w:rsidRPr="00BB31EE">
        <w:t>xtractives</w:t>
      </w:r>
      <w:r>
        <w:t xml:space="preserve"> (ITIE Togo</w:t>
      </w:r>
      <w:r>
        <w:rPr>
          <w:i/>
        </w:rPr>
        <w:t xml:space="preserve">) </w:t>
      </w:r>
      <w:r w:rsidRPr="00CA40BF">
        <w:t>dispose</w:t>
      </w:r>
      <w:r>
        <w:t xml:space="preserve"> </w:t>
      </w:r>
      <w:r w:rsidRPr="00CA40BF">
        <w:t>de</w:t>
      </w:r>
      <w:r>
        <w:t xml:space="preserve"> fonds sur le budget de l’Etat, afin de financer la mise en œuvre de l’ITIE, et se propose d’utiliser une partie de ces fonds pour effectuer des paiements au titre du Marché </w:t>
      </w:r>
      <w:r w:rsidRPr="00200BB1">
        <w:rPr>
          <w:b/>
          <w:szCs w:val="24"/>
        </w:rPr>
        <w:t>Recrutement d’un Administrateur Indépendant chargé d’élaborer les rapports ITIE au Togo</w:t>
      </w:r>
      <w:r w:rsidR="00DD71C3">
        <w:rPr>
          <w:b/>
          <w:szCs w:val="24"/>
        </w:rPr>
        <w:t xml:space="preserve"> </w:t>
      </w:r>
      <w:r w:rsidRPr="00200BB1">
        <w:rPr>
          <w:b/>
          <w:szCs w:val="24"/>
        </w:rPr>
        <w:t>portant</w:t>
      </w:r>
      <w:r w:rsidR="00DD71C3">
        <w:rPr>
          <w:b/>
          <w:szCs w:val="24"/>
        </w:rPr>
        <w:t xml:space="preserve"> </w:t>
      </w:r>
      <w:r w:rsidRPr="00200BB1">
        <w:rPr>
          <w:b/>
          <w:szCs w:val="24"/>
        </w:rPr>
        <w:t>sur</w:t>
      </w:r>
      <w:r w:rsidR="00DD71C3">
        <w:rPr>
          <w:b/>
          <w:szCs w:val="24"/>
        </w:rPr>
        <w:t xml:space="preserve"> </w:t>
      </w:r>
      <w:r w:rsidRPr="00200BB1">
        <w:rPr>
          <w:b/>
          <w:szCs w:val="24"/>
        </w:rPr>
        <w:t>les</w:t>
      </w:r>
      <w:r w:rsidR="00DD71C3">
        <w:rPr>
          <w:b/>
          <w:szCs w:val="24"/>
        </w:rPr>
        <w:t xml:space="preserve"> </w:t>
      </w:r>
      <w:r w:rsidRPr="00200BB1">
        <w:rPr>
          <w:b/>
          <w:szCs w:val="24"/>
        </w:rPr>
        <w:t>données</w:t>
      </w:r>
      <w:r w:rsidR="00DD71C3">
        <w:rPr>
          <w:b/>
          <w:szCs w:val="24"/>
        </w:rPr>
        <w:t xml:space="preserve"> </w:t>
      </w:r>
      <w:r w:rsidRPr="00200BB1">
        <w:rPr>
          <w:b/>
          <w:szCs w:val="24"/>
        </w:rPr>
        <w:t>des</w:t>
      </w:r>
      <w:r w:rsidR="00DD71C3">
        <w:rPr>
          <w:b/>
          <w:szCs w:val="24"/>
        </w:rPr>
        <w:t xml:space="preserve"> </w:t>
      </w:r>
      <w:r w:rsidRPr="00200BB1">
        <w:rPr>
          <w:b/>
          <w:szCs w:val="24"/>
        </w:rPr>
        <w:t>années</w:t>
      </w:r>
      <w:r w:rsidR="00DD71C3">
        <w:rPr>
          <w:b/>
          <w:szCs w:val="24"/>
        </w:rPr>
        <w:t xml:space="preserve"> </w:t>
      </w:r>
      <w:r w:rsidRPr="00200BB1">
        <w:rPr>
          <w:b/>
          <w:szCs w:val="24"/>
        </w:rPr>
        <w:t>2012</w:t>
      </w:r>
      <w:r w:rsidR="00DD71C3">
        <w:rPr>
          <w:b/>
          <w:szCs w:val="24"/>
        </w:rPr>
        <w:t xml:space="preserve"> </w:t>
      </w:r>
      <w:r w:rsidRPr="00200BB1">
        <w:rPr>
          <w:b/>
          <w:szCs w:val="24"/>
        </w:rPr>
        <w:t>et</w:t>
      </w:r>
      <w:r w:rsidR="00DD71C3">
        <w:rPr>
          <w:b/>
          <w:szCs w:val="24"/>
        </w:rPr>
        <w:t xml:space="preserve"> </w:t>
      </w:r>
      <w:r w:rsidRPr="00200BB1">
        <w:rPr>
          <w:b/>
          <w:szCs w:val="24"/>
        </w:rPr>
        <w:t>2013</w:t>
      </w:r>
      <w:r w:rsidR="00DD71C3">
        <w:rPr>
          <w:b/>
          <w:szCs w:val="24"/>
        </w:rPr>
        <w:t xml:space="preserve"> </w:t>
      </w:r>
      <w:r w:rsidRPr="00DD71C3">
        <w:rPr>
          <w:b/>
          <w:szCs w:val="24"/>
        </w:rPr>
        <w:t>N°:</w:t>
      </w:r>
      <w:r w:rsidR="00DD71C3" w:rsidRPr="00DD71C3">
        <w:rPr>
          <w:b/>
          <w:szCs w:val="24"/>
        </w:rPr>
        <w:t>001/ITIE</w:t>
      </w:r>
      <w:r w:rsidRPr="00DD71C3">
        <w:rPr>
          <w:b/>
          <w:szCs w:val="24"/>
        </w:rPr>
        <w:t>TOGO/CNS/CP/ST/2014</w:t>
      </w:r>
    </w:p>
    <w:p w:rsidR="00E3381D" w:rsidRPr="00200BB1" w:rsidRDefault="00E3381D" w:rsidP="00E3381D">
      <w:pPr>
        <w:jc w:val="both"/>
        <w:rPr>
          <w:b/>
          <w:szCs w:val="24"/>
        </w:rPr>
      </w:pPr>
    </w:p>
    <w:p w:rsidR="00E3381D" w:rsidRPr="00B504F4" w:rsidRDefault="00E3381D" w:rsidP="00DD71C3">
      <w:pPr>
        <w:tabs>
          <w:tab w:val="left" w:pos="7369"/>
        </w:tabs>
        <w:rPr>
          <w:b/>
        </w:rPr>
      </w:pPr>
      <w:r w:rsidRPr="00B504F4">
        <w:rPr>
          <w:b/>
        </w:rPr>
        <w:t>EN CONSEQUENCE, les Parties ont convenu de ce qui suit:</w:t>
      </w:r>
      <w:r w:rsidR="00DD71C3">
        <w:rPr>
          <w:b/>
        </w:rPr>
        <w:tab/>
      </w:r>
    </w:p>
    <w:p w:rsidR="00E3381D" w:rsidRDefault="00E3381D" w:rsidP="00E3381D"/>
    <w:p w:rsidR="00E3381D" w:rsidRDefault="00E3381D" w:rsidP="00E3381D">
      <w:pPr>
        <w:tabs>
          <w:tab w:val="left" w:pos="540"/>
        </w:tabs>
        <w:ind w:left="540" w:hanging="540"/>
      </w:pPr>
      <w:r>
        <w:t>1.</w:t>
      </w:r>
      <w:r>
        <w:tab/>
        <w:t>Les documents suivants, qui sont joints au présent document, seront considérés comme faisant partie intégrante du présent Marché:</w:t>
      </w:r>
    </w:p>
    <w:p w:rsidR="00E3381D" w:rsidRDefault="00E3381D" w:rsidP="00E3381D"/>
    <w:p w:rsidR="00E3381D" w:rsidRDefault="00E3381D" w:rsidP="00E3381D">
      <w:pPr>
        <w:tabs>
          <w:tab w:val="left" w:pos="1080"/>
        </w:tabs>
        <w:ind w:left="1080" w:hanging="540"/>
      </w:pPr>
      <w:r>
        <w:t>(a)</w:t>
      </w:r>
      <w:r>
        <w:tab/>
        <w:t>les Conditions générales du Marché;</w:t>
      </w:r>
    </w:p>
    <w:p w:rsidR="00E3381D" w:rsidRDefault="00E3381D" w:rsidP="00E3381D">
      <w:pPr>
        <w:tabs>
          <w:tab w:val="left" w:pos="1080"/>
        </w:tabs>
        <w:ind w:left="1080" w:hanging="540"/>
      </w:pPr>
      <w:r>
        <w:t>(b)</w:t>
      </w:r>
      <w:r>
        <w:tab/>
        <w:t>les Conditions particulières du Marché;</w:t>
      </w:r>
    </w:p>
    <w:p w:rsidR="00E3381D" w:rsidRDefault="00E3381D" w:rsidP="00E3381D">
      <w:pPr>
        <w:tabs>
          <w:tab w:val="left" w:pos="1080"/>
        </w:tabs>
        <w:ind w:left="1080" w:hanging="540"/>
      </w:pPr>
      <w:r>
        <w:t>(c)</w:t>
      </w:r>
      <w:r>
        <w:tab/>
        <w:t>les Annexes: [</w:t>
      </w:r>
      <w:r>
        <w:rPr>
          <w:b/>
          <w:i/>
        </w:rPr>
        <w:t>Note</w:t>
      </w:r>
      <w:r>
        <w:rPr>
          <w:i/>
        </w:rPr>
        <w:t>: Si une annexe n’est pas utilisée, indiquer la mention « Non utilisée » en regard du titre de l’Annexe en question sur la liste ci-jointe</w:t>
      </w:r>
      <w:r>
        <w:t>.]</w:t>
      </w:r>
    </w:p>
    <w:p w:rsidR="00E3381D" w:rsidRDefault="00E3381D" w:rsidP="00E3381D">
      <w:pPr>
        <w:tabs>
          <w:tab w:val="left" w:pos="2160"/>
          <w:tab w:val="left" w:pos="7200"/>
          <w:tab w:val="left" w:pos="7740"/>
        </w:tabs>
        <w:ind w:left="1080"/>
      </w:pPr>
    </w:p>
    <w:p w:rsidR="00E3381D" w:rsidRDefault="00E3381D" w:rsidP="00E3381D">
      <w:pPr>
        <w:tabs>
          <w:tab w:val="left" w:pos="2160"/>
          <w:tab w:val="left" w:pos="7200"/>
          <w:tab w:val="left" w:pos="7740"/>
        </w:tabs>
        <w:ind w:left="1080"/>
      </w:pPr>
      <w:r>
        <w:t>Annexe A:</w:t>
      </w:r>
      <w:r>
        <w:tab/>
        <w:t>Description des prestations</w:t>
      </w:r>
      <w:r>
        <w:tab/>
      </w:r>
      <w:r>
        <w:rPr>
          <w:u w:val="single"/>
        </w:rPr>
        <w:tab/>
      </w:r>
    </w:p>
    <w:p w:rsidR="00E3381D" w:rsidRDefault="00E3381D" w:rsidP="00E3381D">
      <w:pPr>
        <w:tabs>
          <w:tab w:val="left" w:pos="2160"/>
          <w:tab w:val="left" w:pos="7200"/>
          <w:tab w:val="left" w:pos="7740"/>
        </w:tabs>
        <w:ind w:left="1080"/>
      </w:pPr>
      <w:r>
        <w:t>Annexe B:</w:t>
      </w:r>
      <w:r>
        <w:tab/>
        <w:t>Obligations en matière de rapports</w:t>
      </w:r>
      <w:r>
        <w:tab/>
      </w:r>
      <w:r>
        <w:rPr>
          <w:u w:val="single"/>
        </w:rPr>
        <w:tab/>
      </w:r>
      <w:r w:rsidR="00607C46">
        <w:t xml:space="preserve"> </w:t>
      </w:r>
    </w:p>
    <w:p w:rsidR="00E3381D" w:rsidRDefault="00E3381D" w:rsidP="00E3381D">
      <w:pPr>
        <w:tabs>
          <w:tab w:val="left" w:pos="2160"/>
          <w:tab w:val="left" w:pos="7200"/>
          <w:tab w:val="left" w:pos="7740"/>
        </w:tabs>
        <w:ind w:left="1080"/>
      </w:pPr>
      <w:r>
        <w:t>Annexe C:</w:t>
      </w:r>
      <w:r>
        <w:tab/>
        <w:t>Personnel et Sous-traitants</w:t>
      </w:r>
      <w:r>
        <w:tab/>
      </w:r>
      <w:r>
        <w:rPr>
          <w:u w:val="single"/>
        </w:rPr>
        <w:tab/>
      </w:r>
      <w:r w:rsidR="00607C46">
        <w:t xml:space="preserve"> </w:t>
      </w:r>
    </w:p>
    <w:p w:rsidR="00E3381D" w:rsidRDefault="00E3381D" w:rsidP="00E3381D">
      <w:pPr>
        <w:tabs>
          <w:tab w:val="left" w:pos="2160"/>
          <w:tab w:val="left" w:pos="7200"/>
          <w:tab w:val="left" w:pos="7740"/>
        </w:tabs>
        <w:ind w:left="1080"/>
      </w:pPr>
      <w:r>
        <w:t>Annexe D:</w:t>
      </w:r>
      <w:r>
        <w:tab/>
        <w:t>Ventilation du Prix du Marché</w:t>
      </w:r>
      <w:r>
        <w:tab/>
      </w:r>
      <w:r>
        <w:rPr>
          <w:u w:val="single"/>
        </w:rPr>
        <w:tab/>
      </w:r>
      <w:r w:rsidR="00607C46">
        <w:t xml:space="preserve"> </w:t>
      </w:r>
    </w:p>
    <w:p w:rsidR="00E3381D" w:rsidRDefault="00E3381D" w:rsidP="00E3381D">
      <w:pPr>
        <w:tabs>
          <w:tab w:val="left" w:pos="2160"/>
          <w:tab w:val="left" w:pos="7200"/>
          <w:tab w:val="left" w:pos="7740"/>
        </w:tabs>
        <w:ind w:left="1080"/>
      </w:pPr>
      <w:r>
        <w:lastRenderedPageBreak/>
        <w:t>Annexe E:</w:t>
      </w:r>
      <w:r>
        <w:tab/>
        <w:t>Services et installations fournis par l’Autorité contractante</w:t>
      </w:r>
      <w:r>
        <w:tab/>
      </w:r>
      <w:r>
        <w:rPr>
          <w:u w:val="single"/>
        </w:rPr>
        <w:tab/>
      </w:r>
      <w:r w:rsidR="00607C46">
        <w:t xml:space="preserve"> </w:t>
      </w:r>
    </w:p>
    <w:p w:rsidR="00E3381D" w:rsidRDefault="00E3381D" w:rsidP="00E3381D">
      <w:pPr>
        <w:ind w:right="900"/>
        <w:jc w:val="center"/>
      </w:pPr>
      <w:r>
        <w:t xml:space="preserve">Annexe F : Formulaire de Garantie d'avance de démarrage. </w:t>
      </w:r>
      <w:r>
        <w:tab/>
        <w:t>_____ Non utilisée</w:t>
      </w:r>
    </w:p>
    <w:p w:rsidR="00E3381D" w:rsidRDefault="00E3381D" w:rsidP="00DD71C3">
      <w:pPr>
        <w:ind w:right="900"/>
      </w:pPr>
    </w:p>
    <w:p w:rsidR="00E3381D" w:rsidRDefault="00E3381D" w:rsidP="00E3381D">
      <w:pPr>
        <w:tabs>
          <w:tab w:val="left" w:pos="540"/>
        </w:tabs>
        <w:ind w:left="540" w:hanging="540"/>
      </w:pPr>
      <w:r>
        <w:t>2.</w:t>
      </w:r>
      <w:r>
        <w:tab/>
        <w:t xml:space="preserve">Les droits et obligations réciproques de l’Autorité contractante et du Consultant sont ceux figurant au Marché; en particulier : </w:t>
      </w:r>
    </w:p>
    <w:p w:rsidR="00E3381D" w:rsidRDefault="00E3381D" w:rsidP="00E3381D"/>
    <w:p w:rsidR="00E3381D" w:rsidRDefault="00E3381D" w:rsidP="00E3381D">
      <w:pPr>
        <w:numPr>
          <w:ilvl w:val="2"/>
          <w:numId w:val="52"/>
        </w:numPr>
        <w:tabs>
          <w:tab w:val="left" w:pos="1080"/>
        </w:tabs>
      </w:pPr>
      <w:r>
        <w:t>le Consultant fournira les Prestations conformément aux stipulations du Marché; et</w:t>
      </w:r>
    </w:p>
    <w:p w:rsidR="00E3381D" w:rsidRDefault="00E3381D" w:rsidP="00E3381D">
      <w:pPr>
        <w:tabs>
          <w:tab w:val="left" w:pos="1080"/>
        </w:tabs>
        <w:ind w:left="864"/>
      </w:pPr>
    </w:p>
    <w:p w:rsidR="00E3381D" w:rsidRDefault="00E3381D" w:rsidP="00E3381D">
      <w:pPr>
        <w:numPr>
          <w:ilvl w:val="2"/>
          <w:numId w:val="52"/>
        </w:numPr>
        <w:tabs>
          <w:tab w:val="left" w:pos="1080"/>
        </w:tabs>
      </w:pPr>
      <w:r>
        <w:t>l’Autorité contractante effectuera les paiements au Consultant conformément aux stipulations du Marché.</w:t>
      </w:r>
    </w:p>
    <w:p w:rsidR="00E3381D" w:rsidRDefault="00E3381D" w:rsidP="00E3381D"/>
    <w:p w:rsidR="00E3381D" w:rsidRDefault="00E3381D" w:rsidP="00E3381D">
      <w:r w:rsidRPr="00DD18E2">
        <w:rPr>
          <w:b/>
        </w:rPr>
        <w:t>EN FOI DE QUOI</w:t>
      </w:r>
      <w:r>
        <w:t>, les Parties ont fait signer le présent Marché en leurs noms respectifs le jour et l’an ci-dessus:</w:t>
      </w:r>
    </w:p>
    <w:p w:rsidR="00E3381D" w:rsidRDefault="00E3381D" w:rsidP="00E3381D"/>
    <w:p w:rsidR="00E3381D" w:rsidRDefault="00E3381D" w:rsidP="00E3381D">
      <w:r>
        <w:t xml:space="preserve">Pour </w:t>
      </w:r>
      <w:r>
        <w:rPr>
          <w:i/>
          <w:sz w:val="20"/>
        </w:rPr>
        <w:t>[l’Autorité contractante]</w:t>
      </w:r>
      <w:r>
        <w:t xml:space="preserve"> et en son nom</w:t>
      </w:r>
    </w:p>
    <w:p w:rsidR="00E3381D" w:rsidRDefault="00E3381D" w:rsidP="00E3381D"/>
    <w:p w:rsidR="00E3381D" w:rsidRDefault="00E3381D" w:rsidP="00E3381D">
      <w:pPr>
        <w:tabs>
          <w:tab w:val="left" w:pos="5760"/>
        </w:tabs>
      </w:pPr>
      <w:r>
        <w:rPr>
          <w:u w:val="single"/>
        </w:rPr>
        <w:tab/>
      </w:r>
    </w:p>
    <w:p w:rsidR="00E3381D" w:rsidRDefault="00E3381D" w:rsidP="00E3381D">
      <w:pPr>
        <w:rPr>
          <w:i/>
          <w:sz w:val="20"/>
        </w:rPr>
      </w:pPr>
      <w:r>
        <w:rPr>
          <w:i/>
          <w:sz w:val="20"/>
        </w:rPr>
        <w:t>[Représentant Habilité]</w:t>
      </w:r>
    </w:p>
    <w:p w:rsidR="00E3381D" w:rsidRDefault="00E3381D" w:rsidP="00E3381D"/>
    <w:p w:rsidR="00E3381D" w:rsidRDefault="00E3381D" w:rsidP="00E3381D">
      <w:r>
        <w:t xml:space="preserve">Pour </w:t>
      </w:r>
      <w:r>
        <w:rPr>
          <w:i/>
          <w:sz w:val="20"/>
        </w:rPr>
        <w:t>[le Consultant]</w:t>
      </w:r>
      <w:r>
        <w:t xml:space="preserve"> et en son nom</w:t>
      </w:r>
    </w:p>
    <w:p w:rsidR="00E3381D" w:rsidRDefault="00E3381D" w:rsidP="00E3381D"/>
    <w:p w:rsidR="00E3381D" w:rsidRDefault="00E3381D" w:rsidP="00E3381D">
      <w:pPr>
        <w:tabs>
          <w:tab w:val="left" w:pos="5760"/>
        </w:tabs>
      </w:pPr>
      <w:r>
        <w:rPr>
          <w:u w:val="single"/>
        </w:rPr>
        <w:tab/>
      </w:r>
    </w:p>
    <w:p w:rsidR="00E3381D" w:rsidRDefault="00E3381D" w:rsidP="00E3381D">
      <w:pPr>
        <w:ind w:right="900"/>
        <w:jc w:val="center"/>
        <w:rPr>
          <w:i/>
          <w:sz w:val="20"/>
        </w:rPr>
      </w:pPr>
      <w:r>
        <w:rPr>
          <w:i/>
          <w:sz w:val="20"/>
        </w:rPr>
        <w:t>[Représentant Habilité]</w:t>
      </w: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ind w:right="900"/>
        <w:jc w:val="center"/>
        <w:rPr>
          <w:i/>
          <w:sz w:val="20"/>
        </w:rPr>
      </w:pPr>
    </w:p>
    <w:p w:rsidR="00E3381D" w:rsidRDefault="00E3381D" w:rsidP="00E3381D">
      <w:pPr>
        <w:pStyle w:val="A2-heading1"/>
      </w:pPr>
      <w:bookmarkStart w:id="116" w:name="_Toc356621427"/>
      <w:bookmarkStart w:id="117" w:name="_Toc72514750"/>
      <w:bookmarkStart w:id="118" w:name="_Toc72515147"/>
      <w:bookmarkStart w:id="119" w:name="_Toc319537929"/>
      <w:r>
        <w:t>II. Conditions Générales du Marché</w:t>
      </w:r>
      <w:bookmarkStart w:id="120" w:name="_Toc356621428"/>
      <w:bookmarkEnd w:id="116"/>
      <w:bookmarkEnd w:id="117"/>
      <w:bookmarkEnd w:id="118"/>
      <w:bookmarkEnd w:id="119"/>
    </w:p>
    <w:p w:rsidR="00E3381D" w:rsidRDefault="00E3381D" w:rsidP="00E3381D">
      <w:pPr>
        <w:pStyle w:val="A2-heading2"/>
      </w:pPr>
      <w:bookmarkStart w:id="121" w:name="_Toc72514751"/>
      <w:bookmarkStart w:id="122" w:name="_Toc72515148"/>
      <w:bookmarkStart w:id="123" w:name="_Toc319537930"/>
      <w:r>
        <w:t>1. Dispositions Générales</w:t>
      </w:r>
      <w:bookmarkEnd w:id="120"/>
      <w:bookmarkEnd w:id="121"/>
      <w:bookmarkEnd w:id="122"/>
      <w:bookmarkEnd w:id="123"/>
    </w:p>
    <w:tbl>
      <w:tblPr>
        <w:tblW w:w="9648" w:type="dxa"/>
        <w:tblLayout w:type="fixed"/>
        <w:tblLook w:val="0000" w:firstRow="0" w:lastRow="0" w:firstColumn="0" w:lastColumn="0" w:noHBand="0" w:noVBand="0"/>
      </w:tblPr>
      <w:tblGrid>
        <w:gridCol w:w="2268"/>
        <w:gridCol w:w="7362"/>
        <w:gridCol w:w="18"/>
      </w:tblGrid>
      <w:tr w:rsidR="00E3381D" w:rsidTr="007C5949">
        <w:trPr>
          <w:gridAfter w:val="1"/>
          <w:wAfter w:w="18" w:type="dxa"/>
        </w:trPr>
        <w:tc>
          <w:tcPr>
            <w:tcW w:w="2268" w:type="dxa"/>
          </w:tcPr>
          <w:p w:rsidR="00E3381D" w:rsidRDefault="00E3381D" w:rsidP="007C5949">
            <w:pPr>
              <w:pStyle w:val="A2-heading3"/>
            </w:pPr>
            <w:bookmarkStart w:id="124" w:name="_Toc356621429"/>
            <w:bookmarkStart w:id="125" w:name="_Toc72514752"/>
            <w:bookmarkStart w:id="126" w:name="_Toc72515149"/>
            <w:bookmarkStart w:id="127" w:name="_Toc319537931"/>
            <w:r>
              <w:t>1.1</w:t>
            </w:r>
            <w:r>
              <w:tab/>
              <w:t>Définitions</w:t>
            </w:r>
            <w:bookmarkEnd w:id="124"/>
            <w:bookmarkEnd w:id="125"/>
            <w:bookmarkEnd w:id="126"/>
            <w:bookmarkEnd w:id="127"/>
          </w:p>
        </w:tc>
        <w:tc>
          <w:tcPr>
            <w:tcW w:w="7362" w:type="dxa"/>
          </w:tcPr>
          <w:p w:rsidR="00E3381D" w:rsidRDefault="00E3381D" w:rsidP="007C5949">
            <w:pPr>
              <w:spacing w:after="220"/>
              <w:ind w:right="-72"/>
              <w:jc w:val="both"/>
            </w:pPr>
            <w:r>
              <w:t>A moins que le contexte ne le requière différemment, chaque fois qu’ils sont utilisés dans le présent Marché, les termes ci-après ont les significations suivantes:</w:t>
            </w:r>
          </w:p>
          <w:p w:rsidR="00E3381D" w:rsidRDefault="00E3381D" w:rsidP="007C5949">
            <w:pPr>
              <w:tabs>
                <w:tab w:val="left" w:pos="540"/>
              </w:tabs>
              <w:spacing w:after="220"/>
              <w:ind w:left="540" w:right="-72" w:hanging="540"/>
              <w:jc w:val="both"/>
            </w:pPr>
            <w:r>
              <w:t>(a)</w:t>
            </w:r>
            <w:r>
              <w:tab/>
            </w:r>
            <w:r w:rsidRPr="00687226">
              <w:rPr>
                <w:b/>
              </w:rPr>
              <w:t>« Droit applicable » :</w:t>
            </w:r>
            <w:r>
              <w:t xml:space="preserve"> désigne les lois et autres textes ayant force de </w:t>
            </w:r>
            <w:r w:rsidRPr="00D74080">
              <w:t>loi au Togo, ou dans tout autre pays qui peut être indiqué dans les Conditions particulières (CP) du Marché, au fur et à mesure de leur publication et de leur mise en vigueur</w:t>
            </w:r>
            <w:r>
              <w:t>;</w:t>
            </w:r>
          </w:p>
          <w:p w:rsidR="00E3381D" w:rsidRDefault="00E3381D" w:rsidP="007C5949">
            <w:pPr>
              <w:tabs>
                <w:tab w:val="left" w:pos="540"/>
              </w:tabs>
              <w:spacing w:after="220"/>
              <w:ind w:left="540" w:right="-72" w:hanging="540"/>
              <w:jc w:val="both"/>
            </w:pPr>
            <w:r>
              <w:t>(b)</w:t>
            </w:r>
            <w:r>
              <w:tab/>
            </w:r>
            <w:r w:rsidRPr="00687226">
              <w:rPr>
                <w:b/>
              </w:rPr>
              <w:t>« Consultant »</w:t>
            </w:r>
            <w:r>
              <w:rPr>
                <w:b/>
              </w:rPr>
              <w:t> :</w:t>
            </w:r>
            <w:r>
              <w:t xml:space="preserve"> désigne toute entité publique ou privée qui fournit les Prestations intellectuelles à l’Autorité contractante en vertu du Marché.</w:t>
            </w:r>
          </w:p>
          <w:p w:rsidR="00E3381D" w:rsidRDefault="00E3381D" w:rsidP="007C5949">
            <w:pPr>
              <w:tabs>
                <w:tab w:val="left" w:pos="540"/>
              </w:tabs>
              <w:spacing w:after="220"/>
              <w:ind w:left="540" w:right="-72" w:hanging="540"/>
              <w:jc w:val="both"/>
            </w:pPr>
            <w:r>
              <w:t>(c)</w:t>
            </w:r>
            <w:r>
              <w:tab/>
            </w:r>
            <w:r w:rsidRPr="00687226">
              <w:rPr>
                <w:b/>
              </w:rPr>
              <w:t>« Marché »:</w:t>
            </w:r>
            <w:r>
              <w:t xml:space="preserve"> le présent Marché passé entre l’Autorité contractante et le Consultant  auquel sont jointes les présentes Conditions générales (CG) du Marché, les Conditions particulières (CP) et les Annexes, ainsi que tous les documents énumérés à la Clause 1 du Marché signé;</w:t>
            </w:r>
          </w:p>
          <w:p w:rsidR="00E3381D" w:rsidRDefault="00E3381D" w:rsidP="007C5949">
            <w:pPr>
              <w:tabs>
                <w:tab w:val="left" w:pos="540"/>
              </w:tabs>
              <w:spacing w:after="220"/>
              <w:ind w:left="540" w:right="-72" w:hanging="540"/>
              <w:jc w:val="both"/>
            </w:pPr>
            <w:r>
              <w:t>(d)</w:t>
            </w:r>
            <w:r>
              <w:tab/>
            </w:r>
            <w:r w:rsidRPr="00687226">
              <w:rPr>
                <w:b/>
              </w:rPr>
              <w:t>« Montant du Marché »:</w:t>
            </w:r>
            <w:r>
              <w:t xml:space="preserve"> prix qui doit être payé pour l’exécution des Prestations, conformément à la Clause 6;</w:t>
            </w:r>
          </w:p>
          <w:p w:rsidR="00E3381D" w:rsidRDefault="00E3381D" w:rsidP="007C5949">
            <w:pPr>
              <w:tabs>
                <w:tab w:val="left" w:pos="540"/>
              </w:tabs>
              <w:spacing w:after="220"/>
              <w:ind w:left="540" w:right="-72" w:hanging="540"/>
              <w:jc w:val="both"/>
            </w:pPr>
            <w:r>
              <w:t>(e)</w:t>
            </w:r>
            <w:r>
              <w:tab/>
            </w:r>
            <w:r w:rsidRPr="00687226">
              <w:rPr>
                <w:b/>
              </w:rPr>
              <w:t>« Date d’entrée en vigueur »:</w:t>
            </w:r>
            <w:r>
              <w:t xml:space="preserve"> signifie la date à laquelle le Marché entre en vigueur conformément aux dispositions de la Clause CG 2.1</w:t>
            </w:r>
          </w:p>
          <w:p w:rsidR="00E3381D" w:rsidRDefault="00E3381D" w:rsidP="007C5949">
            <w:pPr>
              <w:tabs>
                <w:tab w:val="left" w:pos="540"/>
              </w:tabs>
              <w:spacing w:after="220"/>
              <w:ind w:left="540" w:right="-72" w:hanging="540"/>
              <w:jc w:val="both"/>
            </w:pPr>
            <w:r>
              <w:t>(f)</w:t>
            </w:r>
            <w:r>
              <w:tab/>
            </w:r>
            <w:r w:rsidRPr="00687226">
              <w:rPr>
                <w:b/>
              </w:rPr>
              <w:t>« CG »:</w:t>
            </w:r>
            <w:r>
              <w:t xml:space="preserve"> Conditions générales du Marché;</w:t>
            </w:r>
          </w:p>
          <w:p w:rsidR="00E3381D" w:rsidRDefault="00E3381D" w:rsidP="007C5949">
            <w:pPr>
              <w:tabs>
                <w:tab w:val="left" w:pos="540"/>
              </w:tabs>
              <w:spacing w:after="220"/>
              <w:ind w:left="540" w:right="-72" w:hanging="540"/>
              <w:jc w:val="both"/>
            </w:pPr>
            <w:r>
              <w:t>(g)</w:t>
            </w:r>
            <w:r>
              <w:tab/>
            </w:r>
            <w:r w:rsidRPr="00687226">
              <w:rPr>
                <w:b/>
              </w:rPr>
              <w:t>« Membre » :</w:t>
            </w:r>
            <w:r>
              <w:t xml:space="preserve"> renvoi à l’hypothèse où le Consultant est constitué par plusieurs entités juridiques, notamment coentreprise/consortium/association/cotraitance/groupement, et désigne l’une quelconque de ces entités juridiques. L’expression au pluriel « Membres » : désigne toutes ces entités juridiques prises ensemble ; </w:t>
            </w:r>
          </w:p>
          <w:p w:rsidR="00E3381D" w:rsidRDefault="00E3381D" w:rsidP="007C5949">
            <w:pPr>
              <w:tabs>
                <w:tab w:val="left" w:pos="540"/>
              </w:tabs>
              <w:spacing w:after="220"/>
              <w:ind w:left="540" w:right="-72" w:hanging="540"/>
              <w:jc w:val="both"/>
            </w:pPr>
            <w:r>
              <w:t>(h)</w:t>
            </w:r>
            <w:r>
              <w:tab/>
            </w:r>
            <w:r w:rsidRPr="00687226">
              <w:rPr>
                <w:b/>
              </w:rPr>
              <w:t>« Partie »:</w:t>
            </w:r>
            <w:r>
              <w:t xml:space="preserve"> l’Autorité contractante ou le Consultant, selon le cas; « Parties »: signifie l’Autorité contractante et le Consultant;</w:t>
            </w:r>
          </w:p>
          <w:p w:rsidR="00E3381D" w:rsidRDefault="00E3381D" w:rsidP="007C5949">
            <w:pPr>
              <w:tabs>
                <w:tab w:val="left" w:pos="540"/>
              </w:tabs>
              <w:spacing w:after="220"/>
              <w:ind w:left="540" w:right="-72" w:hanging="540"/>
              <w:jc w:val="both"/>
            </w:pPr>
            <w:r>
              <w:t>(i)</w:t>
            </w:r>
            <w:r>
              <w:tab/>
            </w:r>
            <w:r w:rsidRPr="00687226">
              <w:rPr>
                <w:b/>
              </w:rPr>
              <w:t>« Personnel »:</w:t>
            </w:r>
            <w:r>
              <w:t xml:space="preserve"> les personnes engagées en tant qu'employés par le Consultant et affectées à l'exécution de tout ou partie des Prestations</w:t>
            </w:r>
          </w:p>
          <w:p w:rsidR="00E3381D" w:rsidRDefault="00E3381D" w:rsidP="007C5949">
            <w:pPr>
              <w:tabs>
                <w:tab w:val="left" w:pos="540"/>
              </w:tabs>
              <w:spacing w:after="180"/>
              <w:ind w:left="547" w:right="-72" w:hanging="547"/>
              <w:jc w:val="both"/>
            </w:pPr>
            <w:r>
              <w:t>(j)</w:t>
            </w:r>
            <w:r>
              <w:tab/>
            </w:r>
            <w:r w:rsidRPr="00687226">
              <w:rPr>
                <w:b/>
              </w:rPr>
              <w:t>« CP »:</w:t>
            </w:r>
            <w:r>
              <w:t xml:space="preserve"> Conditions particulières du Marché qui permettent de modifier ou de compléter les Conditions générales;</w:t>
            </w:r>
          </w:p>
          <w:p w:rsidR="00E3381D" w:rsidRDefault="00E3381D" w:rsidP="007C5949">
            <w:pPr>
              <w:tabs>
                <w:tab w:val="left" w:pos="540"/>
              </w:tabs>
              <w:spacing w:after="180"/>
              <w:ind w:right="-72"/>
              <w:jc w:val="both"/>
            </w:pPr>
            <w:r>
              <w:t xml:space="preserve"> (k)   </w:t>
            </w:r>
            <w:r w:rsidRPr="00687226">
              <w:rPr>
                <w:b/>
              </w:rPr>
              <w:t>« Prestations »:</w:t>
            </w:r>
            <w:r>
              <w:t xml:space="preserve"> les prestations que doit effectuer le Consultant en   </w:t>
            </w:r>
          </w:p>
          <w:p w:rsidR="00E3381D" w:rsidRDefault="00E3381D" w:rsidP="007C5949">
            <w:pPr>
              <w:tabs>
                <w:tab w:val="left" w:pos="540"/>
              </w:tabs>
              <w:spacing w:after="180"/>
              <w:ind w:right="-72"/>
              <w:jc w:val="both"/>
            </w:pPr>
            <w:r>
              <w:t xml:space="preserve">         vertu du présent Marché, comme indiqué à l’Annexe A ci-après; </w:t>
            </w:r>
          </w:p>
          <w:p w:rsidR="00E3381D" w:rsidRDefault="00E3381D" w:rsidP="007C5949">
            <w:pPr>
              <w:spacing w:after="180"/>
              <w:ind w:left="547" w:right="-72" w:hanging="547"/>
              <w:jc w:val="both"/>
            </w:pPr>
            <w:r>
              <w:lastRenderedPageBreak/>
              <w:t xml:space="preserve"> (l) </w:t>
            </w:r>
            <w:r w:rsidRPr="00687226">
              <w:rPr>
                <w:b/>
              </w:rPr>
              <w:t>« Tiers »:</w:t>
            </w:r>
            <w:r>
              <w:t xml:space="preserve"> toute personne physique ou morale autre que l’Administration, l’Autorité contractante ou le Consultant.</w:t>
            </w:r>
          </w:p>
          <w:p w:rsidR="00E3381D" w:rsidRDefault="00E3381D" w:rsidP="007C5949">
            <w:pPr>
              <w:spacing w:after="180"/>
              <w:ind w:left="547" w:right="-72" w:hanging="547"/>
              <w:jc w:val="both"/>
            </w:pPr>
            <w:r>
              <w:t xml:space="preserve">(m)    </w:t>
            </w:r>
            <w:r w:rsidRPr="00687226">
              <w:rPr>
                <w:b/>
              </w:rPr>
              <w:t xml:space="preserve">« Par écrit » : </w:t>
            </w:r>
            <w:r>
              <w:t xml:space="preserve">signifie une communication écrite accompagnée d’un  </w:t>
            </w:r>
          </w:p>
          <w:p w:rsidR="00E3381D" w:rsidRDefault="00E3381D" w:rsidP="007C5949">
            <w:pPr>
              <w:spacing w:after="180"/>
              <w:ind w:left="547" w:right="-72" w:hanging="547"/>
              <w:jc w:val="both"/>
            </w:pPr>
            <w:r>
              <w:t xml:space="preserve">          accusé de réception.</w:t>
            </w:r>
          </w:p>
        </w:tc>
      </w:tr>
      <w:tr w:rsidR="00E3381D" w:rsidTr="007C5949">
        <w:trPr>
          <w:gridAfter w:val="1"/>
          <w:wAfter w:w="18" w:type="dxa"/>
        </w:trPr>
        <w:tc>
          <w:tcPr>
            <w:tcW w:w="2268" w:type="dxa"/>
          </w:tcPr>
          <w:p w:rsidR="00E3381D" w:rsidRDefault="00E3381D" w:rsidP="007C5949">
            <w:pPr>
              <w:pStyle w:val="A2-heading3"/>
            </w:pPr>
            <w:bookmarkStart w:id="128" w:name="_Toc356621430"/>
            <w:bookmarkStart w:id="129" w:name="_Toc72514753"/>
            <w:bookmarkStart w:id="130" w:name="_Toc72515150"/>
            <w:bookmarkStart w:id="131" w:name="_Toc319537932"/>
            <w:r>
              <w:lastRenderedPageBreak/>
              <w:t>1.2</w:t>
            </w:r>
            <w:r>
              <w:tab/>
              <w:t>Droit Applicable au Marché</w:t>
            </w:r>
            <w:bookmarkEnd w:id="128"/>
            <w:bookmarkEnd w:id="129"/>
            <w:bookmarkEnd w:id="130"/>
            <w:bookmarkEnd w:id="131"/>
          </w:p>
        </w:tc>
        <w:tc>
          <w:tcPr>
            <w:tcW w:w="7362" w:type="dxa"/>
          </w:tcPr>
          <w:p w:rsidR="00E3381D" w:rsidRDefault="00E3381D" w:rsidP="007C5949">
            <w:pPr>
              <w:spacing w:after="180"/>
              <w:ind w:right="-72"/>
              <w:jc w:val="both"/>
            </w:pPr>
            <w:r>
              <w:t>Le présent Marché, sa signification, son interprétation, et les relations s’établissant entre les Parties seront régis par le Droit applicable en République togolaise à moins que la présente convention n’en dispose autrement de manière expresse.</w:t>
            </w:r>
          </w:p>
        </w:tc>
      </w:tr>
      <w:tr w:rsidR="00E3381D" w:rsidTr="007C5949">
        <w:trPr>
          <w:gridAfter w:val="1"/>
          <w:wAfter w:w="18" w:type="dxa"/>
        </w:trPr>
        <w:tc>
          <w:tcPr>
            <w:tcW w:w="2268" w:type="dxa"/>
          </w:tcPr>
          <w:p w:rsidR="00E3381D" w:rsidRDefault="00E3381D" w:rsidP="007C5949">
            <w:pPr>
              <w:pStyle w:val="A2-heading3"/>
            </w:pPr>
            <w:bookmarkStart w:id="132" w:name="_Toc356621431"/>
            <w:bookmarkStart w:id="133" w:name="_Toc72514754"/>
            <w:bookmarkStart w:id="134" w:name="_Toc72515151"/>
            <w:bookmarkStart w:id="135" w:name="_Toc319537933"/>
            <w:r>
              <w:t>1.3</w:t>
            </w:r>
            <w:r>
              <w:tab/>
              <w:t>Langue</w:t>
            </w:r>
            <w:bookmarkEnd w:id="132"/>
            <w:bookmarkEnd w:id="133"/>
            <w:bookmarkEnd w:id="134"/>
            <w:bookmarkEnd w:id="135"/>
          </w:p>
        </w:tc>
        <w:tc>
          <w:tcPr>
            <w:tcW w:w="7362" w:type="dxa"/>
          </w:tcPr>
          <w:p w:rsidR="00E3381D" w:rsidRDefault="00E3381D" w:rsidP="007C5949">
            <w:pPr>
              <w:spacing w:after="180"/>
              <w:ind w:right="-72"/>
              <w:jc w:val="both"/>
            </w:pPr>
            <w:r>
              <w:t>Le présent Marché est rédigé dans la langue française.</w:t>
            </w:r>
          </w:p>
        </w:tc>
      </w:tr>
      <w:tr w:rsidR="00E3381D" w:rsidTr="007C5949">
        <w:trPr>
          <w:gridAfter w:val="1"/>
          <w:wAfter w:w="18" w:type="dxa"/>
        </w:trPr>
        <w:tc>
          <w:tcPr>
            <w:tcW w:w="2268" w:type="dxa"/>
          </w:tcPr>
          <w:p w:rsidR="00E3381D" w:rsidRDefault="00E3381D" w:rsidP="007C5949">
            <w:pPr>
              <w:pStyle w:val="A2-heading3"/>
            </w:pPr>
            <w:bookmarkStart w:id="136" w:name="_Toc356621432"/>
            <w:bookmarkStart w:id="137" w:name="_Toc72514755"/>
            <w:bookmarkStart w:id="138" w:name="_Toc72515152"/>
            <w:bookmarkStart w:id="139" w:name="_Toc319537934"/>
            <w:r>
              <w:t>1.4</w:t>
            </w:r>
            <w:r>
              <w:tab/>
              <w:t>Notifications</w:t>
            </w:r>
            <w:bookmarkEnd w:id="136"/>
            <w:bookmarkEnd w:id="137"/>
            <w:bookmarkEnd w:id="138"/>
            <w:bookmarkEnd w:id="139"/>
          </w:p>
        </w:tc>
        <w:tc>
          <w:tcPr>
            <w:tcW w:w="7362" w:type="dxa"/>
          </w:tcPr>
          <w:p w:rsidR="00E3381D" w:rsidRDefault="00E3381D" w:rsidP="007C5949">
            <w:pPr>
              <w:spacing w:after="180"/>
              <w:ind w:left="720" w:right="-72" w:hanging="720"/>
              <w:jc w:val="both"/>
            </w:pPr>
            <w:r>
              <w:t>1.4.1 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CP.</w:t>
            </w:r>
          </w:p>
          <w:p w:rsidR="00E3381D" w:rsidRDefault="00E3381D" w:rsidP="00E3381D">
            <w:pPr>
              <w:numPr>
                <w:ilvl w:val="2"/>
                <w:numId w:val="54"/>
              </w:numPr>
              <w:spacing w:after="180"/>
              <w:ind w:right="-72"/>
              <w:jc w:val="both"/>
            </w:pPr>
            <w:r>
              <w:t>Une Partie peut changer son adresse aux fins de notification en donnant à l’autre Partie notification par écrit de ce changement à l’adresse indiquée dans les CP.</w:t>
            </w:r>
          </w:p>
        </w:tc>
      </w:tr>
      <w:tr w:rsidR="00E3381D" w:rsidRPr="00A40C89" w:rsidTr="007C5949">
        <w:trPr>
          <w:gridAfter w:val="1"/>
          <w:wAfter w:w="18" w:type="dxa"/>
        </w:trPr>
        <w:tc>
          <w:tcPr>
            <w:tcW w:w="2268" w:type="dxa"/>
          </w:tcPr>
          <w:p w:rsidR="00E3381D" w:rsidRDefault="00E3381D" w:rsidP="007C5949">
            <w:pPr>
              <w:pStyle w:val="A2-heading3"/>
            </w:pPr>
            <w:bookmarkStart w:id="140" w:name="_Toc356621433"/>
            <w:bookmarkStart w:id="141" w:name="_Toc72514756"/>
            <w:bookmarkStart w:id="142" w:name="_Toc72515153"/>
            <w:bookmarkStart w:id="143" w:name="_Toc319537935"/>
            <w:r>
              <w:t>1.5</w:t>
            </w:r>
            <w:r>
              <w:tab/>
              <w:t>Lieux</w:t>
            </w:r>
            <w:bookmarkEnd w:id="140"/>
            <w:bookmarkEnd w:id="141"/>
            <w:bookmarkEnd w:id="142"/>
            <w:bookmarkEnd w:id="143"/>
          </w:p>
        </w:tc>
        <w:tc>
          <w:tcPr>
            <w:tcW w:w="7362" w:type="dxa"/>
          </w:tcPr>
          <w:p w:rsidR="00E3381D" w:rsidRPr="00D74080" w:rsidRDefault="00E3381D" w:rsidP="007C5949">
            <w:pPr>
              <w:spacing w:after="200"/>
              <w:ind w:right="-72"/>
              <w:jc w:val="both"/>
            </w:pPr>
            <w:r w:rsidRPr="00D74080">
              <w:t>Les Prestations sont exécutées sur les lieux indiqués à l’Annexe A ci-jointe et, lorsque la localisation d’une tâche particulière n’est pas précisée, en des lieux que l’Autorité contractante approuvera, au Togo ou à l’étranger.</w:t>
            </w:r>
          </w:p>
        </w:tc>
      </w:tr>
      <w:tr w:rsidR="00E3381D" w:rsidTr="007C5949">
        <w:trPr>
          <w:gridAfter w:val="1"/>
          <w:wAfter w:w="18" w:type="dxa"/>
        </w:trPr>
        <w:tc>
          <w:tcPr>
            <w:tcW w:w="2268" w:type="dxa"/>
          </w:tcPr>
          <w:p w:rsidR="00E3381D" w:rsidRDefault="00E3381D" w:rsidP="007C5949">
            <w:pPr>
              <w:pStyle w:val="A2-heading3"/>
            </w:pPr>
            <w:bookmarkStart w:id="144" w:name="_Toc72514757"/>
            <w:bookmarkStart w:id="145" w:name="_Toc72515154"/>
            <w:bookmarkStart w:id="146" w:name="_Toc319537936"/>
            <w:r>
              <w:t xml:space="preserve">1.6 </w:t>
            </w:r>
            <w:r>
              <w:tab/>
              <w:t>Autorité du mandataire du Groupement</w:t>
            </w:r>
            <w:bookmarkEnd w:id="144"/>
            <w:bookmarkEnd w:id="145"/>
            <w:bookmarkEnd w:id="146"/>
          </w:p>
        </w:tc>
        <w:tc>
          <w:tcPr>
            <w:tcW w:w="7362" w:type="dxa"/>
          </w:tcPr>
          <w:p w:rsidR="00E3381D" w:rsidRDefault="00E3381D" w:rsidP="007C5949">
            <w:pPr>
              <w:spacing w:after="180"/>
              <w:ind w:right="-72"/>
              <w:jc w:val="both"/>
            </w:pPr>
            <w:r>
              <w:t>Si le Consultant est constitué par une co-entreprise/association/groupement de plus d’une entité, les Membres autorisent par la présente l’entité indiquée dans les CP à exercer en leur nom tous les droits, et remplir toutes les obligations envers l’Autorité contractante en vertu du présent Marché et à recevoir, notamment, les instructions et les paiements effectués par l’Autorité contractante.</w:t>
            </w:r>
          </w:p>
        </w:tc>
      </w:tr>
      <w:tr w:rsidR="00E3381D" w:rsidTr="007C5949">
        <w:trPr>
          <w:gridAfter w:val="1"/>
          <w:wAfter w:w="18" w:type="dxa"/>
        </w:trPr>
        <w:tc>
          <w:tcPr>
            <w:tcW w:w="2268" w:type="dxa"/>
          </w:tcPr>
          <w:p w:rsidR="00E3381D" w:rsidRDefault="00E3381D" w:rsidP="007C5949">
            <w:pPr>
              <w:pStyle w:val="A2-heading3"/>
            </w:pPr>
            <w:bookmarkStart w:id="147" w:name="_Toc356621434"/>
            <w:bookmarkStart w:id="148" w:name="_Toc72514758"/>
            <w:bookmarkStart w:id="149" w:name="_Toc72515155"/>
            <w:bookmarkStart w:id="150" w:name="_Toc319537937"/>
            <w:r>
              <w:t>1.7</w:t>
            </w:r>
            <w:r>
              <w:tab/>
              <w:t>Représen</w:t>
            </w:r>
            <w:r>
              <w:softHyphen/>
              <w:t>tants Habilités</w:t>
            </w:r>
            <w:bookmarkEnd w:id="147"/>
            <w:bookmarkEnd w:id="148"/>
            <w:bookmarkEnd w:id="149"/>
            <w:bookmarkEnd w:id="150"/>
          </w:p>
        </w:tc>
        <w:tc>
          <w:tcPr>
            <w:tcW w:w="7362" w:type="dxa"/>
          </w:tcPr>
          <w:p w:rsidR="00E3381D" w:rsidRDefault="00E3381D" w:rsidP="007C5949">
            <w:pPr>
              <w:spacing w:after="180"/>
              <w:ind w:right="-72"/>
              <w:jc w:val="both"/>
            </w:pPr>
            <w:r>
              <w:t>Toute action qui peut ou qui doit être effectuée, et tout document qui peut ou qui doit être établi au titre du présent Marché par l’Autorité contractante ou par le Consultant, sera effectuée ou établie par les représentants indiqués dans les CP.</w:t>
            </w:r>
          </w:p>
        </w:tc>
      </w:tr>
      <w:tr w:rsidR="00E3381D" w:rsidTr="007C5949">
        <w:trPr>
          <w:gridAfter w:val="1"/>
          <w:wAfter w:w="18" w:type="dxa"/>
        </w:trPr>
        <w:tc>
          <w:tcPr>
            <w:tcW w:w="2268" w:type="dxa"/>
          </w:tcPr>
          <w:p w:rsidR="00E3381D" w:rsidRDefault="00E3381D" w:rsidP="007C5949">
            <w:pPr>
              <w:pStyle w:val="A2-heading3"/>
            </w:pPr>
            <w:bookmarkStart w:id="151" w:name="_Toc356621435"/>
            <w:bookmarkStart w:id="152" w:name="_Toc72514759"/>
            <w:bookmarkStart w:id="153" w:name="_Toc72515156"/>
            <w:bookmarkStart w:id="154" w:name="_Toc319537938"/>
            <w:r>
              <w:t>1.8</w:t>
            </w:r>
            <w:r>
              <w:tab/>
              <w:t>Impôts et Taxes</w:t>
            </w:r>
            <w:bookmarkEnd w:id="151"/>
            <w:bookmarkEnd w:id="152"/>
            <w:bookmarkEnd w:id="153"/>
            <w:bookmarkEnd w:id="154"/>
          </w:p>
        </w:tc>
        <w:tc>
          <w:tcPr>
            <w:tcW w:w="7362" w:type="dxa"/>
          </w:tcPr>
          <w:p w:rsidR="00E3381D" w:rsidRDefault="00E3381D" w:rsidP="007C5949">
            <w:pPr>
              <w:spacing w:after="180"/>
              <w:ind w:right="-72"/>
              <w:jc w:val="both"/>
            </w:pPr>
            <w:r>
              <w:t xml:space="preserve">Sauf disposition contraire figurant aux </w:t>
            </w:r>
            <w:r w:rsidRPr="00B42E71">
              <w:t>Conditions particulières</w:t>
            </w:r>
            <w:r>
              <w:rPr>
                <w:b/>
              </w:rPr>
              <w:t xml:space="preserve">, </w:t>
            </w:r>
            <w:r>
              <w:t xml:space="preserve"> le Consultant et son Personnel paieront les impôts, droits, taxes, redevances (y compris</w:t>
            </w:r>
            <w:r w:rsidRPr="00657C3E">
              <w:t xml:space="preserve"> la taxe parafiscale prévue par l’article 11 de la loi n° 2009-013 du 30 juin 2009 relative aux marchés publics et délégations de service public</w:t>
            </w:r>
            <w:r>
              <w:t>) et autres charges imposés en vertu du Droit applicable et dont le montant est réputé être inclus dans le Prix du Marché.</w:t>
            </w:r>
          </w:p>
        </w:tc>
      </w:tr>
      <w:tr w:rsidR="00E3381D" w:rsidTr="007C5949">
        <w:tc>
          <w:tcPr>
            <w:tcW w:w="2268" w:type="dxa"/>
          </w:tcPr>
          <w:p w:rsidR="00E3381D" w:rsidRDefault="00E3381D" w:rsidP="007C5949">
            <w:pPr>
              <w:pStyle w:val="A2-heading3"/>
            </w:pPr>
            <w:bookmarkStart w:id="155" w:name="_Toc64435345"/>
            <w:bookmarkStart w:id="156" w:name="_Toc64435535"/>
            <w:bookmarkStart w:id="157" w:name="_Toc64435725"/>
            <w:bookmarkStart w:id="158" w:name="_Toc72514760"/>
            <w:bookmarkStart w:id="159" w:name="_Toc72515157"/>
            <w:r>
              <w:rPr>
                <w:b w:val="0"/>
              </w:rPr>
              <w:br w:type="page"/>
            </w:r>
            <w:r>
              <w:rPr>
                <w:b w:val="0"/>
              </w:rPr>
              <w:br w:type="page"/>
            </w:r>
            <w:bookmarkStart w:id="160" w:name="_Toc319537939"/>
            <w:r>
              <w:t>1.9</w:t>
            </w:r>
            <w:r w:rsidRPr="00B74195">
              <w:t xml:space="preserve">Sanction des fautes commises par les </w:t>
            </w:r>
            <w:r w:rsidRPr="00B74195">
              <w:lastRenderedPageBreak/>
              <w:t>candidats ou titulaires de marchés publics</w:t>
            </w:r>
            <w:bookmarkEnd w:id="155"/>
            <w:bookmarkEnd w:id="156"/>
            <w:bookmarkEnd w:id="157"/>
            <w:bookmarkEnd w:id="158"/>
            <w:bookmarkEnd w:id="159"/>
            <w:bookmarkEnd w:id="160"/>
          </w:p>
        </w:tc>
        <w:tc>
          <w:tcPr>
            <w:tcW w:w="7380" w:type="dxa"/>
            <w:gridSpan w:val="2"/>
          </w:tcPr>
          <w:p w:rsidR="00E3381D" w:rsidRPr="00D74080" w:rsidRDefault="00E3381D" w:rsidP="00E3381D">
            <w:pPr>
              <w:pStyle w:val="Header3-Paragraph"/>
              <w:numPr>
                <w:ilvl w:val="2"/>
                <w:numId w:val="56"/>
              </w:numPr>
              <w:tabs>
                <w:tab w:val="clear" w:pos="720"/>
                <w:tab w:val="left" w:pos="708"/>
              </w:tabs>
              <w:overflowPunct/>
              <w:autoSpaceDE/>
              <w:adjustRightInd/>
              <w:spacing w:after="220"/>
              <w:textAlignment w:val="auto"/>
              <w:rPr>
                <w:lang w:val="fr-FR"/>
              </w:rPr>
            </w:pPr>
            <w:r w:rsidRPr="00D74080">
              <w:rPr>
                <w:lang w:val="fr-FR"/>
              </w:rPr>
              <w:lastRenderedPageBreak/>
              <w:t xml:space="preserve">La République togolaise exige de la part des candidats, soumissionnaires et titulaires de ses marchés publics, qu’ils respectent les règles d’éthique professionnelle les plus strictes durant la passation et l’exécution de ces marchés. Les candidats ou </w:t>
            </w:r>
            <w:r w:rsidRPr="00D74080">
              <w:rPr>
                <w:lang w:val="fr-FR"/>
              </w:rPr>
              <w:lastRenderedPageBreak/>
              <w:t>soumissionnaires ont l’obligation, sous peine de rejet de leur candidature ou de leur offre, de s’engager par écrit auprès de l’autorité contractante et ce pendant toute la procédure de passation jusqu’à la fin de l’exécution du marché, à ne pas effectuer de paiement, procurer d’avantage ou de privilège au profit de toute personne, agissant comme intermédiaire ou agent, en rémunération de services visant à influer sur le résultat de la procédure. Sans préjudice des sanctions pénales prévues par les lois et règlements en vigueur, des sanctions peuvent être prononcées par le Comité de Règlement des Différends de l’Autorité de Régulation des Marchés Publics à l'égard du candidat, soumissionnaire, attributaire ou titulaire qui a :</w:t>
            </w:r>
          </w:p>
          <w:p w:rsidR="00E3381D" w:rsidRPr="00D74080" w:rsidRDefault="00E3381D" w:rsidP="00E3381D">
            <w:pPr>
              <w:numPr>
                <w:ilvl w:val="0"/>
                <w:numId w:val="57"/>
              </w:numPr>
              <w:autoSpaceDN w:val="0"/>
              <w:ind w:right="113"/>
              <w:jc w:val="both"/>
            </w:pPr>
            <w:r w:rsidRPr="00D74080">
              <w:t>procédé à des pratiques de collusion entre soumissionnaires afin d’établir les prix des offres à des niveaux artificiels et non concurrentiels et de priver l’autorité contractante des avantages d’une concurrence libre et ouverte ;</w:t>
            </w:r>
          </w:p>
          <w:p w:rsidR="00E3381D" w:rsidRPr="00D74080" w:rsidRDefault="00E3381D" w:rsidP="00E3381D">
            <w:pPr>
              <w:numPr>
                <w:ilvl w:val="0"/>
                <w:numId w:val="57"/>
              </w:numPr>
              <w:autoSpaceDN w:val="0"/>
              <w:ind w:right="113"/>
              <w:jc w:val="both"/>
            </w:pPr>
            <w:r w:rsidRPr="00D74080">
              <w:t>participé à des pratiques visant sur le plan technique à instaurer un fractionnement du marché ou à influer sur le contenu du dossier d’appel d’offres ;</w:t>
            </w:r>
          </w:p>
          <w:p w:rsidR="00E3381D" w:rsidRPr="00D74080" w:rsidRDefault="00E3381D" w:rsidP="00E3381D">
            <w:pPr>
              <w:numPr>
                <w:ilvl w:val="0"/>
                <w:numId w:val="57"/>
              </w:numPr>
              <w:autoSpaceDN w:val="0"/>
              <w:ind w:right="113"/>
              <w:jc w:val="both"/>
            </w:pPr>
            <w:r w:rsidRPr="00D74080">
              <w:t>eu recours à la surfacturation et/ou à la fausse facturation dûment établie ;</w:t>
            </w:r>
          </w:p>
          <w:p w:rsidR="00E3381D" w:rsidRPr="00D74080" w:rsidRDefault="00E3381D" w:rsidP="00E3381D">
            <w:pPr>
              <w:numPr>
                <w:ilvl w:val="0"/>
                <w:numId w:val="57"/>
              </w:numPr>
              <w:autoSpaceDN w:val="0"/>
              <w:ind w:right="113"/>
              <w:jc w:val="both"/>
            </w:pPr>
            <w:r w:rsidRPr="00D74080">
              <w:t>tenté d’influer sur l’évaluation des offres ou sur les décisions d’attribution, y compris la proposition de tout paiement ou avantage indu ;</w:t>
            </w:r>
          </w:p>
          <w:p w:rsidR="00E3381D" w:rsidRPr="00D74080" w:rsidRDefault="00E3381D" w:rsidP="00E3381D">
            <w:pPr>
              <w:numPr>
                <w:ilvl w:val="0"/>
                <w:numId w:val="57"/>
              </w:numPr>
              <w:autoSpaceDN w:val="0"/>
              <w:ind w:right="113"/>
              <w:jc w:val="both"/>
            </w:pPr>
            <w:r w:rsidRPr="00D74080">
              <w:t>fourni des informations ou des déclarations fausses ou mensongères, ou a fait usage d’informations confidentielles dans le cadre de la procédure d’appel d’offres ;</w:t>
            </w:r>
          </w:p>
          <w:p w:rsidR="00E3381D" w:rsidRPr="00D74080" w:rsidRDefault="00E3381D" w:rsidP="00E3381D">
            <w:pPr>
              <w:numPr>
                <w:ilvl w:val="0"/>
                <w:numId w:val="57"/>
              </w:numPr>
              <w:autoSpaceDN w:val="0"/>
              <w:ind w:right="113"/>
              <w:jc w:val="both"/>
            </w:pPr>
            <w:r w:rsidRPr="00D74080">
              <w:t>participé pendant l’exécution du marché à des actes et pratiques frauduleuses préjudiciables aux intérêts de l’autorité contractante, contraires à la réglementation applicable en matière de marché public, susceptibles d’affecter la qualité des prestations ou leur prix ainsi que les garanties dont bénéficie l’autorité contractante ;</w:t>
            </w:r>
          </w:p>
          <w:p w:rsidR="00E3381D" w:rsidRPr="00A40C89" w:rsidRDefault="00E3381D" w:rsidP="007C5949">
            <w:pPr>
              <w:ind w:left="360" w:right="113"/>
              <w:jc w:val="both"/>
            </w:pPr>
          </w:p>
        </w:tc>
      </w:tr>
      <w:tr w:rsidR="00E3381D" w:rsidRPr="0047082A" w:rsidTr="007C5949">
        <w:tc>
          <w:tcPr>
            <w:tcW w:w="2268" w:type="dxa"/>
          </w:tcPr>
          <w:p w:rsidR="00E3381D" w:rsidRDefault="00E3381D" w:rsidP="007C5949">
            <w:pPr>
              <w:pStyle w:val="A2-heading4"/>
              <w:ind w:left="0" w:firstLine="0"/>
            </w:pPr>
          </w:p>
          <w:p w:rsidR="00E3381D" w:rsidRDefault="00E3381D" w:rsidP="007C5949">
            <w:pPr>
              <w:pStyle w:val="A2-heading3"/>
            </w:pPr>
          </w:p>
        </w:tc>
        <w:tc>
          <w:tcPr>
            <w:tcW w:w="7380" w:type="dxa"/>
            <w:gridSpan w:val="2"/>
          </w:tcPr>
          <w:p w:rsidR="00E3381D" w:rsidRPr="00D74080" w:rsidRDefault="00E3381D" w:rsidP="00E3381D">
            <w:pPr>
              <w:pStyle w:val="Header3-Paragraph"/>
              <w:numPr>
                <w:ilvl w:val="2"/>
                <w:numId w:val="56"/>
              </w:numPr>
              <w:tabs>
                <w:tab w:val="clear" w:pos="720"/>
                <w:tab w:val="left" w:pos="708"/>
              </w:tabs>
              <w:overflowPunct/>
              <w:autoSpaceDE/>
              <w:adjustRightInd/>
              <w:spacing w:after="220"/>
              <w:textAlignment w:val="auto"/>
              <w:rPr>
                <w:lang w:val="fr-FR"/>
              </w:rPr>
            </w:pPr>
            <w:r w:rsidRPr="00D74080">
              <w:rPr>
                <w:lang w:val="fr-FR"/>
              </w:rPr>
              <w:t>Les sanctions suivantes peuvent être prononcées, et, selon le cas, de façon cumulative :</w:t>
            </w:r>
          </w:p>
          <w:p w:rsidR="00E3381D" w:rsidRPr="00D74080" w:rsidRDefault="00E3381D" w:rsidP="00E3381D">
            <w:pPr>
              <w:numPr>
                <w:ilvl w:val="0"/>
                <w:numId w:val="14"/>
              </w:numPr>
              <w:autoSpaceDN w:val="0"/>
              <w:ind w:right="113"/>
              <w:jc w:val="both"/>
              <w:rPr>
                <w:rFonts w:cs="Arial"/>
                <w:szCs w:val="24"/>
                <w:lang w:eastAsia="fr-FR"/>
              </w:rPr>
            </w:pPr>
            <w:r w:rsidRPr="00D74080">
              <w:rPr>
                <w:rFonts w:cs="Arial"/>
                <w:szCs w:val="24"/>
                <w:lang w:eastAsia="fr-FR"/>
              </w:rPr>
              <w:t>la confiscation des garanties constituées par le contrevenant dans le cadre des procédures d’appel d’offres incriminées, dans l’hypothèse où elle n’aurait pas été prévue par le cahier des charges;</w:t>
            </w:r>
          </w:p>
          <w:p w:rsidR="00E3381D" w:rsidRPr="00D74080" w:rsidRDefault="00E3381D" w:rsidP="007C5949">
            <w:pPr>
              <w:ind w:right="113"/>
              <w:rPr>
                <w:rFonts w:cs="Arial"/>
                <w:szCs w:val="24"/>
                <w:lang w:eastAsia="fr-FR"/>
              </w:rPr>
            </w:pPr>
          </w:p>
          <w:p w:rsidR="00E3381D" w:rsidRPr="00D74080" w:rsidRDefault="00E3381D" w:rsidP="00E3381D">
            <w:pPr>
              <w:numPr>
                <w:ilvl w:val="0"/>
                <w:numId w:val="14"/>
              </w:numPr>
              <w:autoSpaceDN w:val="0"/>
              <w:ind w:right="113"/>
              <w:jc w:val="both"/>
              <w:rPr>
                <w:rFonts w:cs="Arial"/>
                <w:szCs w:val="24"/>
                <w:lang w:eastAsia="fr-FR"/>
              </w:rPr>
            </w:pPr>
            <w:r w:rsidRPr="00D74080">
              <w:rPr>
                <w:rFonts w:cs="Arial"/>
                <w:szCs w:val="24"/>
                <w:lang w:eastAsia="fr-FR"/>
              </w:rPr>
              <w:t>l’exclusion de la concurrence pour une durée temporaire en fonction de la gravité de la faute commise, y compris, en cas de collusion établie par l’autorité de régulation des Marchés publics, de toute entreprise qui possède la majorité du capital de l’entreprise sanctionnée, ou dont l’entreprise sanctionnée possède la majorité du capital ;</w:t>
            </w:r>
          </w:p>
          <w:p w:rsidR="00E3381D" w:rsidRPr="00D74080" w:rsidRDefault="00E3381D" w:rsidP="007C5949">
            <w:pPr>
              <w:pStyle w:val="ListParagraph"/>
              <w:rPr>
                <w:rFonts w:ascii="Times New Roman" w:hAnsi="Times New Roman" w:cs="Arial"/>
                <w:szCs w:val="24"/>
              </w:rPr>
            </w:pPr>
          </w:p>
          <w:p w:rsidR="00E3381D" w:rsidRPr="00D74080" w:rsidRDefault="00E3381D" w:rsidP="00E3381D">
            <w:pPr>
              <w:numPr>
                <w:ilvl w:val="0"/>
                <w:numId w:val="14"/>
              </w:numPr>
              <w:autoSpaceDN w:val="0"/>
              <w:ind w:right="113"/>
              <w:jc w:val="both"/>
              <w:rPr>
                <w:rFonts w:cs="Arial"/>
                <w:szCs w:val="24"/>
                <w:lang w:eastAsia="fr-FR"/>
              </w:rPr>
            </w:pPr>
            <w:r w:rsidRPr="00D74080">
              <w:rPr>
                <w:rFonts w:cs="Arial"/>
                <w:szCs w:val="24"/>
                <w:lang w:eastAsia="fr-FR"/>
              </w:rPr>
              <w:t>le retrait de leur agrément et/ou de leur certificat de qualification ;</w:t>
            </w:r>
          </w:p>
          <w:p w:rsidR="00E3381D" w:rsidRPr="00D74080" w:rsidRDefault="00E3381D" w:rsidP="007C5949">
            <w:pPr>
              <w:pStyle w:val="ListParagraph"/>
              <w:rPr>
                <w:rFonts w:ascii="Times New Roman" w:hAnsi="Times New Roman" w:cs="Arial"/>
                <w:szCs w:val="24"/>
              </w:rPr>
            </w:pPr>
          </w:p>
          <w:p w:rsidR="00E3381D" w:rsidRPr="00D74080" w:rsidRDefault="00E3381D" w:rsidP="00E3381D">
            <w:pPr>
              <w:numPr>
                <w:ilvl w:val="0"/>
                <w:numId w:val="14"/>
              </w:numPr>
              <w:autoSpaceDN w:val="0"/>
              <w:ind w:right="113"/>
              <w:jc w:val="both"/>
              <w:rPr>
                <w:rFonts w:cs="Arial"/>
                <w:szCs w:val="24"/>
                <w:lang w:eastAsia="fr-FR"/>
              </w:rPr>
            </w:pPr>
            <w:r w:rsidRPr="00D74080">
              <w:rPr>
                <w:rFonts w:cs="Arial"/>
                <w:szCs w:val="24"/>
                <w:lang w:eastAsia="fr-FR"/>
              </w:rPr>
              <w:lastRenderedPageBreak/>
              <w:t>une sanction à caractère pécuniaire dont le montant est fonction de la gravité des irrégularités et des violations de la réglementation, ainsi que des avantages que l’auteur a pu en tirer, sans préjudice de la réparation des dommages subis par l’autorité contractante.</w:t>
            </w:r>
          </w:p>
          <w:p w:rsidR="00E3381D" w:rsidRPr="00D74080" w:rsidRDefault="00E3381D" w:rsidP="007C5949">
            <w:pPr>
              <w:rPr>
                <w:rFonts w:cs="Arial"/>
                <w:szCs w:val="24"/>
                <w:lang w:eastAsia="fr-FR"/>
              </w:rPr>
            </w:pPr>
          </w:p>
          <w:p w:rsidR="00E3381D" w:rsidRPr="00D74080" w:rsidRDefault="00E3381D" w:rsidP="00E3381D">
            <w:pPr>
              <w:pStyle w:val="Header3-Paragraph"/>
              <w:numPr>
                <w:ilvl w:val="2"/>
                <w:numId w:val="56"/>
              </w:numPr>
              <w:tabs>
                <w:tab w:val="clear" w:pos="720"/>
                <w:tab w:val="left" w:pos="708"/>
              </w:tabs>
              <w:overflowPunct/>
              <w:autoSpaceDE/>
              <w:adjustRightInd/>
              <w:spacing w:after="220"/>
              <w:textAlignment w:val="auto"/>
              <w:rPr>
                <w:lang w:val="fr-FR"/>
              </w:rPr>
            </w:pPr>
            <w:r w:rsidRPr="00D74080">
              <w:rPr>
                <w:lang w:val="fr-FR"/>
              </w:rPr>
              <w:t>L’inexactitude des mentions obérant les capacités techniques, financières et les pièces administratives demandées dans le dossier d’appel d’offres ou leur fausseté est sanctionnée par le rejet de l’offre, sans préjudice des sanctions pouvant être prises dans le cadre des dispositions ci-dessus.</w:t>
            </w:r>
          </w:p>
          <w:p w:rsidR="00E3381D" w:rsidRPr="00D74080" w:rsidRDefault="00E3381D" w:rsidP="00E3381D">
            <w:pPr>
              <w:pStyle w:val="Header3-Paragraph"/>
              <w:numPr>
                <w:ilvl w:val="2"/>
                <w:numId w:val="56"/>
              </w:numPr>
              <w:tabs>
                <w:tab w:val="clear" w:pos="720"/>
                <w:tab w:val="left" w:pos="708"/>
              </w:tabs>
              <w:overflowPunct/>
              <w:autoSpaceDE/>
              <w:adjustRightInd/>
              <w:spacing w:after="220"/>
              <w:textAlignment w:val="auto"/>
              <w:rPr>
                <w:lang w:val="fr-FR"/>
              </w:rPr>
            </w:pPr>
            <w:r w:rsidRPr="00D74080">
              <w:rPr>
                <w:lang w:val="fr-FR"/>
              </w:rPr>
              <w:t>Le marché peut être résilié, sans préjudice des sanctions pouvant être prises dans le cadre des dispositions ci-dessus, lorsque les infractions commises sont établies pendant son exécution.</w:t>
            </w:r>
          </w:p>
          <w:p w:rsidR="00E3381D" w:rsidRPr="00D74080" w:rsidRDefault="00E3381D" w:rsidP="00E3381D">
            <w:pPr>
              <w:pStyle w:val="Header3-Paragraph"/>
              <w:numPr>
                <w:ilvl w:val="2"/>
                <w:numId w:val="56"/>
              </w:numPr>
              <w:tabs>
                <w:tab w:val="clear" w:pos="720"/>
                <w:tab w:val="left" w:pos="708"/>
              </w:tabs>
              <w:overflowPunct/>
              <w:autoSpaceDE/>
              <w:adjustRightInd/>
              <w:spacing w:after="220"/>
              <w:textAlignment w:val="auto"/>
              <w:rPr>
                <w:lang w:val="fr-FR"/>
              </w:rPr>
            </w:pPr>
            <w:r w:rsidRPr="00D74080">
              <w:rPr>
                <w:lang w:val="fr-FR"/>
              </w:rPr>
              <w:t>Le contrevenant dispose d'un recours devant les tribunaux de l’ordre administratif à l'encontre des décisions du Comité de Règlement des Différends. Ce recours n'est pas suspensif.</w:t>
            </w:r>
          </w:p>
        </w:tc>
      </w:tr>
    </w:tbl>
    <w:p w:rsidR="00E3381D" w:rsidRDefault="00E3381D" w:rsidP="00E3381D">
      <w:pPr>
        <w:pStyle w:val="A2-heading2"/>
      </w:pPr>
      <w:bookmarkStart w:id="161" w:name="_Toc356621436"/>
      <w:bookmarkStart w:id="162" w:name="_Toc72514764"/>
      <w:bookmarkStart w:id="163" w:name="_Toc72515161"/>
      <w:bookmarkStart w:id="164" w:name="_Toc319537940"/>
      <w:r>
        <w:lastRenderedPageBreak/>
        <w:t xml:space="preserve">2. </w:t>
      </w:r>
      <w:r w:rsidRPr="00BB72B0">
        <w:t>Commencement, Exécution, Amendement et Résiliation du Marché</w:t>
      </w:r>
      <w:bookmarkEnd w:id="161"/>
      <w:bookmarkEnd w:id="162"/>
      <w:bookmarkEnd w:id="163"/>
      <w:bookmarkEnd w:id="164"/>
    </w:p>
    <w:tbl>
      <w:tblPr>
        <w:tblW w:w="9648" w:type="dxa"/>
        <w:tblLayout w:type="fixed"/>
        <w:tblLook w:val="0000" w:firstRow="0" w:lastRow="0" w:firstColumn="0" w:lastColumn="0" w:noHBand="0" w:noVBand="0"/>
      </w:tblPr>
      <w:tblGrid>
        <w:gridCol w:w="2268"/>
        <w:gridCol w:w="7380"/>
      </w:tblGrid>
      <w:tr w:rsidR="00E3381D" w:rsidTr="007C5949">
        <w:trPr>
          <w:cantSplit/>
        </w:trPr>
        <w:tc>
          <w:tcPr>
            <w:tcW w:w="2268" w:type="dxa"/>
          </w:tcPr>
          <w:p w:rsidR="00E3381D" w:rsidRDefault="00E3381D" w:rsidP="007C5949">
            <w:pPr>
              <w:pStyle w:val="A2-heading3"/>
            </w:pPr>
            <w:bookmarkStart w:id="165" w:name="_Toc356621437"/>
            <w:bookmarkStart w:id="166" w:name="_Toc72514765"/>
            <w:bookmarkStart w:id="167" w:name="_Toc72515162"/>
            <w:bookmarkStart w:id="168" w:name="_Toc319537941"/>
            <w:r>
              <w:t>2.1</w:t>
            </w:r>
            <w:r>
              <w:tab/>
              <w:t>Entrée en vigueur du Marché</w:t>
            </w:r>
            <w:bookmarkEnd w:id="165"/>
            <w:bookmarkEnd w:id="166"/>
            <w:bookmarkEnd w:id="167"/>
            <w:bookmarkEnd w:id="168"/>
          </w:p>
        </w:tc>
        <w:tc>
          <w:tcPr>
            <w:tcW w:w="7380" w:type="dxa"/>
          </w:tcPr>
          <w:p w:rsidR="00E3381D" w:rsidRDefault="00E3381D" w:rsidP="007C5949">
            <w:pPr>
              <w:spacing w:after="200"/>
              <w:ind w:right="-72"/>
              <w:jc w:val="both"/>
            </w:pPr>
            <w:r>
              <w:t xml:space="preserve">Le présent Marché entrera en vigueur à la “Date d’entrée en vigueur” de la notification faite par l’Autorité contractante au Consultant de commencer à fournir les Prestations. Cette notification confirmera que les conditions d’entrée en vigueur du Marché, le cas échéant, énumérées dans les </w:t>
            </w:r>
            <w:r w:rsidRPr="00FF7BCB">
              <w:rPr>
                <w:b/>
              </w:rPr>
              <w:t>CP</w:t>
            </w:r>
            <w:r>
              <w:t xml:space="preserve"> ont été remplies.</w:t>
            </w:r>
          </w:p>
        </w:tc>
      </w:tr>
      <w:tr w:rsidR="00E3381D" w:rsidTr="007C5949">
        <w:tc>
          <w:tcPr>
            <w:tcW w:w="2268" w:type="dxa"/>
          </w:tcPr>
          <w:p w:rsidR="00E3381D" w:rsidRDefault="00E3381D" w:rsidP="007C5949">
            <w:pPr>
              <w:pStyle w:val="A2-heading3"/>
            </w:pPr>
            <w:bookmarkStart w:id="169" w:name="_Toc356621438"/>
            <w:bookmarkStart w:id="170" w:name="_Toc72514766"/>
            <w:bookmarkStart w:id="171" w:name="_Toc72515163"/>
            <w:bookmarkStart w:id="172" w:name="_Toc319537942"/>
            <w:r>
              <w:t>2.2</w:t>
            </w:r>
            <w:r>
              <w:tab/>
              <w:t>Commence</w:t>
            </w:r>
            <w:r>
              <w:softHyphen/>
              <w:t>ment des Prestations</w:t>
            </w:r>
            <w:bookmarkEnd w:id="169"/>
            <w:bookmarkEnd w:id="170"/>
            <w:bookmarkEnd w:id="171"/>
            <w:bookmarkEnd w:id="172"/>
          </w:p>
        </w:tc>
        <w:tc>
          <w:tcPr>
            <w:tcW w:w="7380" w:type="dxa"/>
          </w:tcPr>
          <w:p w:rsidR="00E3381D" w:rsidRDefault="00E3381D" w:rsidP="007C5949">
            <w:pPr>
              <w:spacing w:after="200"/>
              <w:ind w:right="-72"/>
              <w:jc w:val="both"/>
            </w:pPr>
            <w:r>
              <w:t xml:space="preserve">Le Consultant commencera l’exécution des Prestations au plus tard à l’issue de la période faisant suite à la Date d’entrée en vigueur indiquée dans les </w:t>
            </w:r>
            <w:r w:rsidRPr="00FF7BCB">
              <w:rPr>
                <w:b/>
              </w:rPr>
              <w:t>CP</w:t>
            </w:r>
            <w:r>
              <w:t>.</w:t>
            </w:r>
          </w:p>
        </w:tc>
      </w:tr>
      <w:tr w:rsidR="00E3381D" w:rsidTr="007C5949">
        <w:tc>
          <w:tcPr>
            <w:tcW w:w="2268" w:type="dxa"/>
          </w:tcPr>
          <w:p w:rsidR="00E3381D" w:rsidRDefault="00E3381D" w:rsidP="007C5949">
            <w:pPr>
              <w:pStyle w:val="A2-heading3"/>
            </w:pPr>
            <w:bookmarkStart w:id="173" w:name="_Toc356621439"/>
            <w:bookmarkStart w:id="174" w:name="_Toc72514767"/>
            <w:bookmarkStart w:id="175" w:name="_Toc72515164"/>
            <w:bookmarkStart w:id="176" w:name="_Toc319537943"/>
            <w:r>
              <w:t>2.3</w:t>
            </w:r>
            <w:r>
              <w:tab/>
              <w:t>Achèvement du Marché</w:t>
            </w:r>
            <w:bookmarkEnd w:id="173"/>
            <w:bookmarkEnd w:id="174"/>
            <w:bookmarkEnd w:id="175"/>
            <w:bookmarkEnd w:id="176"/>
          </w:p>
        </w:tc>
        <w:tc>
          <w:tcPr>
            <w:tcW w:w="7380" w:type="dxa"/>
          </w:tcPr>
          <w:p w:rsidR="00E3381D" w:rsidRDefault="00E3381D" w:rsidP="007C5949">
            <w:pPr>
              <w:spacing w:after="200"/>
              <w:ind w:right="-72"/>
              <w:jc w:val="both"/>
            </w:pPr>
            <w:r>
              <w:t xml:space="preserve">A moins qu’il n’ait été résilié auparavant conformément aux dispositions de la Clause 2.6 ci-après, le présent Marché prendra fin à l’issue de la période et à la date suivant la Date d’entrée en vigueur indiquées dans les </w:t>
            </w:r>
            <w:r w:rsidRPr="00FF7BCB">
              <w:rPr>
                <w:b/>
              </w:rPr>
              <w:t>CP</w:t>
            </w:r>
            <w:r>
              <w:t>.</w:t>
            </w:r>
          </w:p>
        </w:tc>
      </w:tr>
      <w:tr w:rsidR="00E3381D" w:rsidTr="007C5949">
        <w:tc>
          <w:tcPr>
            <w:tcW w:w="2268" w:type="dxa"/>
          </w:tcPr>
          <w:p w:rsidR="00E3381D" w:rsidRDefault="00E3381D" w:rsidP="007C5949">
            <w:pPr>
              <w:pStyle w:val="A2-heading3"/>
            </w:pPr>
            <w:bookmarkStart w:id="177" w:name="_Toc356621440"/>
            <w:bookmarkStart w:id="178" w:name="_Toc72514768"/>
            <w:bookmarkStart w:id="179" w:name="_Toc72515165"/>
            <w:bookmarkStart w:id="180" w:name="_Toc319537944"/>
            <w:r>
              <w:t>2.4</w:t>
            </w:r>
            <w:r>
              <w:tab/>
              <w:t>Avenant</w:t>
            </w:r>
            <w:bookmarkEnd w:id="177"/>
            <w:bookmarkEnd w:id="178"/>
            <w:bookmarkEnd w:id="179"/>
            <w:bookmarkEnd w:id="180"/>
          </w:p>
        </w:tc>
        <w:tc>
          <w:tcPr>
            <w:tcW w:w="7380" w:type="dxa"/>
          </w:tcPr>
          <w:p w:rsidR="00E3381D" w:rsidRDefault="00E3381D" w:rsidP="007C5949">
            <w:pPr>
              <w:spacing w:after="200"/>
              <w:ind w:right="-72"/>
              <w:jc w:val="both"/>
            </w:pPr>
            <w:r>
              <w:rPr>
                <w:spacing w:val="-4"/>
              </w:rPr>
              <w:t>Aucun avenant aux termes et conditions du présent Marché, y compris les modifications portées au volume des Prestations, ne pourra être effectué sans accord écrit entre les Parties</w:t>
            </w:r>
            <w:r>
              <w:t xml:space="preserve"> et sans avoir été approuvé par l’autorité compétente</w:t>
            </w:r>
            <w:r>
              <w:rPr>
                <w:spacing w:val="-4"/>
              </w:rPr>
              <w:t>. Toutefois, chaque Partie prendra dûment en considération les propositions de modification présentées par l’autre partie</w:t>
            </w:r>
            <w:r>
              <w:t>.</w:t>
            </w:r>
          </w:p>
        </w:tc>
      </w:tr>
      <w:tr w:rsidR="00E3381D" w:rsidTr="007C5949">
        <w:trPr>
          <w:trHeight w:val="720"/>
        </w:trPr>
        <w:tc>
          <w:tcPr>
            <w:tcW w:w="2268" w:type="dxa"/>
          </w:tcPr>
          <w:p w:rsidR="00E3381D" w:rsidRDefault="00E3381D" w:rsidP="007C5949">
            <w:pPr>
              <w:pStyle w:val="A2-heading3"/>
            </w:pPr>
            <w:bookmarkStart w:id="181" w:name="_Toc356621441"/>
            <w:bookmarkStart w:id="182" w:name="_Toc72514769"/>
            <w:bookmarkStart w:id="183" w:name="_Toc72515166"/>
            <w:bookmarkStart w:id="184" w:name="_Toc319537945"/>
            <w:r>
              <w:t>2.5</w:t>
            </w:r>
            <w:r>
              <w:tab/>
              <w:t>Force Majeure</w:t>
            </w:r>
            <w:bookmarkEnd w:id="181"/>
            <w:bookmarkEnd w:id="182"/>
            <w:bookmarkEnd w:id="183"/>
            <w:bookmarkEnd w:id="184"/>
          </w:p>
        </w:tc>
        <w:tc>
          <w:tcPr>
            <w:tcW w:w="7380" w:type="dxa"/>
          </w:tcPr>
          <w:p w:rsidR="00E3381D" w:rsidRDefault="00E3381D" w:rsidP="007C5949">
            <w:pPr>
              <w:spacing w:after="160"/>
              <w:ind w:right="-72"/>
            </w:pPr>
          </w:p>
        </w:tc>
      </w:tr>
      <w:tr w:rsidR="00E3381D" w:rsidTr="007C5949">
        <w:tc>
          <w:tcPr>
            <w:tcW w:w="2268" w:type="dxa"/>
          </w:tcPr>
          <w:p w:rsidR="00E3381D" w:rsidRDefault="00E3381D" w:rsidP="007C5949">
            <w:pPr>
              <w:pStyle w:val="A2-heading4"/>
            </w:pPr>
            <w:bookmarkStart w:id="185" w:name="_Toc356621442"/>
            <w:bookmarkStart w:id="186" w:name="_Toc72514770"/>
            <w:bookmarkStart w:id="187" w:name="_Toc72515167"/>
            <w:bookmarkStart w:id="188" w:name="_Toc319537946"/>
            <w:r>
              <w:t>2.5.1</w:t>
            </w:r>
            <w:r>
              <w:tab/>
              <w:t>Définition</w:t>
            </w:r>
            <w:bookmarkEnd w:id="185"/>
            <w:bookmarkEnd w:id="186"/>
            <w:bookmarkEnd w:id="187"/>
            <w:bookmarkEnd w:id="188"/>
          </w:p>
        </w:tc>
        <w:tc>
          <w:tcPr>
            <w:tcW w:w="7380" w:type="dxa"/>
          </w:tcPr>
          <w:p w:rsidR="00E3381D" w:rsidRDefault="00E3381D" w:rsidP="007C5949">
            <w:pPr>
              <w:tabs>
                <w:tab w:val="left" w:pos="540"/>
              </w:tabs>
              <w:spacing w:after="180"/>
              <w:ind w:left="547" w:right="-72" w:hanging="547"/>
              <w:jc w:val="both"/>
            </w:pPr>
            <w:r>
              <w:t>(a)</w:t>
            </w:r>
            <w:r>
              <w:tab/>
              <w:t xml:space="preserve">Aux fins du présent Marché, “Force majeure” signifie tout événement hors du contrôle d’une Partie ,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w:t>
            </w:r>
            <w:r>
              <w:lastRenderedPageBreak/>
              <w:t>explosions, tempêtes, inondations ou autres catastrophes naturelles, grèves, ou autres actions revendicatives (à l’exception des cas où ces grèves, ou autres actions revendicatives relèvent du contrôle de la Partie invoquant la force majeure), confiscations, ou fait du prince.</w:t>
            </w:r>
          </w:p>
          <w:p w:rsidR="00E3381D" w:rsidRDefault="00E3381D" w:rsidP="007C5949">
            <w:pPr>
              <w:tabs>
                <w:tab w:val="left" w:pos="540"/>
              </w:tabs>
              <w:spacing w:after="180"/>
              <w:ind w:left="547" w:right="-72" w:hanging="547"/>
              <w:jc w:val="both"/>
            </w:pPr>
            <w:r>
              <w:t>(b)</w:t>
            </w:r>
            <w:r>
              <w:tab/>
              <w:t>Ne constituent pas des cas de Force majeure: (i) les événements résultant d’une négligence ou d’une action délibérée d’une des Parties ou d’un de ses, agents ou employés, (ii) les événements qu’une Partie agissant avec diligence aurait été susceptible de prendre en considération au moment de la conclusion du Marché et d’éviter ou de surmonter dans l’exécution de ses obligations contractuelles.</w:t>
            </w:r>
          </w:p>
          <w:p w:rsidR="00E3381D" w:rsidRDefault="00E3381D" w:rsidP="007C5949">
            <w:pPr>
              <w:tabs>
                <w:tab w:val="left" w:pos="540"/>
              </w:tabs>
              <w:spacing w:after="180"/>
              <w:ind w:left="547" w:right="-72" w:hanging="547"/>
              <w:jc w:val="both"/>
            </w:pPr>
            <w:r>
              <w:t>(c)</w:t>
            </w:r>
            <w:r>
              <w:tab/>
              <w:t>L'insuffisance de fonds et le défaut de paiement ne constituent pas des cas de Force majeure.</w:t>
            </w:r>
          </w:p>
        </w:tc>
      </w:tr>
      <w:tr w:rsidR="00E3381D" w:rsidTr="007C5949">
        <w:tc>
          <w:tcPr>
            <w:tcW w:w="2268" w:type="dxa"/>
          </w:tcPr>
          <w:p w:rsidR="00E3381D" w:rsidRDefault="00E3381D" w:rsidP="007C5949">
            <w:pPr>
              <w:pStyle w:val="A2-heading4"/>
            </w:pPr>
            <w:bookmarkStart w:id="189" w:name="_Toc356621443"/>
            <w:bookmarkStart w:id="190" w:name="_Toc72514771"/>
            <w:bookmarkStart w:id="191" w:name="_Toc72515168"/>
            <w:bookmarkStart w:id="192" w:name="_Toc319537947"/>
            <w:r>
              <w:lastRenderedPageBreak/>
              <w:t>2.5.2</w:t>
            </w:r>
            <w:r>
              <w:tab/>
              <w:t>Non rupture de Marché</w:t>
            </w:r>
            <w:bookmarkEnd w:id="189"/>
            <w:bookmarkEnd w:id="190"/>
            <w:bookmarkEnd w:id="191"/>
            <w:bookmarkEnd w:id="192"/>
          </w:p>
        </w:tc>
        <w:tc>
          <w:tcPr>
            <w:tcW w:w="7380" w:type="dxa"/>
          </w:tcPr>
          <w:p w:rsidR="00E3381D" w:rsidRDefault="00E3381D" w:rsidP="007C5949">
            <w:pPr>
              <w:spacing w:after="160"/>
              <w:ind w:right="-72"/>
              <w:jc w:val="both"/>
            </w:pPr>
            <w:r>
              <w:t xml:space="preserve">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 </w:t>
            </w:r>
          </w:p>
          <w:p w:rsidR="00E3381D" w:rsidRDefault="00E3381D" w:rsidP="007C5949">
            <w:pPr>
              <w:spacing w:after="160"/>
              <w:ind w:right="-72"/>
              <w:jc w:val="both"/>
            </w:pPr>
            <w:r>
              <w:t>(a) pris toutes les précautions et mesures raisonnables, pour lui permettre de remplir les termes et conditions du présent Marché; et</w:t>
            </w:r>
          </w:p>
          <w:p w:rsidR="00E3381D" w:rsidRDefault="00E3381D" w:rsidP="007C5949">
            <w:pPr>
              <w:spacing w:after="160"/>
              <w:ind w:right="-72"/>
              <w:jc w:val="both"/>
            </w:pPr>
            <w:r>
              <w:t>(b) averti l’autre Partie de cet événement dans les plus brefs délais.</w:t>
            </w:r>
          </w:p>
        </w:tc>
      </w:tr>
      <w:tr w:rsidR="00E3381D" w:rsidTr="007C5949">
        <w:tc>
          <w:tcPr>
            <w:tcW w:w="2268" w:type="dxa"/>
          </w:tcPr>
          <w:p w:rsidR="00E3381D" w:rsidRDefault="00E3381D" w:rsidP="007C5949">
            <w:pPr>
              <w:pStyle w:val="A2-heading4"/>
            </w:pPr>
            <w:bookmarkStart w:id="193" w:name="_Toc319537948"/>
            <w:r>
              <w:t>2.5.3Dispositions  à prendre</w:t>
            </w:r>
            <w:bookmarkEnd w:id="193"/>
          </w:p>
        </w:tc>
        <w:tc>
          <w:tcPr>
            <w:tcW w:w="7380" w:type="dxa"/>
          </w:tcPr>
          <w:p w:rsidR="00E3381D" w:rsidRDefault="00E3381D" w:rsidP="007C5949">
            <w:pPr>
              <w:tabs>
                <w:tab w:val="left" w:pos="540"/>
              </w:tabs>
              <w:spacing w:after="200"/>
              <w:ind w:left="540" w:right="-72" w:hanging="540"/>
              <w:jc w:val="both"/>
            </w:pPr>
          </w:p>
          <w:p w:rsidR="00E3381D" w:rsidRDefault="00E3381D" w:rsidP="007C5949">
            <w:pPr>
              <w:tabs>
                <w:tab w:val="left" w:pos="540"/>
              </w:tabs>
              <w:spacing w:after="200"/>
              <w:ind w:left="540" w:right="-72" w:hanging="540"/>
              <w:jc w:val="both"/>
            </w:pPr>
            <w:r>
              <w:t>(a)</w:t>
            </w:r>
            <w:r>
              <w:tab/>
              <w:t>Une Partie faisant face à un cas de Force majeure doit continuer de s’acquitter, dans toute la mesure du possible, de ses obligations en vertu de ce Marché et doit prendre toutes les dispositions raisonnables pour minimiser les conséquences de tout cas de Force majeure.</w:t>
            </w:r>
          </w:p>
          <w:p w:rsidR="00E3381D" w:rsidRDefault="00E3381D" w:rsidP="007C5949">
            <w:pPr>
              <w:tabs>
                <w:tab w:val="left" w:pos="540"/>
              </w:tabs>
              <w:spacing w:after="200"/>
              <w:ind w:left="540" w:right="-72" w:hanging="540"/>
              <w:jc w:val="both"/>
            </w:pPr>
            <w:r>
              <w:t>(b)</w:t>
            </w:r>
            <w:r>
              <w:tab/>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rsidR="00E3381D" w:rsidRDefault="00E3381D" w:rsidP="007C5949">
            <w:pPr>
              <w:tabs>
                <w:tab w:val="left" w:pos="540"/>
              </w:tabs>
              <w:spacing w:after="200"/>
              <w:ind w:left="540" w:right="-72" w:hanging="540"/>
              <w:jc w:val="both"/>
            </w:pPr>
            <w:r>
              <w:t>(c)</w:t>
            </w:r>
            <w: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rsidR="00E3381D" w:rsidRDefault="00E3381D" w:rsidP="007C5949">
            <w:pPr>
              <w:spacing w:after="200"/>
              <w:ind w:left="540" w:right="-72" w:hanging="540"/>
              <w:jc w:val="both"/>
            </w:pPr>
            <w:r>
              <w:t>(d)</w:t>
            </w:r>
            <w:r>
              <w:tab/>
              <w:t>Pendant la période où il est dans l’incapacité d’exécuter les Prestations à la suite d’un cas de Force majeure, le Consultant, sur instructions de l’Autorité contractante, doit ;</w:t>
            </w:r>
          </w:p>
        </w:tc>
      </w:tr>
      <w:tr w:rsidR="00E3381D" w:rsidTr="007C5949">
        <w:tc>
          <w:tcPr>
            <w:tcW w:w="2268" w:type="dxa"/>
          </w:tcPr>
          <w:p w:rsidR="00E3381D" w:rsidRDefault="00E3381D" w:rsidP="007C5949">
            <w:pPr>
              <w:pStyle w:val="A2-heading4"/>
            </w:pPr>
          </w:p>
        </w:tc>
        <w:tc>
          <w:tcPr>
            <w:tcW w:w="7380" w:type="dxa"/>
          </w:tcPr>
          <w:p w:rsidR="00E3381D" w:rsidRPr="00D74080" w:rsidRDefault="00E3381D" w:rsidP="00E3381D">
            <w:pPr>
              <w:numPr>
                <w:ilvl w:val="0"/>
                <w:numId w:val="55"/>
              </w:numPr>
              <w:spacing w:after="200"/>
              <w:ind w:right="-72"/>
              <w:jc w:val="both"/>
            </w:pPr>
            <w:r w:rsidRPr="00D74080">
              <w:t xml:space="preserve">Cesser ses activités, auquel cas il sera remboursé des coûts raisonnables et nécessaires encourus et de ceux afférents à la </w:t>
            </w:r>
            <w:r w:rsidRPr="00D74080">
              <w:lastRenderedPageBreak/>
              <w:t>reprise des Prestations si ainsi requis par l’Autorité contractante, ou</w:t>
            </w:r>
          </w:p>
          <w:p w:rsidR="00E3381D" w:rsidRPr="00A40C89" w:rsidRDefault="00E3381D" w:rsidP="00E3381D">
            <w:pPr>
              <w:numPr>
                <w:ilvl w:val="0"/>
                <w:numId w:val="55"/>
              </w:numPr>
              <w:spacing w:after="200"/>
              <w:ind w:right="-72"/>
              <w:jc w:val="both"/>
            </w:pPr>
            <w:r w:rsidRPr="00A40C89">
              <w:t>continuer l’exécution des Prestations autant que faire se peut, auquel cas, le Consultant continuera d’être rémunéré conformément aux termes du présent Marché; il sera également remboursé dans une limite raisonnable pour les frais nécessaires encourus.</w:t>
            </w:r>
          </w:p>
          <w:p w:rsidR="00E3381D" w:rsidRPr="00D74080" w:rsidRDefault="00E3381D" w:rsidP="007C5949">
            <w:pPr>
              <w:spacing w:after="200"/>
              <w:ind w:left="540" w:right="-72" w:hanging="540"/>
              <w:jc w:val="both"/>
            </w:pPr>
            <w:r w:rsidRPr="00A40C89">
              <w:t>(e)</w:t>
            </w:r>
            <w:r w:rsidRPr="00A40C89">
              <w:tab/>
              <w:t xml:space="preserve">En cas de désaccord entre les Parties quant à l’existence ou à la gravité d’un cas de Force majeure, le différend sera tranché conformément aux dispositions prévues </w:t>
            </w:r>
            <w:r w:rsidRPr="00D74080">
              <w:t>aux articles 129 et 130 du code des marchés publics.</w:t>
            </w:r>
          </w:p>
        </w:tc>
      </w:tr>
      <w:tr w:rsidR="00E3381D" w:rsidTr="007C5949">
        <w:tc>
          <w:tcPr>
            <w:tcW w:w="2268" w:type="dxa"/>
          </w:tcPr>
          <w:p w:rsidR="00E3381D" w:rsidRDefault="00E3381D" w:rsidP="007C5949">
            <w:pPr>
              <w:pStyle w:val="A2-heading4"/>
            </w:pPr>
            <w:bookmarkStart w:id="194" w:name="_Toc356621444"/>
            <w:bookmarkStart w:id="195" w:name="_Toc72514772"/>
            <w:bookmarkStart w:id="196" w:name="_Toc72515169"/>
            <w:bookmarkStart w:id="197" w:name="_Toc319537949"/>
            <w:r>
              <w:lastRenderedPageBreak/>
              <w:t>2.5.4</w:t>
            </w:r>
            <w:r>
              <w:tab/>
              <w:t>Prolonga</w:t>
            </w:r>
            <w:r>
              <w:softHyphen/>
              <w:t>tion des délais</w:t>
            </w:r>
            <w:bookmarkEnd w:id="194"/>
            <w:bookmarkEnd w:id="195"/>
            <w:bookmarkEnd w:id="196"/>
            <w:bookmarkEnd w:id="197"/>
          </w:p>
        </w:tc>
        <w:tc>
          <w:tcPr>
            <w:tcW w:w="7380" w:type="dxa"/>
          </w:tcPr>
          <w:p w:rsidR="00E3381D" w:rsidRPr="00A40C89" w:rsidRDefault="00E3381D" w:rsidP="007C5949">
            <w:pPr>
              <w:spacing w:after="160"/>
              <w:ind w:right="-72"/>
              <w:jc w:val="both"/>
            </w:pPr>
            <w:r w:rsidRPr="00D74080">
              <w:t>Tout délai accordé à une Partie pour l’exécution de ses obligations contractuelles sera prorogé d’u</w:t>
            </w:r>
            <w:r w:rsidRPr="00A40C89">
              <w:t>ne durée égale à la période pendant laquelle cette Partie aura été mise dans l’incapacité d’exécuter ses obligations par suite d’un cas de force majeure.</w:t>
            </w:r>
          </w:p>
        </w:tc>
      </w:tr>
      <w:tr w:rsidR="00E3381D" w:rsidTr="007C5949">
        <w:trPr>
          <w:cantSplit/>
        </w:trPr>
        <w:tc>
          <w:tcPr>
            <w:tcW w:w="2268" w:type="dxa"/>
          </w:tcPr>
          <w:p w:rsidR="00E3381D" w:rsidRDefault="00E3381D" w:rsidP="007C5949">
            <w:pPr>
              <w:pStyle w:val="A2-heading4"/>
            </w:pPr>
            <w:bookmarkStart w:id="198" w:name="_Toc356621445"/>
            <w:bookmarkStart w:id="199" w:name="_Toc72514773"/>
            <w:bookmarkStart w:id="200" w:name="_Toc72515170"/>
            <w:bookmarkStart w:id="201" w:name="_Toc319537950"/>
            <w:r>
              <w:t>2.5.5</w:t>
            </w:r>
            <w:r>
              <w:tab/>
              <w:t>Paiements</w:t>
            </w:r>
            <w:bookmarkEnd w:id="198"/>
            <w:bookmarkEnd w:id="199"/>
            <w:bookmarkEnd w:id="200"/>
            <w:bookmarkEnd w:id="201"/>
          </w:p>
        </w:tc>
        <w:tc>
          <w:tcPr>
            <w:tcW w:w="7380" w:type="dxa"/>
          </w:tcPr>
          <w:p w:rsidR="00E3381D" w:rsidRDefault="00E3381D" w:rsidP="007C5949">
            <w:pPr>
              <w:spacing w:after="160"/>
              <w:ind w:right="-72"/>
              <w:jc w:val="both"/>
            </w:pPr>
            <w:r>
              <w:t>Pendant la période où il est dans l’incapacité d’exécuter les Prestations à la suite d’un cas de force majeure, le Consultant continue à être rémunéré conformément aux termes du présent Marché; il est également remboursé dans une limite raisonnable des frais supplémentaires encourus pendant ladite période aux fins de l’exécution des Prestations et de leur reprise à la fin de ladite période.</w:t>
            </w:r>
          </w:p>
        </w:tc>
      </w:tr>
      <w:tr w:rsidR="00E3381D" w:rsidTr="007C5949">
        <w:tc>
          <w:tcPr>
            <w:tcW w:w="2268" w:type="dxa"/>
          </w:tcPr>
          <w:p w:rsidR="00E3381D" w:rsidRDefault="00E3381D" w:rsidP="007C5949">
            <w:pPr>
              <w:pStyle w:val="A2-heading3"/>
            </w:pPr>
            <w:bookmarkStart w:id="202" w:name="_Toc356621446"/>
            <w:bookmarkStart w:id="203" w:name="_Toc72514774"/>
            <w:bookmarkStart w:id="204" w:name="_Toc72515171"/>
            <w:bookmarkStart w:id="205" w:name="_Toc319537951"/>
            <w:r>
              <w:t>2.6</w:t>
            </w:r>
            <w:r>
              <w:tab/>
              <w:t>Résiliation</w:t>
            </w:r>
            <w:bookmarkEnd w:id="202"/>
            <w:bookmarkEnd w:id="203"/>
            <w:bookmarkEnd w:id="204"/>
            <w:bookmarkEnd w:id="205"/>
          </w:p>
        </w:tc>
        <w:tc>
          <w:tcPr>
            <w:tcW w:w="7380" w:type="dxa"/>
          </w:tcPr>
          <w:p w:rsidR="00E3381D" w:rsidRDefault="00E3381D" w:rsidP="007C5949">
            <w:pPr>
              <w:spacing w:after="160"/>
              <w:ind w:right="-72"/>
              <w:jc w:val="both"/>
            </w:pPr>
          </w:p>
        </w:tc>
      </w:tr>
      <w:tr w:rsidR="00E3381D" w:rsidTr="007C5949">
        <w:tc>
          <w:tcPr>
            <w:tcW w:w="2268" w:type="dxa"/>
          </w:tcPr>
          <w:p w:rsidR="00E3381D" w:rsidRDefault="00E3381D" w:rsidP="007C5949">
            <w:pPr>
              <w:pStyle w:val="A2-heading4"/>
            </w:pPr>
            <w:bookmarkStart w:id="206" w:name="_Toc356621447"/>
            <w:bookmarkStart w:id="207" w:name="_Toc72514775"/>
            <w:bookmarkStart w:id="208" w:name="_Toc72515172"/>
            <w:bookmarkStart w:id="209" w:name="_Toc319537952"/>
            <w:r>
              <w:t>2.6.1</w:t>
            </w:r>
            <w:r>
              <w:tab/>
              <w:t>Par l’Autorité contractante</w:t>
            </w:r>
            <w:bookmarkEnd w:id="206"/>
            <w:bookmarkEnd w:id="207"/>
            <w:bookmarkEnd w:id="208"/>
            <w:bookmarkEnd w:id="209"/>
          </w:p>
        </w:tc>
        <w:tc>
          <w:tcPr>
            <w:tcW w:w="7380" w:type="dxa"/>
          </w:tcPr>
          <w:p w:rsidR="00E3381D" w:rsidRDefault="00E3381D" w:rsidP="007C5949">
            <w:pPr>
              <w:spacing w:after="160"/>
              <w:ind w:right="-72"/>
              <w:jc w:val="both"/>
            </w:pPr>
            <w:r>
              <w:rPr>
                <w:spacing w:val="-2"/>
              </w:rPr>
              <w:t>L’Autorité contractante peut résilier le Marché dans les cas visés aux alinéas (a) à (e) ci-après. L’Autorité contractante remettra une notification écrite d’un délai minimum de trente (30) jours au Consultant.</w:t>
            </w:r>
          </w:p>
          <w:p w:rsidR="00E3381D" w:rsidRDefault="00E3381D" w:rsidP="007C5949">
            <w:pPr>
              <w:tabs>
                <w:tab w:val="left" w:pos="540"/>
              </w:tabs>
              <w:spacing w:after="160"/>
              <w:ind w:left="547" w:right="-72" w:hanging="547"/>
              <w:jc w:val="both"/>
            </w:pPr>
            <w:r>
              <w:t>(a)</w:t>
            </w:r>
            <w:r>
              <w:tab/>
              <w:t>si le Consultant ne remédie pas à un manquement à ses obligations contractuelles dans les trente (30) jours suivant la réception d’une notification ou dans le délai que l’Autorité contractante pourra avoir accepté ultérieurement par écrit;</w:t>
            </w:r>
          </w:p>
          <w:p w:rsidR="00E3381D" w:rsidRDefault="00E3381D" w:rsidP="00E3381D">
            <w:pPr>
              <w:numPr>
                <w:ilvl w:val="0"/>
                <w:numId w:val="53"/>
              </w:numPr>
              <w:spacing w:after="160"/>
              <w:ind w:right="-72"/>
              <w:jc w:val="both"/>
            </w:pPr>
            <w:r>
              <w:t>si le Consultant fait faillite ou fait l’objet d’une procédure de redressement judiciaire.</w:t>
            </w:r>
          </w:p>
          <w:p w:rsidR="00E3381D" w:rsidRDefault="00E3381D" w:rsidP="00E3381D">
            <w:pPr>
              <w:numPr>
                <w:ilvl w:val="0"/>
                <w:numId w:val="53"/>
              </w:numPr>
              <w:spacing w:after="160"/>
              <w:ind w:right="-72"/>
              <w:jc w:val="both"/>
            </w:pPr>
            <w:r>
              <w:t xml:space="preserve">si le Consultant présente à l’Autorité contractante une déclaration volontairement erronée ayant des conséquences sur les droits, obligations ou intérêts de l’Autorité contractante; </w:t>
            </w:r>
          </w:p>
          <w:p w:rsidR="00E3381D" w:rsidRDefault="00E3381D" w:rsidP="00E3381D">
            <w:pPr>
              <w:numPr>
                <w:ilvl w:val="0"/>
                <w:numId w:val="53"/>
              </w:numPr>
              <w:spacing w:after="160"/>
              <w:ind w:right="-72"/>
              <w:jc w:val="both"/>
            </w:pPr>
            <w:r>
              <w:t xml:space="preserve">si, suite à un cas de force majeure, le Consultant est placé dans l’incapacité d’exécuter une partie substantielle des Prestations pendant une période au moins égale à soixante (60) jours; </w:t>
            </w:r>
          </w:p>
          <w:p w:rsidR="00E3381D" w:rsidRDefault="00E3381D" w:rsidP="00E3381D">
            <w:pPr>
              <w:numPr>
                <w:ilvl w:val="0"/>
                <w:numId w:val="53"/>
              </w:numPr>
              <w:spacing w:after="160"/>
              <w:ind w:right="-72"/>
              <w:jc w:val="both"/>
            </w:pPr>
            <w:r>
              <w:t xml:space="preserve">si l’Autorité contractante, de sa propre initiative et pour quelque raison que ce soit, décide de résilier le présent Marché. </w:t>
            </w:r>
          </w:p>
        </w:tc>
      </w:tr>
      <w:tr w:rsidR="00E3381D" w:rsidTr="007C5949">
        <w:trPr>
          <w:cantSplit/>
        </w:trPr>
        <w:tc>
          <w:tcPr>
            <w:tcW w:w="2268" w:type="dxa"/>
          </w:tcPr>
          <w:p w:rsidR="00E3381D" w:rsidRDefault="00E3381D" w:rsidP="007C5949">
            <w:pPr>
              <w:pStyle w:val="A2-heading4"/>
            </w:pPr>
            <w:bookmarkStart w:id="210" w:name="_Toc356621448"/>
            <w:bookmarkStart w:id="211" w:name="_Toc72514776"/>
            <w:bookmarkStart w:id="212" w:name="_Toc72515173"/>
            <w:bookmarkStart w:id="213" w:name="_Toc319537953"/>
            <w:r>
              <w:lastRenderedPageBreak/>
              <w:t>2.6.2</w:t>
            </w:r>
            <w:r>
              <w:tab/>
              <w:t>Par le Consultant</w:t>
            </w:r>
            <w:bookmarkEnd w:id="210"/>
            <w:bookmarkEnd w:id="211"/>
            <w:bookmarkEnd w:id="212"/>
            <w:bookmarkEnd w:id="213"/>
          </w:p>
        </w:tc>
        <w:tc>
          <w:tcPr>
            <w:tcW w:w="7380" w:type="dxa"/>
          </w:tcPr>
          <w:p w:rsidR="00E3381D" w:rsidRDefault="00E3381D" w:rsidP="007C5949">
            <w:pPr>
              <w:spacing w:after="200"/>
              <w:ind w:right="-72"/>
              <w:jc w:val="both"/>
            </w:pPr>
            <w:r>
              <w:t>Le Consultant peut résilier le présent Marché par notification écrite effectuée dans un délai qui ne saurait être inférieur à trente (30) jours suivant l’apparition de l’un des événements décrits aux alinéas (a) ou (b) ci-après:</w:t>
            </w:r>
          </w:p>
          <w:p w:rsidR="00E3381D" w:rsidRDefault="00E3381D" w:rsidP="007C5949">
            <w:pPr>
              <w:tabs>
                <w:tab w:val="left" w:pos="540"/>
              </w:tabs>
              <w:spacing w:after="200"/>
              <w:ind w:left="540" w:right="-72" w:hanging="540"/>
              <w:jc w:val="both"/>
            </w:pPr>
            <w:r>
              <w:t>(a)</w:t>
            </w:r>
            <w:r>
              <w:tab/>
              <w:t>si l’Autorité contractante ne règle pas, dans les quarante-cinq (45) jours suivant réception de la notification écrite du Consultant d’un retard de paiement, les sommes qui sont dues au Consultant, conformément aux dispositions du présent Marché, et non sujettes à contestation dans le cadre des dispositions de la Clause 8 ci-après; ou</w:t>
            </w:r>
          </w:p>
          <w:p w:rsidR="00E3381D" w:rsidRDefault="00E3381D" w:rsidP="007C5949">
            <w:pPr>
              <w:tabs>
                <w:tab w:val="left" w:pos="540"/>
              </w:tabs>
              <w:spacing w:after="200"/>
              <w:ind w:left="540" w:right="-72" w:hanging="540"/>
              <w:jc w:val="both"/>
            </w:pPr>
            <w:r>
              <w:t>(b)</w:t>
            </w:r>
            <w:r>
              <w:tab/>
              <w:t>si, à la suite d’un cas de force majeure, le Consultant se trouve dans l’incapacité d’exécuter une partie substantielle des Prestations pendant une période d’au moins soixante (60) jours.</w:t>
            </w:r>
          </w:p>
          <w:p w:rsidR="00E3381D" w:rsidRDefault="00E3381D" w:rsidP="007C5949">
            <w:pPr>
              <w:tabs>
                <w:tab w:val="left" w:pos="540"/>
              </w:tabs>
              <w:ind w:left="540" w:right="-72" w:hanging="540"/>
              <w:jc w:val="both"/>
            </w:pPr>
          </w:p>
        </w:tc>
      </w:tr>
      <w:tr w:rsidR="00E3381D" w:rsidTr="007C5949">
        <w:trPr>
          <w:cantSplit/>
        </w:trPr>
        <w:tc>
          <w:tcPr>
            <w:tcW w:w="2268" w:type="dxa"/>
          </w:tcPr>
          <w:p w:rsidR="00E3381D" w:rsidRDefault="00E3381D" w:rsidP="007C5949">
            <w:pPr>
              <w:pStyle w:val="A2-heading3"/>
            </w:pPr>
            <w:bookmarkStart w:id="214" w:name="_Toc356621449"/>
            <w:bookmarkStart w:id="215" w:name="_Toc72514777"/>
            <w:bookmarkStart w:id="216" w:name="_Toc72515174"/>
            <w:bookmarkStart w:id="217" w:name="_Toc319537954"/>
            <w:r>
              <w:t>2.6.3</w:t>
            </w:r>
            <w:r>
              <w:tab/>
              <w:t>Paiement à la Suite de la Résiliation</w:t>
            </w:r>
            <w:bookmarkEnd w:id="214"/>
            <w:bookmarkEnd w:id="215"/>
            <w:bookmarkEnd w:id="216"/>
            <w:bookmarkEnd w:id="217"/>
          </w:p>
        </w:tc>
        <w:tc>
          <w:tcPr>
            <w:tcW w:w="7380" w:type="dxa"/>
          </w:tcPr>
          <w:p w:rsidR="00E3381D" w:rsidRDefault="00E3381D" w:rsidP="007C5949">
            <w:pPr>
              <w:spacing w:after="200"/>
              <w:ind w:right="-72"/>
              <w:jc w:val="both"/>
            </w:pPr>
            <w:r>
              <w:t>Dans le cas d’une résiliation du présent Marché conformément aux dispositions des Clauses 2.6.1 ou 2.6.2 ci-dessus, l’Autorité contractante réglera au Consultant les sommes suivantes:</w:t>
            </w:r>
          </w:p>
          <w:p w:rsidR="00E3381D" w:rsidRDefault="00E3381D" w:rsidP="007C5949">
            <w:pPr>
              <w:tabs>
                <w:tab w:val="left" w:pos="540"/>
              </w:tabs>
              <w:spacing w:after="200"/>
              <w:ind w:left="540" w:right="-72" w:hanging="540"/>
              <w:jc w:val="both"/>
            </w:pPr>
            <w:r>
              <w:t>(a)</w:t>
            </w:r>
            <w:r>
              <w:tab/>
              <w:t>la rémunération due conformément aux dispositions de la Clause 6 ci-après au titre des Prestations qui ont été effectuées de manière satisfaisante jusqu’à la date de résiliation; et</w:t>
            </w:r>
          </w:p>
          <w:p w:rsidR="00E3381D" w:rsidRDefault="00E3381D" w:rsidP="007C5949">
            <w:pPr>
              <w:tabs>
                <w:tab w:val="left" w:pos="540"/>
              </w:tabs>
              <w:spacing w:after="200"/>
              <w:ind w:left="540" w:right="-72" w:hanging="540"/>
              <w:jc w:val="both"/>
            </w:pPr>
            <w:r>
              <w:t>(b)</w:t>
            </w:r>
            <w:r>
              <w:tab/>
              <w:t>excepté dans les cas de résiliation visés aux alinéas (a) et (c) de la Clause CG 2.6.1, le remboursement, dans une limite raisonnable, des dépenses résultant de la clôture rapide et en bon ordre des Prestations, ainsi que des dépenses de rapatriement du personnel du Consultant.</w:t>
            </w:r>
          </w:p>
        </w:tc>
      </w:tr>
    </w:tbl>
    <w:p w:rsidR="00E3381D" w:rsidRDefault="00E3381D" w:rsidP="00E3381D">
      <w:pPr>
        <w:pStyle w:val="A2-heading2"/>
        <w:spacing w:before="240"/>
      </w:pPr>
      <w:bookmarkStart w:id="218" w:name="_Toc356621450"/>
      <w:bookmarkStart w:id="219" w:name="_Toc72514778"/>
      <w:bookmarkStart w:id="220" w:name="_Toc72515175"/>
      <w:bookmarkStart w:id="221" w:name="_Toc319537955"/>
      <w:r>
        <w:t>3. Obligations du Consultant</w:t>
      </w:r>
      <w:bookmarkEnd w:id="218"/>
      <w:bookmarkEnd w:id="219"/>
      <w:bookmarkEnd w:id="220"/>
      <w:bookmarkEnd w:id="221"/>
    </w:p>
    <w:tbl>
      <w:tblPr>
        <w:tblW w:w="9648" w:type="dxa"/>
        <w:tblLayout w:type="fixed"/>
        <w:tblLook w:val="0000" w:firstRow="0" w:lastRow="0" w:firstColumn="0" w:lastColumn="0" w:noHBand="0" w:noVBand="0"/>
      </w:tblPr>
      <w:tblGrid>
        <w:gridCol w:w="2322"/>
        <w:gridCol w:w="7326"/>
      </w:tblGrid>
      <w:tr w:rsidR="00E3381D" w:rsidTr="007C5949">
        <w:trPr>
          <w:cantSplit/>
        </w:trPr>
        <w:tc>
          <w:tcPr>
            <w:tcW w:w="2322" w:type="dxa"/>
          </w:tcPr>
          <w:p w:rsidR="00E3381D" w:rsidRDefault="00E3381D" w:rsidP="007C5949">
            <w:pPr>
              <w:pStyle w:val="A2-heading3"/>
            </w:pPr>
            <w:bookmarkStart w:id="222" w:name="_Toc356621451"/>
            <w:bookmarkStart w:id="223" w:name="_Toc72514779"/>
            <w:bookmarkStart w:id="224" w:name="_Toc72515176"/>
            <w:bookmarkStart w:id="225" w:name="_Toc319537956"/>
            <w:r>
              <w:t>3.1</w:t>
            </w:r>
            <w:r>
              <w:tab/>
              <w:t>Dispositions Générales</w:t>
            </w:r>
            <w:bookmarkEnd w:id="222"/>
            <w:bookmarkEnd w:id="223"/>
            <w:bookmarkEnd w:id="224"/>
            <w:bookmarkEnd w:id="225"/>
          </w:p>
        </w:tc>
        <w:tc>
          <w:tcPr>
            <w:tcW w:w="7326" w:type="dxa"/>
          </w:tcPr>
          <w:p w:rsidR="00E3381D" w:rsidRDefault="00E3381D" w:rsidP="007C5949">
            <w:pPr>
              <w:spacing w:after="200"/>
              <w:ind w:right="-72"/>
              <w:jc w:val="both"/>
            </w:pPr>
          </w:p>
        </w:tc>
      </w:tr>
      <w:tr w:rsidR="00E3381D" w:rsidTr="007C5949">
        <w:tc>
          <w:tcPr>
            <w:tcW w:w="2322" w:type="dxa"/>
          </w:tcPr>
          <w:p w:rsidR="00E3381D" w:rsidRDefault="00E3381D" w:rsidP="007C5949">
            <w:pPr>
              <w:pStyle w:val="A2-heading4"/>
            </w:pPr>
            <w:bookmarkStart w:id="226" w:name="_Toc72514780"/>
            <w:bookmarkStart w:id="227" w:name="_Toc72515177"/>
            <w:bookmarkStart w:id="228" w:name="_Toc319537957"/>
            <w:r>
              <w:t>3.1.1</w:t>
            </w:r>
            <w:r>
              <w:tab/>
              <w:t>Normes de perfor</w:t>
            </w:r>
            <w:r>
              <w:softHyphen/>
              <w:t>mance</w:t>
            </w:r>
            <w:bookmarkEnd w:id="226"/>
            <w:bookmarkEnd w:id="227"/>
            <w:bookmarkEnd w:id="228"/>
          </w:p>
        </w:tc>
        <w:tc>
          <w:tcPr>
            <w:tcW w:w="7326" w:type="dxa"/>
          </w:tcPr>
          <w:p w:rsidR="00E3381D" w:rsidRDefault="00E3381D" w:rsidP="007C5949">
            <w:pPr>
              <w:spacing w:after="200"/>
              <w:ind w:right="-72"/>
              <w:jc w:val="both"/>
            </w:pPr>
            <w:r>
              <w:t>Le Consultant exécutera les Prestations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 présent Marché ou des Prestations, le Consultant se comportera toujours en conseiller loyal de l’Autorité contractante, et il défendra en toute circonstance les intérêts de l’Autorité contractante dans ses rapports avec les Tiers.</w:t>
            </w:r>
          </w:p>
        </w:tc>
      </w:tr>
      <w:tr w:rsidR="00E3381D" w:rsidTr="007C5949">
        <w:tc>
          <w:tcPr>
            <w:tcW w:w="2322" w:type="dxa"/>
          </w:tcPr>
          <w:p w:rsidR="00E3381D" w:rsidRDefault="00E3381D" w:rsidP="007C5949">
            <w:pPr>
              <w:pStyle w:val="A2-heading3"/>
            </w:pPr>
            <w:bookmarkStart w:id="229" w:name="_Toc356621452"/>
            <w:bookmarkStart w:id="230" w:name="_Toc72514781"/>
            <w:bookmarkStart w:id="231" w:name="_Toc72515178"/>
            <w:bookmarkStart w:id="232" w:name="_Toc319537958"/>
            <w:r>
              <w:t>3.2</w:t>
            </w:r>
            <w:r>
              <w:tab/>
              <w:t>Conflit d’Intérêts</w:t>
            </w:r>
            <w:bookmarkEnd w:id="229"/>
            <w:bookmarkEnd w:id="230"/>
            <w:bookmarkEnd w:id="231"/>
            <w:bookmarkEnd w:id="232"/>
          </w:p>
        </w:tc>
        <w:tc>
          <w:tcPr>
            <w:tcW w:w="7326" w:type="dxa"/>
          </w:tcPr>
          <w:p w:rsidR="00E3381D" w:rsidRDefault="00E3381D" w:rsidP="007C5949">
            <w:pPr>
              <w:spacing w:after="200"/>
              <w:ind w:right="-72"/>
              <w:jc w:val="both"/>
            </w:pPr>
            <w:r>
              <w:t>Le Consultant défendra avant tout les intérêts de l’Autorité contractante, sans faire entrer en ligne de compte l’éventualité d’une mission ultérieure et évitera scrupuleusement tout conflit avec d’autres activités ou avec les intérêts de sa propre société.</w:t>
            </w:r>
          </w:p>
        </w:tc>
      </w:tr>
      <w:tr w:rsidR="00E3381D" w:rsidTr="007C5949">
        <w:trPr>
          <w:cantSplit/>
        </w:trPr>
        <w:tc>
          <w:tcPr>
            <w:tcW w:w="2322" w:type="dxa"/>
          </w:tcPr>
          <w:p w:rsidR="00E3381D" w:rsidRDefault="00E3381D" w:rsidP="007C5949">
            <w:pPr>
              <w:pStyle w:val="A2-heading4"/>
            </w:pPr>
            <w:bookmarkStart w:id="233" w:name="_Toc356621453"/>
            <w:bookmarkStart w:id="234" w:name="_Toc72514782"/>
            <w:bookmarkStart w:id="235" w:name="_Toc72515179"/>
            <w:bookmarkStart w:id="236" w:name="_Toc319537959"/>
            <w:r>
              <w:lastRenderedPageBreak/>
              <w:t>3.2.1 Commis</w:t>
            </w:r>
            <w:r>
              <w:softHyphen/>
              <w:t>sions, Rabais, etc.</w:t>
            </w:r>
            <w:bookmarkEnd w:id="233"/>
            <w:bookmarkEnd w:id="234"/>
            <w:bookmarkEnd w:id="235"/>
            <w:bookmarkEnd w:id="236"/>
          </w:p>
        </w:tc>
        <w:tc>
          <w:tcPr>
            <w:tcW w:w="7326" w:type="dxa"/>
          </w:tcPr>
          <w:p w:rsidR="00E3381D" w:rsidRDefault="00E3381D" w:rsidP="007C5949">
            <w:pPr>
              <w:spacing w:after="200"/>
              <w:ind w:right="-72"/>
              <w:jc w:val="both"/>
            </w:pPr>
            <w:r>
              <w:t>La rémunération de Consultant qui sera versée conformément aux dispositions de la Clause CG 6 constituera la seule rémunération versée au titre du présent Marché et le Consultant n’acceptera pour lui-même aucune commission à caractère commercial, rabais ou autre paiement de ce type lié aux activités conduites dans le cadre du présent Marché ou des Prestations dans l’exécution de ses obligations contractuelles, et ils s’efforcera à ce que son Personnel et ses agents, ainsi que les Sous-traitants, leur Personnel et leurs agents, ne perçoivent pas de rémunération supplémentaire de cette nature.</w:t>
            </w:r>
          </w:p>
        </w:tc>
      </w:tr>
      <w:tr w:rsidR="00E3381D" w:rsidTr="007C5949">
        <w:tc>
          <w:tcPr>
            <w:tcW w:w="2322" w:type="dxa"/>
          </w:tcPr>
          <w:p w:rsidR="00E3381D" w:rsidRDefault="00E3381D" w:rsidP="007C5949">
            <w:pPr>
              <w:pStyle w:val="A2-heading4"/>
            </w:pPr>
            <w:bookmarkStart w:id="237" w:name="_Toc356621454"/>
            <w:bookmarkStart w:id="238" w:name="_Toc72514783"/>
            <w:bookmarkStart w:id="239" w:name="_Toc72515180"/>
            <w:bookmarkStart w:id="240" w:name="_Toc319537960"/>
            <w:r>
              <w:t>3.2.2</w:t>
            </w:r>
            <w:r>
              <w:tab/>
              <w:t>Non Participa</w:t>
            </w:r>
            <w:r>
              <w:softHyphen/>
              <w:t>tion du Consultant et de ses Associés à Certaines Activités</w:t>
            </w:r>
            <w:bookmarkEnd w:id="237"/>
            <w:bookmarkEnd w:id="238"/>
            <w:bookmarkEnd w:id="239"/>
            <w:bookmarkEnd w:id="240"/>
          </w:p>
        </w:tc>
        <w:tc>
          <w:tcPr>
            <w:tcW w:w="7326" w:type="dxa"/>
          </w:tcPr>
          <w:p w:rsidR="00E3381D" w:rsidRDefault="00E3381D" w:rsidP="007C5949">
            <w:pPr>
              <w:spacing w:after="200"/>
              <w:ind w:right="-72"/>
              <w:jc w:val="both"/>
            </w:pPr>
            <w:r>
              <w:t>Le Consultant, ainsi que ses associés, s’interdisent, pendant la durée du Marché et à son issue, à fournir des biens, travaux ou services (à l’exception de services de conseil) destinés à tout projet découlant des Prestations ou ayant un rapport étroit avec elles.</w:t>
            </w:r>
          </w:p>
          <w:p w:rsidR="00E3381D" w:rsidRDefault="00E3381D" w:rsidP="007C5949">
            <w:pPr>
              <w:spacing w:after="200"/>
              <w:ind w:right="-72"/>
              <w:jc w:val="both"/>
            </w:pPr>
          </w:p>
        </w:tc>
      </w:tr>
      <w:tr w:rsidR="00E3381D" w:rsidTr="007C5949">
        <w:tc>
          <w:tcPr>
            <w:tcW w:w="2322" w:type="dxa"/>
          </w:tcPr>
          <w:p w:rsidR="00E3381D" w:rsidRDefault="00E3381D" w:rsidP="007C5949">
            <w:pPr>
              <w:pStyle w:val="A2-heading4"/>
            </w:pPr>
            <w:bookmarkStart w:id="241" w:name="_Toc356621455"/>
            <w:bookmarkStart w:id="242" w:name="_Toc72514784"/>
            <w:bookmarkStart w:id="243" w:name="_Toc72515181"/>
            <w:bookmarkStart w:id="244" w:name="_Toc319537961"/>
            <w:r>
              <w:t>3.2.3</w:t>
            </w:r>
            <w:r>
              <w:tab/>
              <w:t>Interdiction d’Activités Incompati</w:t>
            </w:r>
            <w:r>
              <w:softHyphen/>
              <w:t>bles</w:t>
            </w:r>
            <w:bookmarkEnd w:id="241"/>
            <w:bookmarkEnd w:id="242"/>
            <w:bookmarkEnd w:id="243"/>
            <w:bookmarkEnd w:id="244"/>
          </w:p>
        </w:tc>
        <w:tc>
          <w:tcPr>
            <w:tcW w:w="7326" w:type="dxa"/>
          </w:tcPr>
          <w:p w:rsidR="00E3381D" w:rsidRDefault="00E3381D" w:rsidP="007C5949">
            <w:pPr>
              <w:pStyle w:val="Normali"/>
              <w:keepLines w:val="0"/>
              <w:tabs>
                <w:tab w:val="clear" w:pos="1843"/>
              </w:tabs>
              <w:spacing w:after="200"/>
              <w:rPr>
                <w:lang w:val="fr-FR" w:eastAsia="en-US"/>
              </w:rPr>
            </w:pPr>
            <w:r>
              <w:rPr>
                <w:lang w:val="fr-FR" w:eastAsia="en-US"/>
              </w:rPr>
              <w:t>Le Consultant et ses Sous-traitants, leur Personnel et agents ne devront pas s’engager, directement ou indirectement, dans des activités professionnelles ou commerciales qui pourraient être incompatibles avec les activités qui leur ont été confiées en vertu du présent Marché.</w:t>
            </w:r>
          </w:p>
        </w:tc>
      </w:tr>
      <w:tr w:rsidR="00E3381D" w:rsidTr="007C5949">
        <w:tc>
          <w:tcPr>
            <w:tcW w:w="2322" w:type="dxa"/>
          </w:tcPr>
          <w:p w:rsidR="00E3381D" w:rsidRDefault="00E3381D" w:rsidP="007C5949">
            <w:pPr>
              <w:pStyle w:val="A2-heading3"/>
            </w:pPr>
            <w:bookmarkStart w:id="245" w:name="_Toc356621456"/>
            <w:bookmarkStart w:id="246" w:name="_Toc72514785"/>
            <w:bookmarkStart w:id="247" w:name="_Toc72515182"/>
            <w:bookmarkStart w:id="248" w:name="_Toc319537962"/>
            <w:r>
              <w:t>3.3</w:t>
            </w:r>
            <w:r>
              <w:tab/>
              <w:t>Devoir de Réserve</w:t>
            </w:r>
            <w:bookmarkEnd w:id="245"/>
            <w:bookmarkEnd w:id="246"/>
            <w:bookmarkEnd w:id="247"/>
            <w:bookmarkEnd w:id="248"/>
          </w:p>
        </w:tc>
        <w:tc>
          <w:tcPr>
            <w:tcW w:w="7326" w:type="dxa"/>
          </w:tcPr>
          <w:p w:rsidR="00E3381D" w:rsidRDefault="00E3381D" w:rsidP="007C5949">
            <w:pPr>
              <w:spacing w:after="200"/>
              <w:ind w:right="-72"/>
              <w:jc w:val="both"/>
            </w:pPr>
            <w:r>
              <w:t>Le Consultant et ses Sous-traitants, et leur Personnel, s’engagent à ne pas divulguer d’information confidentielle relative aux Prestations ni les recommandations formulées lors de l’exécution des Prestations ou qui en découleraient sans autorisation préalable écrite de l’Autorité contractante.</w:t>
            </w:r>
          </w:p>
        </w:tc>
      </w:tr>
      <w:tr w:rsidR="00E3381D" w:rsidTr="007C5949">
        <w:tc>
          <w:tcPr>
            <w:tcW w:w="2322" w:type="dxa"/>
          </w:tcPr>
          <w:p w:rsidR="00E3381D" w:rsidRDefault="00E3381D" w:rsidP="007C5949">
            <w:pPr>
              <w:pStyle w:val="A2-heading3"/>
            </w:pPr>
            <w:bookmarkStart w:id="249" w:name="_Toc356621457"/>
            <w:bookmarkStart w:id="250" w:name="_Toc72514786"/>
            <w:bookmarkStart w:id="251" w:name="_Toc72515183"/>
            <w:bookmarkStart w:id="252" w:name="_Toc319537963"/>
            <w:r>
              <w:t>3.4</w:t>
            </w:r>
            <w:r>
              <w:tab/>
              <w:t>Assurance à la Charge du Consultant</w:t>
            </w:r>
            <w:bookmarkEnd w:id="249"/>
            <w:bookmarkEnd w:id="250"/>
            <w:bookmarkEnd w:id="251"/>
            <w:bookmarkEnd w:id="252"/>
          </w:p>
        </w:tc>
        <w:tc>
          <w:tcPr>
            <w:tcW w:w="7326" w:type="dxa"/>
          </w:tcPr>
          <w:p w:rsidR="00E3381D" w:rsidRDefault="00E3381D" w:rsidP="007C5949">
            <w:pPr>
              <w:spacing w:after="200"/>
              <w:ind w:right="-72"/>
              <w:jc w:val="both"/>
            </w:pPr>
            <w:r>
              <w:t>Le Consultant (a) prendra et maintiendra conformément aux termes et conditions approuvés par l’Autorité contractante, une assurance couvrant les risques et pour les montants indiqués dans les CP; et (b) à la demande de l’Autorité contractante, lui fournira la preuve que cette assurance a bien été prise et maintenue et que les primes ont bien été réglées.</w:t>
            </w:r>
          </w:p>
        </w:tc>
      </w:tr>
      <w:tr w:rsidR="00E3381D" w:rsidTr="007C5949">
        <w:tc>
          <w:tcPr>
            <w:tcW w:w="2322" w:type="dxa"/>
          </w:tcPr>
          <w:p w:rsidR="00E3381D" w:rsidRDefault="00E3381D" w:rsidP="007C5949">
            <w:pPr>
              <w:pStyle w:val="A2-heading3"/>
              <w:pageBreakBefore/>
            </w:pPr>
            <w:bookmarkStart w:id="253" w:name="_Toc356621458"/>
            <w:bookmarkStart w:id="254" w:name="_Toc72514787"/>
            <w:bookmarkStart w:id="255" w:name="_Toc72515184"/>
            <w:bookmarkStart w:id="256" w:name="_Toc319537964"/>
            <w:r>
              <w:lastRenderedPageBreak/>
              <w:t>3.5</w:t>
            </w:r>
            <w:r>
              <w:tab/>
              <w:t>Actions du Consultant Nécessitant l’Approbation Préalable de l’Autorité contractante</w:t>
            </w:r>
            <w:bookmarkEnd w:id="253"/>
            <w:bookmarkEnd w:id="254"/>
            <w:bookmarkEnd w:id="255"/>
            <w:bookmarkEnd w:id="256"/>
          </w:p>
        </w:tc>
        <w:tc>
          <w:tcPr>
            <w:tcW w:w="7326" w:type="dxa"/>
          </w:tcPr>
          <w:p w:rsidR="00E3381D" w:rsidRPr="00D74080" w:rsidRDefault="00E3381D" w:rsidP="007C5949">
            <w:pPr>
              <w:spacing w:after="200"/>
              <w:ind w:right="-72"/>
              <w:jc w:val="both"/>
            </w:pPr>
            <w:r w:rsidRPr="00D74080">
              <w:t>Le Consultant obtiendra par écrit l’approbation préalable de l’Autorité contractante avant de:</w:t>
            </w:r>
          </w:p>
          <w:p w:rsidR="00E3381D" w:rsidRPr="00D74080" w:rsidRDefault="00E3381D" w:rsidP="007C5949">
            <w:pPr>
              <w:tabs>
                <w:tab w:val="left" w:pos="540"/>
              </w:tabs>
              <w:spacing w:after="200"/>
              <w:ind w:left="540" w:right="-72" w:hanging="540"/>
              <w:jc w:val="both"/>
            </w:pPr>
            <w:r w:rsidRPr="00D74080">
              <w:t>(a)</w:t>
            </w:r>
            <w:r w:rsidRPr="00D74080">
              <w:tab/>
              <w:t>sous-traiter l’exécution d’une partie des Prestations</w:t>
            </w:r>
          </w:p>
          <w:p w:rsidR="00E3381D" w:rsidRPr="00A40C89" w:rsidRDefault="00E3381D" w:rsidP="007C5949">
            <w:pPr>
              <w:tabs>
                <w:tab w:val="left" w:pos="540"/>
              </w:tabs>
              <w:spacing w:after="200"/>
              <w:ind w:left="540" w:right="-72" w:hanging="540"/>
              <w:jc w:val="both"/>
            </w:pPr>
            <w:r w:rsidRPr="00D74080">
              <w:t>(b)    nommer les membres du</w:t>
            </w:r>
            <w:r w:rsidRPr="00A40C89">
              <w:t xml:space="preserve"> Personnel non identifiés à l’Annexe C ;</w:t>
            </w:r>
          </w:p>
          <w:p w:rsidR="00E3381D" w:rsidRPr="00A40C89" w:rsidRDefault="00E3381D" w:rsidP="007C5949">
            <w:pPr>
              <w:tabs>
                <w:tab w:val="left" w:pos="540"/>
              </w:tabs>
              <w:spacing w:after="200"/>
              <w:ind w:left="540" w:right="-72" w:hanging="540"/>
              <w:jc w:val="both"/>
            </w:pPr>
            <w:r w:rsidRPr="00A40C89">
              <w:t>(c)</w:t>
            </w:r>
            <w:r w:rsidRPr="00A40C89">
              <w:tab/>
              <w:t>prendre toute autre mesure spécifiée dans les CP.</w:t>
            </w:r>
          </w:p>
        </w:tc>
      </w:tr>
      <w:tr w:rsidR="00E3381D" w:rsidTr="007C5949">
        <w:tc>
          <w:tcPr>
            <w:tcW w:w="2322" w:type="dxa"/>
          </w:tcPr>
          <w:p w:rsidR="00E3381D" w:rsidRDefault="00E3381D" w:rsidP="007C5949">
            <w:pPr>
              <w:pStyle w:val="A2-heading3"/>
            </w:pPr>
            <w:bookmarkStart w:id="257" w:name="_Toc356621459"/>
            <w:bookmarkStart w:id="258" w:name="_Toc72514788"/>
            <w:bookmarkStart w:id="259" w:name="_Toc72515185"/>
            <w:bookmarkStart w:id="260" w:name="_Toc319537965"/>
            <w:r>
              <w:t>3.6</w:t>
            </w:r>
            <w:r>
              <w:tab/>
              <w:t>Obligations en Matière de Rapports</w:t>
            </w:r>
            <w:bookmarkEnd w:id="257"/>
            <w:bookmarkEnd w:id="258"/>
            <w:bookmarkEnd w:id="259"/>
            <w:bookmarkEnd w:id="260"/>
          </w:p>
        </w:tc>
        <w:tc>
          <w:tcPr>
            <w:tcW w:w="7326" w:type="dxa"/>
          </w:tcPr>
          <w:p w:rsidR="00E3381D" w:rsidRDefault="00E3381D" w:rsidP="007C5949">
            <w:pPr>
              <w:spacing w:after="200"/>
              <w:ind w:right="-72"/>
              <w:jc w:val="both"/>
            </w:pPr>
            <w:r>
              <w:t>Le Consultant soumettra à l’Autorité contractante les rapports et documents indiqués dans l’Annexe B ci-après, dans la forme, les délais et selon les quantités indiquées dans cette Annexe. Les rapports finaux seront fournis sur support magnétique, en plus des copies sur support papier prévues dans ladite Annexe.</w:t>
            </w:r>
          </w:p>
        </w:tc>
      </w:tr>
      <w:tr w:rsidR="00E3381D" w:rsidTr="007C5949">
        <w:tc>
          <w:tcPr>
            <w:tcW w:w="2322" w:type="dxa"/>
          </w:tcPr>
          <w:p w:rsidR="00E3381D" w:rsidRDefault="00E3381D" w:rsidP="007C5949">
            <w:pPr>
              <w:pStyle w:val="A2-heading3"/>
            </w:pPr>
            <w:bookmarkStart w:id="261" w:name="_Toc356621460"/>
            <w:bookmarkStart w:id="262" w:name="_Toc72514789"/>
            <w:bookmarkStart w:id="263" w:name="_Toc72515186"/>
            <w:bookmarkStart w:id="264" w:name="_Toc319537966"/>
            <w:r>
              <w:t>3.7</w:t>
            </w:r>
            <w:r>
              <w:tab/>
              <w:t>Propriété des Documents Préparés par le Consultant</w:t>
            </w:r>
            <w:bookmarkEnd w:id="261"/>
            <w:bookmarkEnd w:id="262"/>
            <w:bookmarkEnd w:id="263"/>
            <w:bookmarkEnd w:id="264"/>
          </w:p>
        </w:tc>
        <w:tc>
          <w:tcPr>
            <w:tcW w:w="7326" w:type="dxa"/>
          </w:tcPr>
          <w:p w:rsidR="00E3381D" w:rsidRDefault="00E3381D" w:rsidP="007C5949">
            <w:pPr>
              <w:spacing w:after="200"/>
              <w:ind w:right="-72"/>
              <w:jc w:val="both"/>
            </w:pPr>
            <w:r>
              <w:t>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CP.</w:t>
            </w:r>
          </w:p>
        </w:tc>
      </w:tr>
    </w:tbl>
    <w:p w:rsidR="00E3381D" w:rsidRDefault="00E3381D" w:rsidP="00E3381D">
      <w:pPr>
        <w:pStyle w:val="A2-heading2"/>
        <w:keepNext w:val="0"/>
      </w:pPr>
      <w:bookmarkStart w:id="265" w:name="_Toc356621461"/>
      <w:bookmarkStart w:id="266" w:name="_Toc72514791"/>
      <w:bookmarkStart w:id="267" w:name="_Toc72515188"/>
      <w:bookmarkStart w:id="268" w:name="_Toc319537967"/>
      <w:r>
        <w:t>4. Personnel du Consultant</w:t>
      </w:r>
      <w:bookmarkEnd w:id="265"/>
      <w:bookmarkEnd w:id="266"/>
      <w:bookmarkEnd w:id="267"/>
      <w:bookmarkEnd w:id="268"/>
    </w:p>
    <w:tbl>
      <w:tblPr>
        <w:tblW w:w="9648" w:type="dxa"/>
        <w:tblLayout w:type="fixed"/>
        <w:tblLook w:val="0000" w:firstRow="0" w:lastRow="0" w:firstColumn="0" w:lastColumn="0" w:noHBand="0" w:noVBand="0"/>
      </w:tblPr>
      <w:tblGrid>
        <w:gridCol w:w="2322"/>
        <w:gridCol w:w="7326"/>
      </w:tblGrid>
      <w:tr w:rsidR="00E3381D" w:rsidTr="007C5949">
        <w:tc>
          <w:tcPr>
            <w:tcW w:w="2322" w:type="dxa"/>
          </w:tcPr>
          <w:p w:rsidR="00E3381D" w:rsidRDefault="00E3381D" w:rsidP="007C5949">
            <w:pPr>
              <w:pStyle w:val="A2-heading3"/>
            </w:pPr>
            <w:bookmarkStart w:id="269" w:name="_Toc356621462"/>
            <w:bookmarkStart w:id="270" w:name="_Toc72514792"/>
            <w:bookmarkStart w:id="271" w:name="_Toc72515189"/>
            <w:bookmarkStart w:id="272" w:name="_Toc319537968"/>
            <w:r>
              <w:t>4.1</w:t>
            </w:r>
            <w:r>
              <w:tab/>
              <w:t>Description du Personnel</w:t>
            </w:r>
            <w:bookmarkEnd w:id="269"/>
            <w:bookmarkEnd w:id="270"/>
            <w:bookmarkEnd w:id="271"/>
            <w:bookmarkEnd w:id="272"/>
          </w:p>
        </w:tc>
        <w:tc>
          <w:tcPr>
            <w:tcW w:w="7326" w:type="dxa"/>
          </w:tcPr>
          <w:p w:rsidR="00E3381D" w:rsidRDefault="00E3381D" w:rsidP="007C5949">
            <w:pPr>
              <w:spacing w:after="200"/>
              <w:ind w:right="-72"/>
              <w:jc w:val="both"/>
            </w:pPr>
            <w:r>
              <w:t>Le Consultant emploiera et offrira le Personnel ayant l’expérience et les qualifications nécessaires à l’exécution des Prestations. Les titres, les positions, les qualifications minimales et la durée estimative consacrée à l’exécution des Prestations par les membres clés du Personnel du Consultant sont décrits dans l’Annexe C. Le Personnel dont le nom et le titre figurent à l’Annexe C est approuvés par l’Autorité contractante.</w:t>
            </w:r>
          </w:p>
        </w:tc>
      </w:tr>
      <w:tr w:rsidR="00E3381D" w:rsidTr="007C5949">
        <w:trPr>
          <w:cantSplit/>
        </w:trPr>
        <w:tc>
          <w:tcPr>
            <w:tcW w:w="2322" w:type="dxa"/>
          </w:tcPr>
          <w:p w:rsidR="00E3381D" w:rsidRDefault="00E3381D" w:rsidP="007C5949">
            <w:pPr>
              <w:pStyle w:val="A2-heading3"/>
            </w:pPr>
            <w:bookmarkStart w:id="273" w:name="_Toc356621463"/>
            <w:bookmarkStart w:id="274" w:name="_Toc72514793"/>
            <w:bookmarkStart w:id="275" w:name="_Toc72515190"/>
            <w:bookmarkStart w:id="276" w:name="_Toc319537969"/>
            <w:r>
              <w:lastRenderedPageBreak/>
              <w:t>4.2</w:t>
            </w:r>
            <w:r>
              <w:tab/>
              <w:t>Retrait et/ou Remplacement du Personnel</w:t>
            </w:r>
            <w:bookmarkEnd w:id="273"/>
            <w:bookmarkEnd w:id="274"/>
            <w:bookmarkEnd w:id="275"/>
            <w:r>
              <w:t xml:space="preserve"> Clé</w:t>
            </w:r>
            <w:bookmarkEnd w:id="276"/>
          </w:p>
        </w:tc>
        <w:tc>
          <w:tcPr>
            <w:tcW w:w="7326" w:type="dxa"/>
          </w:tcPr>
          <w:p w:rsidR="00E3381D" w:rsidRDefault="00E3381D" w:rsidP="007C5949">
            <w:pPr>
              <w:tabs>
                <w:tab w:val="left" w:pos="540"/>
              </w:tabs>
              <w:spacing w:after="200"/>
              <w:ind w:left="540" w:right="-72" w:hanging="540"/>
              <w:jc w:val="both"/>
            </w:pPr>
            <w:r>
              <w:t>(a)</w:t>
            </w:r>
            <w:r>
              <w:tab/>
              <w:t>Sauf dans le cas où l’Autorité contractante en aura décidé autrement, aucun changement ne sera apporté au Personnel. Si, pour des raisons indépendantes de la volonté du Consultant, il s’avère nécessaire de remplacer un des membres du Personnel, le Consultant fournira une personne de qualification égale ou supérieure.</w:t>
            </w:r>
          </w:p>
          <w:p w:rsidR="00E3381D" w:rsidRDefault="00E3381D" w:rsidP="007C5949">
            <w:pPr>
              <w:tabs>
                <w:tab w:val="left" w:pos="540"/>
              </w:tabs>
              <w:spacing w:after="200"/>
              <w:ind w:left="540" w:right="-72" w:hanging="540"/>
              <w:jc w:val="both"/>
            </w:pPr>
            <w:r>
              <w:t>(b)</w:t>
            </w:r>
            <w:r>
              <w:tab/>
              <w:t>Si l’Autorité contractante (i) découvre qu’un des membres du Personnel s’est rendu coupable d’un manquement sérieux ou est poursuivi pour crime ou délit, ou (ii) a des raisons suffisantes de n’être pas satisfait de la performance d’un membre du Personnel, le Consultant devra, sur demande motivée de l’Autorité contractante, fournir immédiatement un remplaçant dont les qualifications et l’expérience seront acceptables par l’Autorité contractante.</w:t>
            </w:r>
          </w:p>
          <w:p w:rsidR="00E3381D" w:rsidRDefault="00E3381D" w:rsidP="007C5949">
            <w:pPr>
              <w:tabs>
                <w:tab w:val="left" w:pos="540"/>
              </w:tabs>
              <w:spacing w:after="200"/>
              <w:ind w:left="540" w:right="-72" w:hanging="540"/>
              <w:jc w:val="both"/>
            </w:pPr>
            <w:r>
              <w:t>(c)</w:t>
            </w:r>
            <w:r>
              <w:tab/>
              <w:t>Le Consultant ne pourra soumettre des demandes de paiement au titre des coûts supplémentaires résultant du retrait et/ou remplacement du Personnel.</w:t>
            </w:r>
          </w:p>
        </w:tc>
      </w:tr>
    </w:tbl>
    <w:p w:rsidR="00E3381D" w:rsidRDefault="00E3381D" w:rsidP="00E3381D">
      <w:pPr>
        <w:pStyle w:val="A2-heading2"/>
      </w:pPr>
      <w:bookmarkStart w:id="277" w:name="_Toc356621464"/>
      <w:bookmarkStart w:id="278" w:name="_Toc72514794"/>
      <w:bookmarkStart w:id="279" w:name="_Toc72515191"/>
      <w:bookmarkStart w:id="280" w:name="_Toc319537970"/>
      <w:r>
        <w:t>5. Obligations de l’Autorité contractante</w:t>
      </w:r>
      <w:bookmarkEnd w:id="277"/>
      <w:bookmarkEnd w:id="278"/>
      <w:bookmarkEnd w:id="279"/>
      <w:bookmarkEnd w:id="280"/>
    </w:p>
    <w:tbl>
      <w:tblPr>
        <w:tblW w:w="9648" w:type="dxa"/>
        <w:tblLayout w:type="fixed"/>
        <w:tblLook w:val="0000" w:firstRow="0" w:lastRow="0" w:firstColumn="0" w:lastColumn="0" w:noHBand="0" w:noVBand="0"/>
      </w:tblPr>
      <w:tblGrid>
        <w:gridCol w:w="2322"/>
        <w:gridCol w:w="7326"/>
      </w:tblGrid>
      <w:tr w:rsidR="00E3381D" w:rsidTr="007C5949">
        <w:tc>
          <w:tcPr>
            <w:tcW w:w="2322" w:type="dxa"/>
          </w:tcPr>
          <w:p w:rsidR="00E3381D" w:rsidRDefault="00E3381D" w:rsidP="007C5949">
            <w:pPr>
              <w:pStyle w:val="A2-heading3"/>
            </w:pPr>
            <w:bookmarkStart w:id="281" w:name="_Toc356621465"/>
            <w:bookmarkStart w:id="282" w:name="_Toc72514795"/>
            <w:bookmarkStart w:id="283" w:name="_Toc72515192"/>
            <w:bookmarkStart w:id="284" w:name="_Toc319537971"/>
            <w:r>
              <w:t>5.1</w:t>
            </w:r>
            <w:r>
              <w:tab/>
              <w:t>Assistance et exemptions</w:t>
            </w:r>
            <w:bookmarkEnd w:id="281"/>
            <w:bookmarkEnd w:id="282"/>
            <w:bookmarkEnd w:id="283"/>
            <w:bookmarkEnd w:id="284"/>
          </w:p>
        </w:tc>
        <w:tc>
          <w:tcPr>
            <w:tcW w:w="7326" w:type="dxa"/>
          </w:tcPr>
          <w:p w:rsidR="00E3381D" w:rsidRDefault="00E3381D" w:rsidP="007C5949">
            <w:pPr>
              <w:spacing w:after="200"/>
              <w:ind w:right="-72"/>
              <w:jc w:val="both"/>
            </w:pPr>
            <w:r>
              <w:t xml:space="preserve">L’Autorité contractante fera son possible pour que l’Administration fournisse au Consultant l’assistance et les exemptions indiquées dans les </w:t>
            </w:r>
            <w:r w:rsidRPr="0099226C">
              <w:rPr>
                <w:b/>
              </w:rPr>
              <w:t>CP</w:t>
            </w:r>
            <w:r>
              <w:t>.</w:t>
            </w:r>
          </w:p>
        </w:tc>
      </w:tr>
      <w:tr w:rsidR="00E3381D" w:rsidTr="007C5949">
        <w:tc>
          <w:tcPr>
            <w:tcW w:w="2322" w:type="dxa"/>
          </w:tcPr>
          <w:p w:rsidR="00E3381D" w:rsidRDefault="00E3381D" w:rsidP="007C5949">
            <w:pPr>
              <w:pStyle w:val="A2-heading3"/>
            </w:pPr>
            <w:bookmarkStart w:id="285" w:name="_Toc356621466"/>
            <w:bookmarkStart w:id="286" w:name="_Toc72514796"/>
            <w:bookmarkStart w:id="287" w:name="_Toc72515193"/>
            <w:bookmarkStart w:id="288" w:name="_Toc319537972"/>
            <w:r>
              <w:t xml:space="preserve">5.2  </w:t>
            </w:r>
            <w:r>
              <w:tab/>
              <w:t>Change</w:t>
            </w:r>
            <w:r>
              <w:softHyphen/>
              <w:t>ments réglementai</w:t>
            </w:r>
            <w:r>
              <w:softHyphen/>
              <w:t>res</w:t>
            </w:r>
            <w:bookmarkEnd w:id="285"/>
            <w:bookmarkEnd w:id="286"/>
            <w:bookmarkEnd w:id="287"/>
            <w:bookmarkEnd w:id="288"/>
          </w:p>
        </w:tc>
        <w:tc>
          <w:tcPr>
            <w:tcW w:w="7326" w:type="dxa"/>
          </w:tcPr>
          <w:p w:rsidR="00E3381D" w:rsidRDefault="00E3381D" w:rsidP="007C5949">
            <w:pPr>
              <w:spacing w:after="200"/>
              <w:ind w:right="-72"/>
              <w:jc w:val="both"/>
            </w:pPr>
            <w:r>
              <w:t>Si, après la date de signature du présent Marché, le Droit applicable aux impôts et taxes est modifié, et qu’il en résulte une augmentation ou une diminution du coût des Prestations du Consultant, la rémunération et les dépenses remboursables payables au Consultant augmenteront ou diminueront par accord entre les Parties, et le montant indiqué à la Clause CG 6.2 sera ajusté en conséquence.</w:t>
            </w:r>
          </w:p>
        </w:tc>
      </w:tr>
      <w:tr w:rsidR="00E3381D" w:rsidTr="007C5949">
        <w:tc>
          <w:tcPr>
            <w:tcW w:w="2322" w:type="dxa"/>
          </w:tcPr>
          <w:p w:rsidR="00E3381D" w:rsidRDefault="00E3381D" w:rsidP="007C5949">
            <w:pPr>
              <w:pStyle w:val="A2-heading3"/>
            </w:pPr>
            <w:bookmarkStart w:id="289" w:name="_Toc356621467"/>
            <w:bookmarkStart w:id="290" w:name="_Toc72514797"/>
            <w:bookmarkStart w:id="291" w:name="_Toc72515194"/>
            <w:bookmarkStart w:id="292" w:name="_Toc319537973"/>
            <w:r>
              <w:t>5.3</w:t>
            </w:r>
            <w:r>
              <w:tab/>
              <w:t>Services et installations</w:t>
            </w:r>
            <w:bookmarkEnd w:id="289"/>
            <w:bookmarkEnd w:id="290"/>
            <w:bookmarkEnd w:id="291"/>
            <w:bookmarkEnd w:id="292"/>
          </w:p>
        </w:tc>
        <w:tc>
          <w:tcPr>
            <w:tcW w:w="7326" w:type="dxa"/>
          </w:tcPr>
          <w:p w:rsidR="00E3381D" w:rsidRDefault="00E3381D" w:rsidP="007C5949">
            <w:pPr>
              <w:spacing w:after="200"/>
              <w:ind w:right="-72"/>
              <w:jc w:val="both"/>
            </w:pPr>
            <w:r>
              <w:t>L’Autorité contractante mettra gratuitement à la disposition du Consultant les services et installations indiqués à l’Annexe E.</w:t>
            </w:r>
          </w:p>
        </w:tc>
      </w:tr>
    </w:tbl>
    <w:p w:rsidR="00E3381D" w:rsidRDefault="00E3381D" w:rsidP="00E3381D">
      <w:pPr>
        <w:pStyle w:val="A2-heading2"/>
      </w:pPr>
      <w:bookmarkStart w:id="293" w:name="_Toc356621468"/>
      <w:bookmarkStart w:id="294" w:name="_Toc72514798"/>
      <w:bookmarkStart w:id="295" w:name="_Toc72515195"/>
      <w:bookmarkStart w:id="296" w:name="_Toc319537974"/>
      <w:r>
        <w:t>6. Paiements Verses au Consultant</w:t>
      </w:r>
      <w:bookmarkEnd w:id="293"/>
      <w:bookmarkEnd w:id="294"/>
      <w:bookmarkEnd w:id="295"/>
      <w:bookmarkEnd w:id="296"/>
    </w:p>
    <w:tbl>
      <w:tblPr>
        <w:tblW w:w="9648" w:type="dxa"/>
        <w:tblLayout w:type="fixed"/>
        <w:tblLook w:val="0000" w:firstRow="0" w:lastRow="0" w:firstColumn="0" w:lastColumn="0" w:noHBand="0" w:noVBand="0"/>
      </w:tblPr>
      <w:tblGrid>
        <w:gridCol w:w="2322"/>
        <w:gridCol w:w="7326"/>
      </w:tblGrid>
      <w:tr w:rsidR="00E3381D" w:rsidTr="007C5949">
        <w:tc>
          <w:tcPr>
            <w:tcW w:w="2322" w:type="dxa"/>
          </w:tcPr>
          <w:p w:rsidR="00E3381D" w:rsidRDefault="00E3381D" w:rsidP="007C5949">
            <w:pPr>
              <w:pStyle w:val="A2-heading3"/>
            </w:pPr>
            <w:bookmarkStart w:id="297" w:name="_Toc356621469"/>
            <w:bookmarkStart w:id="298" w:name="_Toc72514799"/>
            <w:bookmarkStart w:id="299" w:name="_Toc72515196"/>
            <w:bookmarkStart w:id="300" w:name="_Toc319537975"/>
            <w:r>
              <w:t>6.1  Rémunération Forfaitaire</w:t>
            </w:r>
            <w:bookmarkEnd w:id="297"/>
            <w:bookmarkEnd w:id="298"/>
            <w:bookmarkEnd w:id="299"/>
            <w:bookmarkEnd w:id="300"/>
          </w:p>
        </w:tc>
        <w:tc>
          <w:tcPr>
            <w:tcW w:w="7326" w:type="dxa"/>
          </w:tcPr>
          <w:p w:rsidR="00E3381D" w:rsidRDefault="00E3381D" w:rsidP="007C5949">
            <w:pPr>
              <w:spacing w:after="200"/>
              <w:ind w:right="-72"/>
              <w:jc w:val="both"/>
            </w:pPr>
            <w:r>
              <w:t>La rémunération totale du Consultant n’excédera pas le Montant du Marché et sera un montant forfaitaire couvrant la totalité des coûts nécessaires à l’exécution des Prestations décrites à l’Annexe A. Sauf dispositions contraires de la Clause 5.2, le Montant du Marché ne pourra être porté à un niveau supérieur au montant indiqué à la Clause 6.2 que si les Parties sont convenues de paiements supplémentaires conformément à la Clause 2.4.</w:t>
            </w:r>
          </w:p>
        </w:tc>
      </w:tr>
    </w:tbl>
    <w:p w:rsidR="00E3381D" w:rsidRDefault="00E3381D" w:rsidP="00E3381D">
      <w:bookmarkStart w:id="301" w:name="_Toc356621470"/>
      <w:bookmarkStart w:id="302" w:name="_Toc72514800"/>
      <w:bookmarkStart w:id="303" w:name="_Toc72515197"/>
      <w:r>
        <w:rPr>
          <w:b/>
        </w:rPr>
        <w:br w:type="page"/>
      </w:r>
    </w:p>
    <w:tbl>
      <w:tblPr>
        <w:tblW w:w="9648" w:type="dxa"/>
        <w:tblLayout w:type="fixed"/>
        <w:tblLook w:val="0000" w:firstRow="0" w:lastRow="0" w:firstColumn="0" w:lastColumn="0" w:noHBand="0" w:noVBand="0"/>
      </w:tblPr>
      <w:tblGrid>
        <w:gridCol w:w="2322"/>
        <w:gridCol w:w="7326"/>
      </w:tblGrid>
      <w:tr w:rsidR="00E3381D" w:rsidTr="007C5949">
        <w:tc>
          <w:tcPr>
            <w:tcW w:w="2322" w:type="dxa"/>
          </w:tcPr>
          <w:p w:rsidR="00E3381D" w:rsidRDefault="00E3381D" w:rsidP="007C5949">
            <w:pPr>
              <w:pStyle w:val="A2-heading3"/>
            </w:pPr>
            <w:bookmarkStart w:id="304" w:name="_Toc319537976"/>
            <w:r>
              <w:lastRenderedPageBreak/>
              <w:t>6.2</w:t>
            </w:r>
            <w:r>
              <w:tab/>
              <w:t>Montant du Marché</w:t>
            </w:r>
            <w:bookmarkEnd w:id="301"/>
            <w:bookmarkEnd w:id="302"/>
            <w:bookmarkEnd w:id="303"/>
            <w:bookmarkEnd w:id="304"/>
          </w:p>
        </w:tc>
        <w:tc>
          <w:tcPr>
            <w:tcW w:w="7326" w:type="dxa"/>
          </w:tcPr>
          <w:p w:rsidR="00E3381D" w:rsidRDefault="00E3381D" w:rsidP="007C5949">
            <w:pPr>
              <w:tabs>
                <w:tab w:val="left" w:pos="540"/>
              </w:tabs>
              <w:spacing w:after="200"/>
              <w:ind w:left="540" w:right="-72" w:hanging="540"/>
              <w:jc w:val="both"/>
            </w:pPr>
            <w:r>
              <w:t>Le montant à payer au Consultant est indiqué dans les CP.</w:t>
            </w:r>
          </w:p>
        </w:tc>
      </w:tr>
      <w:tr w:rsidR="00E3381D" w:rsidTr="007C5949">
        <w:tc>
          <w:tcPr>
            <w:tcW w:w="2322" w:type="dxa"/>
          </w:tcPr>
          <w:p w:rsidR="00E3381D" w:rsidRDefault="00E3381D" w:rsidP="007C5949">
            <w:pPr>
              <w:pStyle w:val="A2-heading3"/>
            </w:pPr>
            <w:bookmarkStart w:id="305" w:name="_Toc356621471"/>
            <w:bookmarkStart w:id="306" w:name="_Toc72514801"/>
            <w:bookmarkStart w:id="307" w:name="_Toc72515198"/>
            <w:bookmarkStart w:id="308" w:name="_Toc319537977"/>
            <w:r>
              <w:t>6.3</w:t>
            </w:r>
            <w:r>
              <w:tab/>
              <w:t>Paiement de Prestations Supplémentaires</w:t>
            </w:r>
            <w:bookmarkEnd w:id="305"/>
            <w:bookmarkEnd w:id="306"/>
            <w:bookmarkEnd w:id="307"/>
            <w:bookmarkEnd w:id="308"/>
          </w:p>
        </w:tc>
        <w:tc>
          <w:tcPr>
            <w:tcW w:w="7326" w:type="dxa"/>
          </w:tcPr>
          <w:p w:rsidR="00E3381D" w:rsidRDefault="00E3381D" w:rsidP="007C5949">
            <w:pPr>
              <w:spacing w:after="200"/>
              <w:ind w:right="-72"/>
              <w:jc w:val="both"/>
            </w:pPr>
            <w:r>
              <w:t>Aux fins de la détermination de la rémunération due au titre des Prestations supplémentaires dont il pourrait avoir été convenu conformément aux dispositions de la Clause 2.4, une ventilation du prix forfaitaire est donnée à l’Annexe D.</w:t>
            </w:r>
          </w:p>
        </w:tc>
      </w:tr>
      <w:tr w:rsidR="00E3381D" w:rsidTr="007C5949">
        <w:tc>
          <w:tcPr>
            <w:tcW w:w="2322" w:type="dxa"/>
          </w:tcPr>
          <w:p w:rsidR="00E3381D" w:rsidRDefault="00E3381D" w:rsidP="007C5949">
            <w:pPr>
              <w:pStyle w:val="A2-heading3"/>
            </w:pPr>
            <w:bookmarkStart w:id="309" w:name="_Toc356621472"/>
            <w:bookmarkStart w:id="310" w:name="_Toc72514802"/>
            <w:bookmarkStart w:id="311" w:name="_Toc72515199"/>
            <w:bookmarkStart w:id="312" w:name="_Toc319537978"/>
            <w:r>
              <w:t>6.4</w:t>
            </w:r>
            <w:r>
              <w:tab/>
              <w:t>Conditions des Paiements</w:t>
            </w:r>
            <w:bookmarkEnd w:id="309"/>
            <w:bookmarkEnd w:id="310"/>
            <w:bookmarkEnd w:id="311"/>
            <w:bookmarkEnd w:id="312"/>
          </w:p>
        </w:tc>
        <w:tc>
          <w:tcPr>
            <w:tcW w:w="7326" w:type="dxa"/>
          </w:tcPr>
          <w:p w:rsidR="00E3381D" w:rsidRDefault="00E3381D" w:rsidP="007C5949">
            <w:pPr>
              <w:spacing w:after="200"/>
              <w:ind w:right="-72"/>
              <w:jc w:val="both"/>
            </w:pPr>
            <w:r>
              <w:t xml:space="preserve">Les paiements seront versés au compte du Consultant sur la base du calendrier présenté dans les </w:t>
            </w:r>
            <w:r w:rsidRPr="0099226C">
              <w:rPr>
                <w:b/>
              </w:rPr>
              <w:t>CP</w:t>
            </w:r>
            <w:r>
              <w:t xml:space="preserve"> sur présentation d’une facture, par ses soins, indiquant le montant dû.</w:t>
            </w:r>
          </w:p>
        </w:tc>
      </w:tr>
      <w:tr w:rsidR="00E3381D" w:rsidTr="007C5949">
        <w:tc>
          <w:tcPr>
            <w:tcW w:w="2322" w:type="dxa"/>
          </w:tcPr>
          <w:p w:rsidR="00E3381D" w:rsidRDefault="00E3381D" w:rsidP="007C5949">
            <w:pPr>
              <w:pStyle w:val="A2-heading3"/>
            </w:pPr>
            <w:bookmarkStart w:id="313" w:name="_Toc356621473"/>
            <w:bookmarkStart w:id="314" w:name="_Toc72514803"/>
            <w:bookmarkStart w:id="315" w:name="_Toc72515200"/>
            <w:bookmarkStart w:id="316" w:name="_Toc319537979"/>
            <w:r>
              <w:t>6.5</w:t>
            </w:r>
            <w:r>
              <w:tab/>
              <w:t>Intérêts dus au Titre des retards de Paiement</w:t>
            </w:r>
            <w:bookmarkEnd w:id="313"/>
            <w:bookmarkEnd w:id="314"/>
            <w:bookmarkEnd w:id="315"/>
            <w:bookmarkEnd w:id="316"/>
          </w:p>
        </w:tc>
        <w:tc>
          <w:tcPr>
            <w:tcW w:w="7326" w:type="dxa"/>
          </w:tcPr>
          <w:p w:rsidR="00E3381D" w:rsidRDefault="00E3381D" w:rsidP="007C5949">
            <w:pPr>
              <w:spacing w:after="200"/>
              <w:ind w:right="-72"/>
              <w:jc w:val="both"/>
            </w:pPr>
            <w:r>
              <w:t xml:space="preserve">Si l’Autorité contractante n’a pas effectué le paiement prévu dans un délai de soixante (60) jours à partir de la date du paiement indiquée à la Clause 6.4, des intérêts seront versés au Consultant pour chaque jour de retard au taux indiqué dans les </w:t>
            </w:r>
            <w:r w:rsidRPr="0099226C">
              <w:rPr>
                <w:b/>
              </w:rPr>
              <w:t>CP</w:t>
            </w:r>
            <w:r>
              <w:t>.</w:t>
            </w:r>
          </w:p>
        </w:tc>
      </w:tr>
    </w:tbl>
    <w:p w:rsidR="00E3381D" w:rsidRDefault="00E3381D" w:rsidP="00E3381D">
      <w:pPr>
        <w:pStyle w:val="A2-heading2"/>
      </w:pPr>
      <w:bookmarkStart w:id="317" w:name="_Toc72514804"/>
      <w:bookmarkStart w:id="318" w:name="_Toc72515201"/>
      <w:bookmarkStart w:id="319" w:name="_Toc319537980"/>
      <w:r>
        <w:t>7. Bonne Foi</w:t>
      </w:r>
      <w:bookmarkEnd w:id="317"/>
      <w:bookmarkEnd w:id="318"/>
      <w:bookmarkEnd w:id="319"/>
    </w:p>
    <w:tbl>
      <w:tblPr>
        <w:tblW w:w="9648" w:type="dxa"/>
        <w:tblLayout w:type="fixed"/>
        <w:tblLook w:val="0000" w:firstRow="0" w:lastRow="0" w:firstColumn="0" w:lastColumn="0" w:noHBand="0" w:noVBand="0"/>
      </w:tblPr>
      <w:tblGrid>
        <w:gridCol w:w="2322"/>
        <w:gridCol w:w="7326"/>
      </w:tblGrid>
      <w:tr w:rsidR="00E3381D" w:rsidTr="007C5949">
        <w:trPr>
          <w:cantSplit/>
        </w:trPr>
        <w:tc>
          <w:tcPr>
            <w:tcW w:w="2322" w:type="dxa"/>
          </w:tcPr>
          <w:p w:rsidR="00E3381D" w:rsidRDefault="00E3381D" w:rsidP="007C5949">
            <w:pPr>
              <w:pStyle w:val="A2-heading3"/>
            </w:pPr>
            <w:bookmarkStart w:id="320" w:name="_Toc72514805"/>
            <w:bookmarkStart w:id="321" w:name="_Toc72515202"/>
            <w:bookmarkStart w:id="322" w:name="_Toc319537981"/>
            <w:r>
              <w:t>7.1   Bonne Foi</w:t>
            </w:r>
            <w:bookmarkEnd w:id="320"/>
            <w:bookmarkEnd w:id="321"/>
            <w:bookmarkEnd w:id="322"/>
            <w:r>
              <w:tab/>
            </w:r>
          </w:p>
        </w:tc>
        <w:tc>
          <w:tcPr>
            <w:tcW w:w="7326" w:type="dxa"/>
          </w:tcPr>
          <w:p w:rsidR="00E3381D" w:rsidRDefault="00E3381D" w:rsidP="007C5949">
            <w:pPr>
              <w:spacing w:after="200"/>
              <w:jc w:val="both"/>
            </w:pPr>
            <w:r>
              <w:t>Les Parties s’engagent à agir de bonne foi vis-à-vis de leurs droits contractuels réciproques et respectifs et à prendre toute mesure possible pour assurer la réalisation des objectifs du présent Marché.</w:t>
            </w:r>
          </w:p>
        </w:tc>
      </w:tr>
    </w:tbl>
    <w:p w:rsidR="00E3381D" w:rsidRDefault="00E3381D" w:rsidP="00E3381D">
      <w:pPr>
        <w:pStyle w:val="A2-heading2"/>
      </w:pPr>
      <w:bookmarkStart w:id="323" w:name="_Toc72514806"/>
      <w:bookmarkStart w:id="324" w:name="_Toc72515203"/>
      <w:bookmarkStart w:id="325" w:name="_Toc319537982"/>
      <w:r>
        <w:t>8. Règlement des Différends</w:t>
      </w:r>
      <w:bookmarkEnd w:id="323"/>
      <w:bookmarkEnd w:id="324"/>
      <w:bookmarkEnd w:id="325"/>
    </w:p>
    <w:tbl>
      <w:tblPr>
        <w:tblW w:w="9648" w:type="dxa"/>
        <w:tblLayout w:type="fixed"/>
        <w:tblLook w:val="0000" w:firstRow="0" w:lastRow="0" w:firstColumn="0" w:lastColumn="0" w:noHBand="0" w:noVBand="0"/>
      </w:tblPr>
      <w:tblGrid>
        <w:gridCol w:w="2322"/>
        <w:gridCol w:w="7326"/>
      </w:tblGrid>
      <w:tr w:rsidR="00E3381D" w:rsidTr="007C5949">
        <w:tc>
          <w:tcPr>
            <w:tcW w:w="2322" w:type="dxa"/>
          </w:tcPr>
          <w:p w:rsidR="00E3381D" w:rsidRDefault="00E3381D" w:rsidP="007C5949">
            <w:pPr>
              <w:pStyle w:val="A2-heading3"/>
            </w:pPr>
            <w:bookmarkStart w:id="326" w:name="_Toc356621475"/>
            <w:bookmarkStart w:id="327" w:name="_Toc72514807"/>
            <w:bookmarkStart w:id="328" w:name="_Toc72515204"/>
            <w:bookmarkStart w:id="329" w:name="_Toc319537983"/>
            <w:r>
              <w:t>8.1</w:t>
            </w:r>
            <w:r>
              <w:tab/>
              <w:t>Règlement amiable</w:t>
            </w:r>
            <w:bookmarkEnd w:id="326"/>
            <w:bookmarkEnd w:id="327"/>
            <w:bookmarkEnd w:id="328"/>
            <w:bookmarkEnd w:id="329"/>
          </w:p>
        </w:tc>
        <w:tc>
          <w:tcPr>
            <w:tcW w:w="7326" w:type="dxa"/>
          </w:tcPr>
          <w:p w:rsidR="00E3381D" w:rsidRDefault="00E3381D" w:rsidP="007C5949">
            <w:pPr>
              <w:spacing w:after="200"/>
              <w:jc w:val="both"/>
            </w:pPr>
            <w:r>
              <w:t>Les Parties conviennent qu’il est crucial d’éviter les différends ou de les régler le plus rapidement possible pour garantir le bon déroulement et le succès de la Mission. Les Parties feront de leur mieux pour régler à l’amiable les différends qui pourraient surgir de l’exécution du présent Marché ou de son interprétation.</w:t>
            </w:r>
          </w:p>
        </w:tc>
      </w:tr>
      <w:tr w:rsidR="00E3381D" w:rsidTr="007C5949">
        <w:tc>
          <w:tcPr>
            <w:tcW w:w="2322" w:type="dxa"/>
          </w:tcPr>
          <w:p w:rsidR="00E3381D" w:rsidRDefault="00E3381D" w:rsidP="007C5949">
            <w:pPr>
              <w:pStyle w:val="A2-heading4"/>
              <w:ind w:left="573" w:hanging="284"/>
            </w:pPr>
            <w:bookmarkStart w:id="330" w:name="_Toc319537984"/>
            <w:r>
              <w:t xml:space="preserve">8.2 </w:t>
            </w:r>
            <w:proofErr w:type="spellStart"/>
            <w:r w:rsidRPr="002E29A7">
              <w:t>Procédurecontentieuse</w:t>
            </w:r>
            <w:bookmarkEnd w:id="330"/>
            <w:proofErr w:type="spellEnd"/>
          </w:p>
          <w:p w:rsidR="00E3381D" w:rsidRDefault="00E3381D" w:rsidP="007C5949">
            <w:pPr>
              <w:pStyle w:val="A2-heading3"/>
            </w:pPr>
          </w:p>
        </w:tc>
        <w:tc>
          <w:tcPr>
            <w:tcW w:w="7326" w:type="dxa"/>
          </w:tcPr>
          <w:p w:rsidR="00E3381D" w:rsidRPr="00D74080" w:rsidRDefault="00E3381D" w:rsidP="007C5949">
            <w:pPr>
              <w:suppressAutoHyphens/>
              <w:overflowPunct w:val="0"/>
              <w:autoSpaceDE w:val="0"/>
              <w:autoSpaceDN w:val="0"/>
              <w:adjustRightInd w:val="0"/>
              <w:spacing w:after="200"/>
              <w:ind w:right="-72"/>
              <w:jc w:val="both"/>
              <w:textAlignment w:val="baseline"/>
            </w:pPr>
            <w:r w:rsidRPr="00D74080">
              <w:t>8.2.1   Si les parties n’ont pas réussi à résoudre leur différend à l’amiable, le litige sera soumis à la juridiction compétente à l’initiative de l’Autorité contractante ou du Titulaire ou par la voie arbitrale</w:t>
            </w:r>
            <w:r w:rsidRPr="00D74080">
              <w:rPr>
                <w:iCs/>
              </w:rPr>
              <w:t xml:space="preserve"> dans les conditions prévues par l'Acte Uniforme de l'OHADA relatif à l'arbitrage</w:t>
            </w:r>
            <w:r w:rsidRPr="00D74080">
              <w:t xml:space="preserve">.  </w:t>
            </w:r>
          </w:p>
          <w:p w:rsidR="00E3381D" w:rsidRPr="00D74080" w:rsidRDefault="00E3381D" w:rsidP="007C5949">
            <w:pPr>
              <w:suppressAutoHyphens/>
              <w:overflowPunct w:val="0"/>
              <w:autoSpaceDE w:val="0"/>
              <w:autoSpaceDN w:val="0"/>
              <w:adjustRightInd w:val="0"/>
              <w:spacing w:after="200"/>
              <w:ind w:right="-72"/>
              <w:jc w:val="both"/>
              <w:textAlignment w:val="baseline"/>
            </w:pPr>
            <w:r w:rsidRPr="00D74080">
              <w:t>8.2.2  Nonobstant toute référence au titre du recours contentieux, les parties continueront de réaliser leurs obligations contractuelles respectives, à moins qu’elles n’en décident autrement d’un commun accord, et l’Autorité contractante paiera  au Consultant toute somme qui lui sera due.</w:t>
            </w:r>
          </w:p>
        </w:tc>
      </w:tr>
    </w:tbl>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pStyle w:val="A2-heading1"/>
      </w:pPr>
      <w:bookmarkStart w:id="331" w:name="_Toc72514809"/>
      <w:bookmarkStart w:id="332" w:name="_Toc72515206"/>
      <w:bookmarkStart w:id="333" w:name="_Toc319537985"/>
      <w:r>
        <w:lastRenderedPageBreak/>
        <w:t>III. Conditions particulières du Marché</w:t>
      </w:r>
      <w:bookmarkEnd w:id="331"/>
      <w:bookmarkEnd w:id="332"/>
      <w:bookmarkEnd w:id="333"/>
    </w:p>
    <w:p w:rsidR="00E3381D" w:rsidRDefault="00E3381D" w:rsidP="00E3381D">
      <w:pPr>
        <w:pStyle w:val="A2-heading1"/>
      </w:pPr>
    </w:p>
    <w:tbl>
      <w:tblPr>
        <w:tblW w:w="0" w:type="auto"/>
        <w:tblLayout w:type="fixed"/>
        <w:tblLook w:val="0000" w:firstRow="0" w:lastRow="0" w:firstColumn="0" w:lastColumn="0" w:noHBand="0" w:noVBand="0"/>
      </w:tblPr>
      <w:tblGrid>
        <w:gridCol w:w="2160"/>
        <w:gridCol w:w="7308"/>
      </w:tblGrid>
      <w:tr w:rsidR="00E3381D" w:rsidTr="007C5949">
        <w:tc>
          <w:tcPr>
            <w:tcW w:w="2160" w:type="dxa"/>
            <w:tcBorders>
              <w:bottom w:val="single" w:sz="6" w:space="0" w:color="auto"/>
            </w:tcBorders>
          </w:tcPr>
          <w:p w:rsidR="00E3381D" w:rsidRDefault="00E3381D" w:rsidP="007C5949">
            <w:pPr>
              <w:jc w:val="center"/>
              <w:rPr>
                <w:b/>
              </w:rPr>
            </w:pPr>
            <w:r>
              <w:rPr>
                <w:b/>
              </w:rPr>
              <w:t>Numéro de la Clause CG</w:t>
            </w:r>
          </w:p>
        </w:tc>
        <w:tc>
          <w:tcPr>
            <w:tcW w:w="7308" w:type="dxa"/>
            <w:tcBorders>
              <w:bottom w:val="single" w:sz="6" w:space="0" w:color="auto"/>
            </w:tcBorders>
          </w:tcPr>
          <w:p w:rsidR="00E3381D" w:rsidRDefault="00E3381D" w:rsidP="007C5949">
            <w:pPr>
              <w:ind w:right="-72"/>
              <w:jc w:val="center"/>
              <w:rPr>
                <w:b/>
              </w:rPr>
            </w:pPr>
            <w:r>
              <w:rPr>
                <w:b/>
              </w:rPr>
              <w:t>Modifications et compléments apportés aux clauses des dispositions générales du marché</w:t>
            </w:r>
          </w:p>
        </w:tc>
      </w:tr>
      <w:tr w:rsidR="00E3381D" w:rsidTr="007C5949">
        <w:tc>
          <w:tcPr>
            <w:tcW w:w="2160" w:type="dxa"/>
          </w:tcPr>
          <w:p w:rsidR="00E3381D" w:rsidRDefault="00E3381D" w:rsidP="007C5949">
            <w:pPr>
              <w:rPr>
                <w:b/>
              </w:rPr>
            </w:pPr>
          </w:p>
        </w:tc>
        <w:tc>
          <w:tcPr>
            <w:tcW w:w="7308" w:type="dxa"/>
          </w:tcPr>
          <w:p w:rsidR="00E3381D" w:rsidRDefault="00E3381D" w:rsidP="007C5949">
            <w:pPr>
              <w:ind w:right="-72"/>
            </w:pPr>
          </w:p>
        </w:tc>
      </w:tr>
      <w:tr w:rsidR="00E3381D" w:rsidTr="007C5949">
        <w:tc>
          <w:tcPr>
            <w:tcW w:w="2160" w:type="dxa"/>
          </w:tcPr>
          <w:p w:rsidR="00E3381D" w:rsidRDefault="00E3381D" w:rsidP="007C5949">
            <w:pPr>
              <w:rPr>
                <w:b/>
              </w:rPr>
            </w:pPr>
          </w:p>
          <w:p w:rsidR="00E3381D" w:rsidRDefault="00E3381D" w:rsidP="007C5949">
            <w:pPr>
              <w:rPr>
                <w:b/>
              </w:rPr>
            </w:pPr>
            <w:r>
              <w:rPr>
                <w:b/>
              </w:rPr>
              <w:t>1.4</w:t>
            </w:r>
          </w:p>
        </w:tc>
        <w:tc>
          <w:tcPr>
            <w:tcW w:w="7308" w:type="dxa"/>
          </w:tcPr>
          <w:p w:rsidR="00E3381D" w:rsidRDefault="00E3381D" w:rsidP="007C5949">
            <w:pPr>
              <w:ind w:right="-72"/>
            </w:pPr>
          </w:p>
          <w:p w:rsidR="00E3381D" w:rsidRDefault="00E3381D" w:rsidP="007C5949">
            <w:pPr>
              <w:ind w:right="-72"/>
            </w:pPr>
            <w:r>
              <w:t>Les adresses sont les suivantes:</w:t>
            </w:r>
          </w:p>
          <w:p w:rsidR="00E3381D" w:rsidRDefault="00E3381D" w:rsidP="007C5949">
            <w:pPr>
              <w:ind w:right="-72"/>
            </w:pPr>
          </w:p>
          <w:p w:rsidR="00E3381D" w:rsidRDefault="00E3381D" w:rsidP="007C5949">
            <w:pPr>
              <w:tabs>
                <w:tab w:val="left" w:pos="1800"/>
                <w:tab w:val="left" w:pos="6480"/>
              </w:tabs>
              <w:ind w:right="-72"/>
            </w:pPr>
            <w:r>
              <w:t>Autorité contractante: Initiative Pour la Transparence dans les Industries Extractives</w:t>
            </w:r>
          </w:p>
          <w:p w:rsidR="00E3381D" w:rsidRDefault="00E3381D" w:rsidP="007C5949">
            <w:pPr>
              <w:tabs>
                <w:tab w:val="left" w:pos="1800"/>
                <w:tab w:val="left" w:pos="6480"/>
              </w:tabs>
              <w:ind w:right="-72"/>
              <w:rPr>
                <w:u w:val="single"/>
              </w:rPr>
            </w:pPr>
            <w:r>
              <w:t>A l’attention du:</w:t>
            </w:r>
            <w:r>
              <w:tab/>
              <w:t>Coordonnateur National</w:t>
            </w:r>
          </w:p>
          <w:p w:rsidR="00E3381D" w:rsidRDefault="00E3381D" w:rsidP="007C5949">
            <w:pPr>
              <w:tabs>
                <w:tab w:val="left" w:pos="1800"/>
                <w:tab w:val="left" w:pos="6480"/>
              </w:tabs>
              <w:ind w:right="-72"/>
            </w:pPr>
            <w:r>
              <w:t>Fax :</w:t>
            </w:r>
            <w:r>
              <w:tab/>
            </w:r>
            <w:r>
              <w:rPr>
                <w:u w:val="single"/>
              </w:rPr>
              <w:tab/>
            </w:r>
          </w:p>
          <w:p w:rsidR="00E3381D" w:rsidRDefault="00E3381D" w:rsidP="007C5949">
            <w:pPr>
              <w:ind w:right="-72"/>
            </w:pPr>
            <w:r>
              <w:t xml:space="preserve">E-mail  </w:t>
            </w:r>
            <w:hyperlink r:id="rId34" w:history="1">
              <w:r w:rsidRPr="002A0D1E">
                <w:rPr>
                  <w:rStyle w:val="Hyperlink"/>
                </w:rPr>
                <w:t>itietogo@yahoo.fr</w:t>
              </w:r>
            </w:hyperlink>
            <w:r>
              <w:t xml:space="preserve">  </w:t>
            </w:r>
          </w:p>
          <w:p w:rsidR="00E3381D" w:rsidRDefault="00E3381D" w:rsidP="007C5949">
            <w:pPr>
              <w:ind w:right="-72"/>
            </w:pPr>
          </w:p>
          <w:p w:rsidR="00E3381D" w:rsidRDefault="00E3381D" w:rsidP="007C5949">
            <w:pPr>
              <w:tabs>
                <w:tab w:val="left" w:pos="1800"/>
                <w:tab w:val="left" w:pos="6480"/>
              </w:tabs>
              <w:ind w:right="-72"/>
            </w:pPr>
            <w:r>
              <w:t>Consultant:</w:t>
            </w:r>
            <w:r>
              <w:tab/>
            </w:r>
            <w:r>
              <w:rPr>
                <w:u w:val="single"/>
              </w:rPr>
              <w:tab/>
            </w:r>
          </w:p>
          <w:p w:rsidR="00E3381D" w:rsidRDefault="00E3381D" w:rsidP="007C5949">
            <w:pPr>
              <w:tabs>
                <w:tab w:val="left" w:pos="1800"/>
                <w:tab w:val="left" w:pos="6480"/>
              </w:tabs>
              <w:ind w:right="-72"/>
            </w:pPr>
            <w:r>
              <w:t>A l’attention de:</w:t>
            </w:r>
            <w:r>
              <w:tab/>
            </w:r>
            <w:r>
              <w:rPr>
                <w:u w:val="single"/>
              </w:rPr>
              <w:tab/>
            </w:r>
          </w:p>
          <w:p w:rsidR="00E3381D" w:rsidRDefault="00E3381D" w:rsidP="007C5949">
            <w:pPr>
              <w:tabs>
                <w:tab w:val="left" w:pos="1800"/>
                <w:tab w:val="left" w:pos="6480"/>
              </w:tabs>
              <w:ind w:right="-72"/>
            </w:pPr>
            <w:r>
              <w:t>Fax :</w:t>
            </w:r>
            <w:r>
              <w:tab/>
            </w:r>
            <w:r>
              <w:rPr>
                <w:u w:val="single"/>
              </w:rPr>
              <w:tab/>
            </w:r>
          </w:p>
          <w:p w:rsidR="00E3381D" w:rsidRDefault="00E3381D" w:rsidP="007C5949">
            <w:pPr>
              <w:tabs>
                <w:tab w:val="left" w:pos="1800"/>
                <w:tab w:val="left" w:pos="6480"/>
              </w:tabs>
              <w:ind w:right="-72"/>
            </w:pPr>
            <w:r>
              <w:t>E-mail)   __________________________________________</w:t>
            </w:r>
          </w:p>
          <w:p w:rsidR="00E3381D" w:rsidRDefault="00E3381D" w:rsidP="007C5949">
            <w:pPr>
              <w:ind w:right="-72"/>
            </w:pPr>
          </w:p>
        </w:tc>
      </w:tr>
      <w:tr w:rsidR="00E3381D" w:rsidTr="007C5949">
        <w:tc>
          <w:tcPr>
            <w:tcW w:w="2160" w:type="dxa"/>
          </w:tcPr>
          <w:p w:rsidR="00E3381D" w:rsidRDefault="00E3381D" w:rsidP="007C5949">
            <w:pPr>
              <w:rPr>
                <w:b/>
              </w:rPr>
            </w:pPr>
          </w:p>
        </w:tc>
        <w:tc>
          <w:tcPr>
            <w:tcW w:w="7308" w:type="dxa"/>
          </w:tcPr>
          <w:p w:rsidR="00E3381D" w:rsidRDefault="00E3381D" w:rsidP="007C5949">
            <w:pPr>
              <w:ind w:right="-72"/>
              <w:jc w:val="both"/>
            </w:pPr>
          </w:p>
        </w:tc>
      </w:tr>
      <w:tr w:rsidR="00E3381D" w:rsidTr="007C5949">
        <w:tc>
          <w:tcPr>
            <w:tcW w:w="2160" w:type="dxa"/>
          </w:tcPr>
          <w:p w:rsidR="00E3381D" w:rsidRDefault="00E3381D" w:rsidP="007C5949">
            <w:pPr>
              <w:rPr>
                <w:b/>
              </w:rPr>
            </w:pPr>
            <w:r>
              <w:rPr>
                <w:b/>
              </w:rPr>
              <w:t>1.7</w:t>
            </w:r>
          </w:p>
        </w:tc>
        <w:tc>
          <w:tcPr>
            <w:tcW w:w="7308" w:type="dxa"/>
          </w:tcPr>
          <w:p w:rsidR="00E3381D" w:rsidRDefault="00E3381D" w:rsidP="007C5949">
            <w:pPr>
              <w:ind w:right="-72"/>
              <w:jc w:val="both"/>
            </w:pPr>
            <w:r>
              <w:t>Les Représentants habilités sont :</w:t>
            </w:r>
          </w:p>
          <w:p w:rsidR="00E3381D" w:rsidRDefault="00E3381D" w:rsidP="007C5949">
            <w:pPr>
              <w:tabs>
                <w:tab w:val="left" w:pos="2160"/>
                <w:tab w:val="left" w:pos="6480"/>
              </w:tabs>
              <w:ind w:right="-72"/>
              <w:jc w:val="both"/>
            </w:pPr>
          </w:p>
          <w:p w:rsidR="00E3381D" w:rsidRDefault="00E3381D" w:rsidP="007C5949">
            <w:pPr>
              <w:tabs>
                <w:tab w:val="left" w:pos="2160"/>
                <w:tab w:val="left" w:pos="6480"/>
              </w:tabs>
              <w:ind w:right="-72"/>
              <w:jc w:val="both"/>
            </w:pPr>
            <w:r>
              <w:t>Pour l’Autorité contractante:</w:t>
            </w:r>
            <w:r>
              <w:rPr>
                <w:u w:val="single"/>
              </w:rPr>
              <w:tab/>
            </w:r>
          </w:p>
          <w:p w:rsidR="00E3381D" w:rsidRPr="0072298E" w:rsidRDefault="00E3381D" w:rsidP="007C5949">
            <w:pPr>
              <w:ind w:right="-72"/>
              <w:jc w:val="both"/>
            </w:pPr>
            <w:r>
              <w:t>Pour le Consultant:</w:t>
            </w:r>
            <w:r>
              <w:tab/>
            </w:r>
            <w:r w:rsidRPr="0072298E">
              <w:t>______________________________</w:t>
            </w:r>
          </w:p>
          <w:p w:rsidR="00E3381D" w:rsidRDefault="00E3381D" w:rsidP="007C5949">
            <w:pPr>
              <w:ind w:right="-72"/>
              <w:jc w:val="both"/>
            </w:pPr>
          </w:p>
        </w:tc>
      </w:tr>
      <w:tr w:rsidR="00E3381D" w:rsidTr="007C5949">
        <w:tc>
          <w:tcPr>
            <w:tcW w:w="2160" w:type="dxa"/>
          </w:tcPr>
          <w:p w:rsidR="00E3381D" w:rsidRDefault="00E3381D" w:rsidP="007C5949">
            <w:pPr>
              <w:rPr>
                <w:b/>
              </w:rPr>
            </w:pPr>
            <w:r>
              <w:rPr>
                <w:b/>
              </w:rPr>
              <w:t>1.8</w:t>
            </w:r>
          </w:p>
        </w:tc>
        <w:tc>
          <w:tcPr>
            <w:tcW w:w="7308" w:type="dxa"/>
          </w:tcPr>
          <w:p w:rsidR="00E3381D" w:rsidRDefault="00E3381D" w:rsidP="007C5949">
            <w:pPr>
              <w:ind w:right="-72"/>
              <w:jc w:val="both"/>
            </w:pPr>
            <w:r w:rsidRPr="00FD4670">
              <w:rPr>
                <w:i/>
                <w:iCs/>
              </w:rPr>
              <w:t xml:space="preserve">[Lorsque le Marché </w:t>
            </w:r>
            <w:r>
              <w:rPr>
                <w:i/>
                <w:iCs/>
              </w:rPr>
              <w:t>est</w:t>
            </w:r>
            <w:r w:rsidRPr="00FD4670">
              <w:rPr>
                <w:i/>
                <w:iCs/>
              </w:rPr>
              <w:t xml:space="preserve"> exempté de certains impôts, droits ou taxes, il conviendra de l’indiquer précisément ici, sinon ne pas modifier le</w:t>
            </w:r>
            <w:r>
              <w:rPr>
                <w:i/>
                <w:iCs/>
              </w:rPr>
              <w:t>s C</w:t>
            </w:r>
            <w:r w:rsidRPr="00FD4670">
              <w:rPr>
                <w:i/>
                <w:iCs/>
              </w:rPr>
              <w:t>G]</w:t>
            </w:r>
          </w:p>
        </w:tc>
      </w:tr>
      <w:tr w:rsidR="00E3381D" w:rsidTr="007C5949">
        <w:tc>
          <w:tcPr>
            <w:tcW w:w="2160" w:type="dxa"/>
          </w:tcPr>
          <w:p w:rsidR="00E3381D" w:rsidRDefault="00E3381D" w:rsidP="007C5949">
            <w:pPr>
              <w:rPr>
                <w:b/>
              </w:rPr>
            </w:pPr>
          </w:p>
        </w:tc>
        <w:tc>
          <w:tcPr>
            <w:tcW w:w="7308" w:type="dxa"/>
          </w:tcPr>
          <w:p w:rsidR="00E3381D" w:rsidRDefault="00E3381D" w:rsidP="00A95E4D">
            <w:pPr>
              <w:ind w:right="-72"/>
              <w:jc w:val="both"/>
            </w:pPr>
          </w:p>
        </w:tc>
      </w:tr>
      <w:tr w:rsidR="00E3381D" w:rsidTr="007C5949">
        <w:tc>
          <w:tcPr>
            <w:tcW w:w="2160" w:type="dxa"/>
          </w:tcPr>
          <w:p w:rsidR="00E3381D" w:rsidRDefault="00E3381D" w:rsidP="007C5949">
            <w:pPr>
              <w:rPr>
                <w:b/>
              </w:rPr>
            </w:pPr>
            <w:r>
              <w:rPr>
                <w:b/>
              </w:rPr>
              <w:t>2.2</w:t>
            </w:r>
          </w:p>
        </w:tc>
        <w:tc>
          <w:tcPr>
            <w:tcW w:w="7308" w:type="dxa"/>
          </w:tcPr>
          <w:p w:rsidR="00E3381D" w:rsidRDefault="00E3381D" w:rsidP="007C5949">
            <w:pPr>
              <w:ind w:right="-72"/>
              <w:rPr>
                <w:i/>
                <w:iCs/>
              </w:rPr>
            </w:pPr>
            <w:r>
              <w:t xml:space="preserve">Le délai pour  le commencement des Prestations est  </w:t>
            </w:r>
            <w:r w:rsidRPr="0008634A">
              <w:rPr>
                <w:b/>
              </w:rPr>
              <w:t>de cinq 05 jours</w:t>
            </w:r>
            <w:r>
              <w:t xml:space="preserve">  après la date d’entrée en vigueur. La date de commencement des prestations est </w:t>
            </w:r>
            <w:r>
              <w:rPr>
                <w:i/>
                <w:iCs/>
              </w:rPr>
              <w:t>[insérer la date]</w:t>
            </w:r>
          </w:p>
          <w:p w:rsidR="00E3381D" w:rsidRDefault="00E3381D" w:rsidP="007C5949">
            <w:pPr>
              <w:ind w:right="-72"/>
            </w:pPr>
          </w:p>
        </w:tc>
      </w:tr>
      <w:tr w:rsidR="00E3381D" w:rsidTr="007C5949">
        <w:tc>
          <w:tcPr>
            <w:tcW w:w="2160" w:type="dxa"/>
          </w:tcPr>
          <w:p w:rsidR="00E3381D" w:rsidRDefault="00E3381D" w:rsidP="007C5949">
            <w:pPr>
              <w:rPr>
                <w:b/>
              </w:rPr>
            </w:pPr>
            <w:r>
              <w:rPr>
                <w:b/>
              </w:rPr>
              <w:t>2.3</w:t>
            </w:r>
          </w:p>
        </w:tc>
        <w:tc>
          <w:tcPr>
            <w:tcW w:w="7308" w:type="dxa"/>
          </w:tcPr>
          <w:p w:rsidR="00E3381D" w:rsidRDefault="00E3381D" w:rsidP="007C5949">
            <w:pPr>
              <w:ind w:right="-72"/>
              <w:rPr>
                <w:i/>
                <w:iCs/>
              </w:rPr>
            </w:pPr>
            <w:r>
              <w:t xml:space="preserve">La période considérée sera de  </w:t>
            </w:r>
            <w:r w:rsidRPr="0008634A">
              <w:rPr>
                <w:b/>
              </w:rPr>
              <w:t>trois mois 10 jours</w:t>
            </w:r>
            <w:r>
              <w:rPr>
                <w:i/>
                <w:sz w:val="20"/>
              </w:rPr>
              <w:t xml:space="preserve"> ; </w:t>
            </w:r>
            <w:r w:rsidRPr="0072298E">
              <w:rPr>
                <w:iCs/>
                <w:szCs w:val="24"/>
              </w:rPr>
              <w:t>la date</w:t>
            </w:r>
            <w:r>
              <w:t xml:space="preserve"> est </w:t>
            </w:r>
            <w:r>
              <w:rPr>
                <w:i/>
                <w:iCs/>
              </w:rPr>
              <w:t>[insérer la date d’achèvement des prestations]</w:t>
            </w:r>
          </w:p>
          <w:p w:rsidR="00E3381D" w:rsidRDefault="00E3381D" w:rsidP="007C5949">
            <w:pPr>
              <w:ind w:right="-72"/>
            </w:pPr>
          </w:p>
        </w:tc>
      </w:tr>
      <w:tr w:rsidR="00E3381D" w:rsidTr="007C5949">
        <w:tc>
          <w:tcPr>
            <w:tcW w:w="2160" w:type="dxa"/>
          </w:tcPr>
          <w:p w:rsidR="00E3381D" w:rsidRDefault="00E3381D" w:rsidP="007C5949">
            <w:pPr>
              <w:rPr>
                <w:b/>
              </w:rPr>
            </w:pPr>
            <w:r>
              <w:rPr>
                <w:b/>
              </w:rPr>
              <w:t>3.4</w:t>
            </w:r>
          </w:p>
        </w:tc>
        <w:tc>
          <w:tcPr>
            <w:tcW w:w="7308" w:type="dxa"/>
          </w:tcPr>
          <w:p w:rsidR="00E3381D" w:rsidRDefault="00E3381D" w:rsidP="007C5949">
            <w:pPr>
              <w:ind w:right="-72"/>
              <w:jc w:val="both"/>
              <w:rPr>
                <w:i/>
              </w:rPr>
            </w:pPr>
            <w:r>
              <w:t>Les risques et montants couverts par les assurances sont les suivants:</w:t>
            </w:r>
          </w:p>
          <w:p w:rsidR="00E3381D" w:rsidRDefault="00E3381D" w:rsidP="007C5949">
            <w:pPr>
              <w:ind w:right="-72"/>
              <w:jc w:val="both"/>
              <w:rPr>
                <w:i/>
              </w:rPr>
            </w:pPr>
          </w:p>
          <w:p w:rsidR="00E3381D" w:rsidRDefault="00E3381D" w:rsidP="00E3381D">
            <w:pPr>
              <w:numPr>
                <w:ilvl w:val="0"/>
                <w:numId w:val="58"/>
              </w:numPr>
              <w:tabs>
                <w:tab w:val="left" w:pos="1080"/>
                <w:tab w:val="left" w:pos="6840"/>
              </w:tabs>
              <w:ind w:right="-72"/>
              <w:jc w:val="both"/>
            </w:pPr>
            <w:r>
              <w:t xml:space="preserve">Assurance automobile au tiers pour les </w:t>
            </w:r>
            <w:r w:rsidRPr="00D74080">
              <w:t xml:space="preserve">véhicules utilisés au Togo par le Consultant ou son Personnel, pour une couverture minimum de </w:t>
            </w:r>
            <w:r>
              <w:rPr>
                <w:i/>
              </w:rPr>
              <w:t xml:space="preserve">[insérer le montant en FCFA] </w:t>
            </w:r>
          </w:p>
          <w:p w:rsidR="00E3381D" w:rsidRDefault="00E3381D" w:rsidP="007C5949">
            <w:pPr>
              <w:tabs>
                <w:tab w:val="left" w:pos="1080"/>
                <w:tab w:val="left" w:pos="6840"/>
              </w:tabs>
              <w:ind w:right="-72"/>
              <w:jc w:val="both"/>
            </w:pPr>
          </w:p>
          <w:p w:rsidR="00E3381D" w:rsidRDefault="00E3381D" w:rsidP="00E3381D">
            <w:pPr>
              <w:numPr>
                <w:ilvl w:val="0"/>
                <w:numId w:val="58"/>
              </w:numPr>
              <w:tabs>
                <w:tab w:val="left" w:pos="1080"/>
                <w:tab w:val="left" w:pos="6840"/>
              </w:tabs>
              <w:ind w:right="-72"/>
              <w:jc w:val="both"/>
            </w:pPr>
            <w:r>
              <w:t xml:space="preserve">Assurance au tiers pour une couverture minimum de </w:t>
            </w:r>
            <w:r>
              <w:rPr>
                <w:i/>
              </w:rPr>
              <w:t>[insérer le montant en FCFA]</w:t>
            </w:r>
          </w:p>
          <w:p w:rsidR="00E3381D" w:rsidRDefault="00E3381D" w:rsidP="007C5949">
            <w:pPr>
              <w:tabs>
                <w:tab w:val="left" w:pos="1080"/>
                <w:tab w:val="left" w:pos="6840"/>
              </w:tabs>
              <w:ind w:right="-72"/>
              <w:jc w:val="both"/>
            </w:pPr>
          </w:p>
          <w:p w:rsidR="00E3381D" w:rsidRDefault="00E3381D" w:rsidP="00E3381D">
            <w:pPr>
              <w:numPr>
                <w:ilvl w:val="0"/>
                <w:numId w:val="58"/>
              </w:numPr>
              <w:tabs>
                <w:tab w:val="left" w:pos="1080"/>
                <w:tab w:val="left" w:pos="6840"/>
              </w:tabs>
              <w:ind w:right="-72"/>
              <w:jc w:val="both"/>
            </w:pPr>
            <w:r>
              <w:t xml:space="preserve">Assurance professionnelle, pour une couverture minimum de </w:t>
            </w:r>
            <w:r>
              <w:rPr>
                <w:i/>
              </w:rPr>
              <w:t>insérer le montant et la divise]</w:t>
            </w:r>
          </w:p>
          <w:p w:rsidR="00E3381D" w:rsidRDefault="00E3381D" w:rsidP="007C5949">
            <w:pPr>
              <w:tabs>
                <w:tab w:val="left" w:pos="1080"/>
                <w:tab w:val="left" w:pos="6840"/>
              </w:tabs>
              <w:ind w:right="-72"/>
              <w:jc w:val="both"/>
            </w:pPr>
          </w:p>
          <w:p w:rsidR="00E3381D" w:rsidRDefault="00E3381D" w:rsidP="00E3381D">
            <w:pPr>
              <w:numPr>
                <w:ilvl w:val="0"/>
                <w:numId w:val="58"/>
              </w:numPr>
              <w:tabs>
                <w:tab w:val="left" w:pos="1080"/>
                <w:tab w:val="left" w:pos="6840"/>
              </w:tabs>
              <w:ind w:right="-72"/>
              <w:jc w:val="both"/>
            </w:pPr>
            <w:r>
              <w:t xml:space="preserve">Assurance patronale et contre les accidents du travail couvrant le </w:t>
            </w:r>
            <w:r>
              <w:lastRenderedPageBreak/>
              <w:t>Personnel du Consultant, conformément aux dispositions légales en vigueur ainsi que, pour le Personnel, toute autre assurances, notamment assurance vie, maladie, accident, voyage ; et</w:t>
            </w:r>
          </w:p>
          <w:p w:rsidR="00E3381D" w:rsidRDefault="00E3381D" w:rsidP="007C5949">
            <w:pPr>
              <w:tabs>
                <w:tab w:val="left" w:pos="1080"/>
                <w:tab w:val="left" w:pos="6840"/>
              </w:tabs>
              <w:ind w:right="-72"/>
              <w:jc w:val="both"/>
            </w:pPr>
          </w:p>
          <w:p w:rsidR="00E3381D" w:rsidRDefault="00E3381D" w:rsidP="00E3381D">
            <w:pPr>
              <w:numPr>
                <w:ilvl w:val="0"/>
                <w:numId w:val="58"/>
              </w:numPr>
              <w:tabs>
                <w:tab w:val="left" w:pos="1080"/>
                <w:tab w:val="left" w:pos="6840"/>
              </w:tabs>
              <w:ind w:right="-72"/>
              <w:jc w:val="both"/>
            </w:pPr>
            <w: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rsidR="00E3381D" w:rsidRDefault="00E3381D" w:rsidP="007C5949">
            <w:pPr>
              <w:tabs>
                <w:tab w:val="left" w:pos="1080"/>
                <w:tab w:val="left" w:pos="6840"/>
              </w:tabs>
              <w:ind w:right="-72"/>
              <w:jc w:val="both"/>
            </w:pPr>
          </w:p>
          <w:p w:rsidR="00E3381D" w:rsidRDefault="00E3381D" w:rsidP="007C5949">
            <w:pPr>
              <w:tabs>
                <w:tab w:val="left" w:pos="6840"/>
              </w:tabs>
              <w:ind w:right="-72"/>
              <w:jc w:val="both"/>
            </w:pPr>
            <w:r>
              <w:rPr>
                <w:b/>
                <w:i/>
              </w:rPr>
              <w:t>Note :</w:t>
            </w:r>
            <w:r>
              <w:rPr>
                <w:i/>
              </w:rPr>
              <w:t xml:space="preserve"> Supprimer les alinéas sans objet</w:t>
            </w:r>
          </w:p>
        </w:tc>
      </w:tr>
    </w:tbl>
    <w:p w:rsidR="00E3381D" w:rsidRDefault="00E3381D" w:rsidP="00E3381D">
      <w:r>
        <w:lastRenderedPageBreak/>
        <w:br w:type="page"/>
      </w:r>
    </w:p>
    <w:tbl>
      <w:tblPr>
        <w:tblW w:w="0" w:type="auto"/>
        <w:tblLayout w:type="fixed"/>
        <w:tblLook w:val="0000" w:firstRow="0" w:lastRow="0" w:firstColumn="0" w:lastColumn="0" w:noHBand="0" w:noVBand="0"/>
      </w:tblPr>
      <w:tblGrid>
        <w:gridCol w:w="2160"/>
        <w:gridCol w:w="7308"/>
      </w:tblGrid>
      <w:tr w:rsidR="00E3381D" w:rsidTr="007C5949">
        <w:tc>
          <w:tcPr>
            <w:tcW w:w="2160" w:type="dxa"/>
          </w:tcPr>
          <w:p w:rsidR="00E3381D" w:rsidRDefault="00E3381D" w:rsidP="007C5949">
            <w:pPr>
              <w:rPr>
                <w:b/>
              </w:rPr>
            </w:pPr>
            <w:r>
              <w:rPr>
                <w:b/>
              </w:rPr>
              <w:lastRenderedPageBreak/>
              <w:t>[3.7 (b)]</w:t>
            </w:r>
          </w:p>
        </w:tc>
        <w:tc>
          <w:tcPr>
            <w:tcW w:w="7308" w:type="dxa"/>
          </w:tcPr>
          <w:p w:rsidR="00E3381D" w:rsidRDefault="00E3381D" w:rsidP="007C5949">
            <w:pPr>
              <w:ind w:right="-72"/>
              <w:jc w:val="both"/>
              <w:rPr>
                <w:b/>
                <w:i/>
              </w:rPr>
            </w:pPr>
          </w:p>
          <w:p w:rsidR="00E3381D" w:rsidRDefault="00E3381D" w:rsidP="007C5949">
            <w:pPr>
              <w:ind w:right="-72"/>
              <w:jc w:val="both"/>
              <w:rPr>
                <w:i/>
              </w:rPr>
            </w:pPr>
            <w:r>
              <w:rPr>
                <w:b/>
                <w:i/>
              </w:rPr>
              <w:t>Note</w:t>
            </w:r>
            <w:r>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rsidR="00E3381D" w:rsidRDefault="00E3381D" w:rsidP="007C5949">
            <w:pPr>
              <w:ind w:right="-72"/>
              <w:jc w:val="both"/>
            </w:pPr>
          </w:p>
          <w:p w:rsidR="00E3381D" w:rsidRDefault="00E3381D" w:rsidP="007C5949">
            <w:pPr>
              <w:ind w:right="-72"/>
              <w:jc w:val="both"/>
            </w:pPr>
            <w:r>
              <w:t>{“Le Consultant ne pourra utiliser ni ces documents ni le logiciel à des fins sans rapport avec le présent Marché, sans autorisation préalable écrite de l’Autorité contractante.”}</w:t>
            </w:r>
          </w:p>
          <w:p w:rsidR="00E3381D" w:rsidRDefault="00E3381D" w:rsidP="007C5949">
            <w:pPr>
              <w:numPr>
                <w:ilvl w:val="12"/>
                <w:numId w:val="0"/>
              </w:numPr>
              <w:ind w:left="540" w:right="-72" w:hanging="540"/>
              <w:jc w:val="both"/>
            </w:pPr>
          </w:p>
          <w:p w:rsidR="00E3381D" w:rsidRDefault="00E3381D" w:rsidP="007C5949">
            <w:pPr>
              <w:numPr>
                <w:ilvl w:val="12"/>
                <w:numId w:val="0"/>
              </w:numPr>
              <w:ind w:left="540" w:right="-72" w:hanging="540"/>
              <w:jc w:val="both"/>
            </w:pPr>
          </w:p>
          <w:p w:rsidR="00E3381D" w:rsidRDefault="00E3381D" w:rsidP="007C5949">
            <w:pPr>
              <w:ind w:right="-72"/>
              <w:jc w:val="both"/>
            </w:pPr>
          </w:p>
        </w:tc>
      </w:tr>
      <w:tr w:rsidR="00E3381D" w:rsidTr="007C5949">
        <w:tc>
          <w:tcPr>
            <w:tcW w:w="2160" w:type="dxa"/>
          </w:tcPr>
          <w:p w:rsidR="00E3381D" w:rsidRDefault="00E3381D" w:rsidP="007C5949">
            <w:pPr>
              <w:numPr>
                <w:ilvl w:val="12"/>
                <w:numId w:val="0"/>
              </w:numPr>
              <w:rPr>
                <w:b/>
              </w:rPr>
            </w:pPr>
            <w:r>
              <w:rPr>
                <w:b/>
              </w:rPr>
              <w:t>[5.1]</w:t>
            </w:r>
          </w:p>
        </w:tc>
        <w:tc>
          <w:tcPr>
            <w:tcW w:w="7308" w:type="dxa"/>
          </w:tcPr>
          <w:p w:rsidR="00E3381D" w:rsidRDefault="00E3381D" w:rsidP="007C5949">
            <w:pPr>
              <w:numPr>
                <w:ilvl w:val="12"/>
                <w:numId w:val="0"/>
              </w:numPr>
              <w:ind w:right="-72"/>
              <w:jc w:val="both"/>
              <w:rPr>
                <w:i/>
              </w:rPr>
            </w:pPr>
            <w:r>
              <w:rPr>
                <w:b/>
                <w:i/>
              </w:rPr>
              <w:t>Note</w:t>
            </w:r>
            <w:r>
              <w:rPr>
                <w:i/>
              </w:rPr>
              <w:t xml:space="preserve">: Indiquer ici toute assistance et/ou exemption qui pourrait être fournie par l’Autorité contractante aux termes de la Clause 5.1. </w:t>
            </w:r>
          </w:p>
          <w:p w:rsidR="00E3381D" w:rsidRPr="00B66A00" w:rsidRDefault="00E3381D" w:rsidP="007C5949">
            <w:pPr>
              <w:numPr>
                <w:ilvl w:val="12"/>
                <w:numId w:val="0"/>
              </w:numPr>
              <w:ind w:right="-72"/>
              <w:jc w:val="both"/>
              <w:rPr>
                <w:i/>
              </w:rPr>
            </w:pPr>
            <w:r w:rsidRPr="00B66A00">
              <w:rPr>
                <w:i/>
              </w:rPr>
              <w:t>[En l’absence d’assistance et/ou exemption, porter ici la mention “sans objet.”]</w:t>
            </w:r>
          </w:p>
          <w:p w:rsidR="00E3381D" w:rsidRDefault="00E3381D" w:rsidP="007C5949">
            <w:pPr>
              <w:numPr>
                <w:ilvl w:val="12"/>
                <w:numId w:val="0"/>
              </w:numPr>
              <w:ind w:right="-72"/>
              <w:jc w:val="both"/>
            </w:pPr>
          </w:p>
        </w:tc>
      </w:tr>
      <w:tr w:rsidR="00E3381D" w:rsidTr="007C5949">
        <w:tc>
          <w:tcPr>
            <w:tcW w:w="2160" w:type="dxa"/>
          </w:tcPr>
          <w:p w:rsidR="00E3381D" w:rsidRDefault="00E3381D" w:rsidP="007C5949">
            <w:pPr>
              <w:numPr>
                <w:ilvl w:val="12"/>
                <w:numId w:val="0"/>
              </w:numPr>
              <w:rPr>
                <w:b/>
              </w:rPr>
            </w:pPr>
            <w:r>
              <w:rPr>
                <w:b/>
              </w:rPr>
              <w:t>6.2</w:t>
            </w:r>
          </w:p>
        </w:tc>
        <w:tc>
          <w:tcPr>
            <w:tcW w:w="7308" w:type="dxa"/>
          </w:tcPr>
          <w:p w:rsidR="00E3381D" w:rsidRDefault="00E3381D" w:rsidP="007C5949">
            <w:pPr>
              <w:numPr>
                <w:ilvl w:val="12"/>
                <w:numId w:val="0"/>
              </w:numPr>
              <w:ind w:right="-72"/>
              <w:jc w:val="both"/>
            </w:pPr>
            <w:r>
              <w:t xml:space="preserve">Le montant est de </w:t>
            </w:r>
            <w:r>
              <w:rPr>
                <w:i/>
                <w:sz w:val="20"/>
              </w:rPr>
              <w:t xml:space="preserve">[insérer le montant </w:t>
            </w:r>
            <w:r>
              <w:rPr>
                <w:sz w:val="20"/>
              </w:rPr>
              <w:t>FCFA</w:t>
            </w:r>
            <w:r>
              <w:rPr>
                <w:i/>
                <w:sz w:val="20"/>
              </w:rPr>
              <w:t>]</w:t>
            </w:r>
            <w:r>
              <w:t>.</w:t>
            </w:r>
          </w:p>
          <w:p w:rsidR="00E3381D" w:rsidRDefault="00E3381D" w:rsidP="007C5949">
            <w:pPr>
              <w:numPr>
                <w:ilvl w:val="12"/>
                <w:numId w:val="0"/>
              </w:numPr>
              <w:ind w:right="-72"/>
              <w:jc w:val="both"/>
            </w:pPr>
          </w:p>
        </w:tc>
      </w:tr>
      <w:tr w:rsidR="00E3381D" w:rsidTr="007C5949">
        <w:tc>
          <w:tcPr>
            <w:tcW w:w="2160" w:type="dxa"/>
          </w:tcPr>
          <w:p w:rsidR="00E3381D" w:rsidRDefault="00E3381D" w:rsidP="007C5949">
            <w:pPr>
              <w:numPr>
                <w:ilvl w:val="12"/>
                <w:numId w:val="0"/>
              </w:numPr>
              <w:rPr>
                <w:b/>
              </w:rPr>
            </w:pPr>
            <w:r>
              <w:rPr>
                <w:b/>
              </w:rPr>
              <w:t>6.4 (a)</w:t>
            </w:r>
          </w:p>
        </w:tc>
        <w:tc>
          <w:tcPr>
            <w:tcW w:w="7308" w:type="dxa"/>
          </w:tcPr>
          <w:p w:rsidR="00E3381D" w:rsidRDefault="00E3381D" w:rsidP="007C5949">
            <w:pPr>
              <w:numPr>
                <w:ilvl w:val="12"/>
                <w:numId w:val="0"/>
              </w:numPr>
              <w:ind w:right="-72"/>
              <w:jc w:val="both"/>
            </w:pPr>
            <w:r>
              <w:t>Le compte bancaire est:</w:t>
            </w:r>
          </w:p>
          <w:p w:rsidR="00E3381D" w:rsidRDefault="00E3381D" w:rsidP="007C5949">
            <w:pPr>
              <w:numPr>
                <w:ilvl w:val="12"/>
                <w:numId w:val="0"/>
              </w:numPr>
              <w:ind w:right="-72"/>
              <w:jc w:val="both"/>
            </w:pPr>
          </w:p>
          <w:p w:rsidR="00E3381D" w:rsidRDefault="00E3381D" w:rsidP="007C5949">
            <w:pPr>
              <w:numPr>
                <w:ilvl w:val="12"/>
                <w:numId w:val="0"/>
              </w:numPr>
              <w:ind w:left="540" w:right="-72"/>
              <w:jc w:val="both"/>
              <w:rPr>
                <w:i/>
                <w:sz w:val="20"/>
              </w:rPr>
            </w:pPr>
            <w:r>
              <w:rPr>
                <w:i/>
                <w:sz w:val="20"/>
              </w:rPr>
              <w:t>[insérer le numéro de compte]</w:t>
            </w:r>
          </w:p>
          <w:p w:rsidR="00E3381D" w:rsidRDefault="00E3381D" w:rsidP="007C5949">
            <w:pPr>
              <w:numPr>
                <w:ilvl w:val="12"/>
                <w:numId w:val="0"/>
              </w:numPr>
              <w:ind w:left="540" w:right="-72"/>
              <w:jc w:val="both"/>
            </w:pPr>
          </w:p>
          <w:p w:rsidR="00E3381D" w:rsidRDefault="00E3381D" w:rsidP="007C5949">
            <w:pPr>
              <w:numPr>
                <w:ilvl w:val="12"/>
                <w:numId w:val="0"/>
              </w:numPr>
              <w:ind w:right="-72"/>
              <w:jc w:val="both"/>
            </w:pPr>
            <w:r>
              <w:t>Les paiements seront effectués sur la base du calendrier ci-après:</w:t>
            </w:r>
          </w:p>
          <w:p w:rsidR="00E3381D" w:rsidRDefault="00E3381D" w:rsidP="007C5949">
            <w:pPr>
              <w:numPr>
                <w:ilvl w:val="12"/>
                <w:numId w:val="0"/>
              </w:numPr>
              <w:ind w:right="-72"/>
              <w:jc w:val="both"/>
            </w:pPr>
          </w:p>
          <w:p w:rsidR="00E3381D" w:rsidRPr="00521D3B" w:rsidRDefault="00E3381D" w:rsidP="007C5949">
            <w:pPr>
              <w:numPr>
                <w:ilvl w:val="12"/>
                <w:numId w:val="0"/>
              </w:numPr>
              <w:ind w:right="-72"/>
              <w:jc w:val="both"/>
              <w:rPr>
                <w:b/>
                <w:i/>
              </w:rPr>
            </w:pPr>
            <w:r w:rsidRPr="00521D3B">
              <w:rPr>
                <w:b/>
                <w:i/>
              </w:rPr>
              <w:t xml:space="preserve">Note: </w:t>
            </w:r>
          </w:p>
          <w:p w:rsidR="00E3381D" w:rsidRDefault="00E3381D" w:rsidP="007C5949">
            <w:pPr>
              <w:numPr>
                <w:ilvl w:val="12"/>
                <w:numId w:val="0"/>
              </w:numPr>
              <w:ind w:right="-72"/>
              <w:jc w:val="both"/>
              <w:rPr>
                <w:i/>
              </w:rPr>
            </w:pPr>
          </w:p>
          <w:p w:rsidR="00E3381D" w:rsidRDefault="00E3381D" w:rsidP="007C5949">
            <w:pPr>
              <w:numPr>
                <w:ilvl w:val="12"/>
                <w:numId w:val="0"/>
              </w:numPr>
              <w:ind w:right="-72"/>
              <w:jc w:val="both"/>
              <w:rPr>
                <w:i/>
              </w:rPr>
            </w:pPr>
            <w:r>
              <w:rPr>
                <w:i/>
              </w:rPr>
              <w:t xml:space="preserve">(a) Le calendrier ci-après n’est fourni qu’à titre indicatif; </w:t>
            </w:r>
          </w:p>
          <w:p w:rsidR="00E3381D" w:rsidRDefault="00E3381D" w:rsidP="007C5949">
            <w:pPr>
              <w:numPr>
                <w:ilvl w:val="12"/>
                <w:numId w:val="0"/>
              </w:numPr>
              <w:ind w:right="-72"/>
              <w:jc w:val="both"/>
              <w:rPr>
                <w:i/>
              </w:rPr>
            </w:pPr>
            <w:r>
              <w:rPr>
                <w:i/>
              </w:rPr>
              <w:t>(b)  l’expression "date de commencement" peut être remplacée par" date d’entrée en vigueur" si tel est le cas; et</w:t>
            </w:r>
          </w:p>
          <w:p w:rsidR="00E3381D" w:rsidRDefault="00E3381D" w:rsidP="007C5949">
            <w:pPr>
              <w:numPr>
                <w:ilvl w:val="12"/>
                <w:numId w:val="0"/>
              </w:numPr>
              <w:ind w:right="-72"/>
              <w:jc w:val="both"/>
              <w:rPr>
                <w:i/>
              </w:rPr>
            </w:pPr>
            <w:r>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 Elle doit être conforme au modèle fourni en annexe F.</w:t>
            </w:r>
          </w:p>
          <w:p w:rsidR="00E3381D" w:rsidRDefault="00E3381D" w:rsidP="007C5949">
            <w:pPr>
              <w:numPr>
                <w:ilvl w:val="12"/>
                <w:numId w:val="0"/>
              </w:numPr>
              <w:ind w:right="-72"/>
              <w:jc w:val="both"/>
            </w:pPr>
          </w:p>
          <w:p w:rsidR="00E3381D" w:rsidRPr="00D74080" w:rsidRDefault="00E3381D" w:rsidP="00E3381D">
            <w:pPr>
              <w:numPr>
                <w:ilvl w:val="0"/>
                <w:numId w:val="27"/>
              </w:numPr>
              <w:ind w:right="-72"/>
              <w:jc w:val="both"/>
            </w:pPr>
            <w:r w:rsidRPr="00D74080">
              <w:t>Vingt (20) pour cent du Montant du Marché seront versés à la date du commencement des Prestations.</w:t>
            </w:r>
          </w:p>
          <w:p w:rsidR="00E3381D" w:rsidRPr="00D74080" w:rsidRDefault="00E3381D" w:rsidP="007C5949">
            <w:pPr>
              <w:numPr>
                <w:ilvl w:val="12"/>
                <w:numId w:val="0"/>
              </w:numPr>
              <w:ind w:left="540" w:right="-72" w:hanging="540"/>
              <w:jc w:val="both"/>
            </w:pPr>
          </w:p>
          <w:p w:rsidR="00E3381D" w:rsidRDefault="00E3381D" w:rsidP="00E3381D">
            <w:pPr>
              <w:numPr>
                <w:ilvl w:val="0"/>
                <w:numId w:val="27"/>
              </w:numPr>
              <w:ind w:right="-72"/>
              <w:jc w:val="both"/>
            </w:pPr>
            <w:r>
              <w:t>Dix (10) pour cent du Montant du Marché seront versés au moment de la soumission d’un rapport initial.</w:t>
            </w:r>
          </w:p>
          <w:p w:rsidR="00E3381D" w:rsidRDefault="00E3381D" w:rsidP="007C5949">
            <w:pPr>
              <w:numPr>
                <w:ilvl w:val="12"/>
                <w:numId w:val="0"/>
              </w:numPr>
              <w:ind w:left="540" w:right="-72" w:hanging="540"/>
              <w:jc w:val="both"/>
            </w:pPr>
          </w:p>
          <w:p w:rsidR="00E3381D" w:rsidRDefault="00E3381D" w:rsidP="00E3381D">
            <w:pPr>
              <w:numPr>
                <w:ilvl w:val="0"/>
                <w:numId w:val="27"/>
              </w:numPr>
              <w:ind w:right="-72"/>
              <w:jc w:val="both"/>
            </w:pPr>
            <w:r>
              <w:t>Vingt-cinq (25) pour cent du Montant du Marché seront versés au moment de la soumission du projet de rapport intermédiaire.</w:t>
            </w:r>
          </w:p>
          <w:p w:rsidR="00E3381D" w:rsidRDefault="00E3381D" w:rsidP="007C5949">
            <w:pPr>
              <w:numPr>
                <w:ilvl w:val="12"/>
                <w:numId w:val="0"/>
              </w:numPr>
              <w:ind w:left="540" w:right="-72" w:hanging="540"/>
              <w:jc w:val="both"/>
            </w:pPr>
          </w:p>
          <w:p w:rsidR="00E3381D" w:rsidRDefault="00E3381D" w:rsidP="00E3381D">
            <w:pPr>
              <w:numPr>
                <w:ilvl w:val="0"/>
                <w:numId w:val="27"/>
              </w:numPr>
              <w:ind w:right="-72"/>
              <w:jc w:val="both"/>
            </w:pPr>
            <w:r>
              <w:t>Vingt-cinq (25) pour cent du Montant du Marché seront versés au moment de la soumission du projet de rapport final.</w:t>
            </w:r>
          </w:p>
          <w:p w:rsidR="00E3381D" w:rsidRDefault="00E3381D" w:rsidP="007C5949">
            <w:pPr>
              <w:numPr>
                <w:ilvl w:val="12"/>
                <w:numId w:val="0"/>
              </w:numPr>
              <w:ind w:left="540" w:right="-72" w:hanging="540"/>
              <w:jc w:val="both"/>
            </w:pPr>
          </w:p>
          <w:p w:rsidR="00E3381D" w:rsidRDefault="00E3381D" w:rsidP="00E3381D">
            <w:pPr>
              <w:numPr>
                <w:ilvl w:val="0"/>
                <w:numId w:val="27"/>
              </w:numPr>
              <w:ind w:right="-72"/>
              <w:jc w:val="both"/>
            </w:pPr>
            <w:r>
              <w:t>Vingt (20) pour cent du Montant du Marché seront versés lors de l’approbation du rapport final.</w:t>
            </w:r>
          </w:p>
          <w:p w:rsidR="00E3381D" w:rsidRDefault="00E3381D" w:rsidP="007C5949">
            <w:pPr>
              <w:numPr>
                <w:ilvl w:val="12"/>
                <w:numId w:val="0"/>
              </w:numPr>
              <w:ind w:left="540" w:right="-72" w:hanging="540"/>
              <w:jc w:val="both"/>
            </w:pPr>
          </w:p>
          <w:p w:rsidR="00E3381D" w:rsidRDefault="00E3381D" w:rsidP="00E3381D">
            <w:pPr>
              <w:numPr>
                <w:ilvl w:val="0"/>
                <w:numId w:val="27"/>
              </w:numPr>
              <w:ind w:right="-72"/>
              <w:jc w:val="both"/>
            </w:pPr>
            <w:r>
              <w:t>L’avance sera entièrement remboursée lorsque le montant total des paiements aura atteint quatre-vingt (80) pour cent du Montant du Marché.</w:t>
            </w:r>
          </w:p>
          <w:p w:rsidR="00E3381D" w:rsidRDefault="00E3381D" w:rsidP="007C5949">
            <w:pPr>
              <w:ind w:right="-72"/>
              <w:jc w:val="both"/>
            </w:pPr>
          </w:p>
          <w:p w:rsidR="00E3381D" w:rsidRDefault="00E3381D" w:rsidP="007C5949">
            <w:pPr>
              <w:ind w:right="-72"/>
              <w:jc w:val="both"/>
            </w:pPr>
            <w:r>
              <w:rPr>
                <w:b/>
                <w:i/>
              </w:rPr>
              <w:t>Note</w:t>
            </w:r>
            <w:r>
              <w:rPr>
                <w:i/>
              </w:rPr>
              <w:t>: Cette Clause devra être adaptée à chaque marché.</w:t>
            </w:r>
          </w:p>
          <w:p w:rsidR="00E3381D" w:rsidRDefault="00E3381D" w:rsidP="007C5949">
            <w:pPr>
              <w:ind w:right="-72"/>
              <w:jc w:val="both"/>
            </w:pPr>
          </w:p>
        </w:tc>
      </w:tr>
      <w:tr w:rsidR="00E3381D" w:rsidTr="007C5949">
        <w:tc>
          <w:tcPr>
            <w:tcW w:w="2160" w:type="dxa"/>
          </w:tcPr>
          <w:p w:rsidR="00E3381D" w:rsidRDefault="00E3381D" w:rsidP="007C5949">
            <w:pPr>
              <w:rPr>
                <w:b/>
              </w:rPr>
            </w:pPr>
            <w:r>
              <w:rPr>
                <w:b/>
              </w:rPr>
              <w:lastRenderedPageBreak/>
              <w:t>6.5</w:t>
            </w:r>
          </w:p>
        </w:tc>
        <w:tc>
          <w:tcPr>
            <w:tcW w:w="7308" w:type="dxa"/>
          </w:tcPr>
          <w:p w:rsidR="00E3381D" w:rsidRPr="00D74080" w:rsidRDefault="00E3381D" w:rsidP="007C5949">
            <w:pPr>
              <w:ind w:right="-72"/>
              <w:jc w:val="both"/>
            </w:pPr>
            <w:r>
              <w:t xml:space="preserve">Le taux d’intérêt moratoires des paiements dus au consultant par l’Autorité contractante </w:t>
            </w:r>
            <w:r w:rsidRPr="00D74080">
              <w:t xml:space="preserve">est </w:t>
            </w:r>
            <w:r w:rsidRPr="00D74080">
              <w:rPr>
                <w:i/>
                <w:sz w:val="20"/>
              </w:rPr>
              <w:t>[taux fixé par arrêté du Ministre chargé des Finances]</w:t>
            </w:r>
            <w:r w:rsidRPr="00D74080">
              <w:t>.</w:t>
            </w:r>
          </w:p>
          <w:p w:rsidR="00E3381D" w:rsidRDefault="00E3381D" w:rsidP="007C5949">
            <w:pPr>
              <w:ind w:right="-72"/>
              <w:jc w:val="both"/>
            </w:pPr>
          </w:p>
        </w:tc>
      </w:tr>
      <w:tr w:rsidR="00E3381D" w:rsidTr="007C5949">
        <w:tc>
          <w:tcPr>
            <w:tcW w:w="2160" w:type="dxa"/>
          </w:tcPr>
          <w:p w:rsidR="00E3381D" w:rsidRDefault="00E3381D" w:rsidP="007C5949">
            <w:pPr>
              <w:rPr>
                <w:b/>
              </w:rPr>
            </w:pPr>
            <w:r>
              <w:rPr>
                <w:b/>
              </w:rPr>
              <w:t>8.2</w:t>
            </w:r>
          </w:p>
        </w:tc>
        <w:tc>
          <w:tcPr>
            <w:tcW w:w="7308" w:type="dxa"/>
          </w:tcPr>
          <w:p w:rsidR="00E3381D" w:rsidRDefault="00E3381D" w:rsidP="007C5949">
            <w:pPr>
              <w:ind w:right="-72"/>
              <w:jc w:val="both"/>
            </w:pPr>
            <w:r>
              <w:rPr>
                <w:i/>
                <w:iCs/>
              </w:rPr>
              <w:t xml:space="preserve"> «La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prévues par l'Acte Uniforme de l'OHADA relatif à l'arbitrage</w:t>
            </w:r>
            <w:r>
              <w:rPr>
                <w:i/>
                <w:iCs/>
              </w:rPr>
              <w:t> ».</w:t>
            </w:r>
          </w:p>
        </w:tc>
      </w:tr>
    </w:tbl>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ind w:right="900"/>
        <w:jc w:val="center"/>
      </w:pPr>
    </w:p>
    <w:p w:rsidR="00E3381D" w:rsidRDefault="00E3381D" w:rsidP="00E3381D">
      <w:pPr>
        <w:pStyle w:val="A2-heading1"/>
      </w:pPr>
      <w:bookmarkStart w:id="334" w:name="_Toc356621478"/>
      <w:bookmarkStart w:id="335" w:name="_Toc72514810"/>
      <w:bookmarkStart w:id="336" w:name="_Toc72515207"/>
      <w:bookmarkStart w:id="337" w:name="_Toc319537986"/>
      <w:r>
        <w:lastRenderedPageBreak/>
        <w:t>IV. Annexes</w:t>
      </w:r>
      <w:bookmarkEnd w:id="334"/>
      <w:bookmarkEnd w:id="335"/>
      <w:bookmarkEnd w:id="336"/>
      <w:bookmarkEnd w:id="337"/>
    </w:p>
    <w:p w:rsidR="00E3381D" w:rsidRDefault="00E3381D" w:rsidP="00E3381D"/>
    <w:p w:rsidR="00E3381D" w:rsidRDefault="00E3381D" w:rsidP="00E3381D">
      <w:pPr>
        <w:pStyle w:val="A2-heading2"/>
      </w:pPr>
      <w:bookmarkStart w:id="338" w:name="_Toc356621479"/>
      <w:bookmarkStart w:id="339" w:name="_Toc72514811"/>
      <w:bookmarkStart w:id="340" w:name="_Toc72515208"/>
      <w:bookmarkStart w:id="341" w:name="_Toc319537987"/>
      <w:r>
        <w:t>Annexe A—Description des Prestations</w:t>
      </w:r>
      <w:bookmarkEnd w:id="338"/>
      <w:bookmarkEnd w:id="339"/>
      <w:bookmarkEnd w:id="340"/>
      <w:bookmarkEnd w:id="341"/>
    </w:p>
    <w:p w:rsidR="00E3381D" w:rsidRDefault="00E3381D" w:rsidP="00E3381D"/>
    <w:p w:rsidR="00E3381D" w:rsidRDefault="00E3381D" w:rsidP="00E3381D">
      <w:pPr>
        <w:ind w:right="900"/>
        <w:jc w:val="center"/>
        <w:rPr>
          <w:i/>
        </w:rPr>
      </w:pPr>
      <w:r>
        <w:rPr>
          <w:b/>
          <w:i/>
        </w:rPr>
        <w:t>Note :</w:t>
      </w:r>
      <w:r>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pStyle w:val="A2-heading2"/>
      </w:pPr>
      <w:bookmarkStart w:id="342" w:name="_Toc356621480"/>
      <w:bookmarkStart w:id="343" w:name="_Toc72514812"/>
      <w:bookmarkStart w:id="344" w:name="_Toc72515209"/>
      <w:bookmarkStart w:id="345" w:name="_Toc319537988"/>
      <w:r>
        <w:lastRenderedPageBreak/>
        <w:t>Annexe B—Rapports</w:t>
      </w:r>
      <w:bookmarkEnd w:id="342"/>
      <w:bookmarkEnd w:id="343"/>
      <w:bookmarkEnd w:id="344"/>
      <w:bookmarkEnd w:id="345"/>
    </w:p>
    <w:p w:rsidR="00E3381D" w:rsidRDefault="00E3381D" w:rsidP="00E3381D"/>
    <w:p w:rsidR="00E3381D" w:rsidRDefault="00E3381D" w:rsidP="00E3381D">
      <w:pPr>
        <w:ind w:right="900"/>
        <w:jc w:val="center"/>
        <w:rPr>
          <w:i/>
        </w:rPr>
      </w:pPr>
      <w:r>
        <w:rPr>
          <w:b/>
          <w:i/>
        </w:rPr>
        <w:t>Note :</w:t>
      </w:r>
      <w:r>
        <w:rPr>
          <w:i/>
        </w:rPr>
        <w:t xml:space="preserve"> Indiquer le format, la fréquence, le contenu, les dates de remise, les destinataires des rapports, etc.</w:t>
      </w: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pStyle w:val="A2-heading2"/>
      </w:pPr>
      <w:bookmarkStart w:id="346" w:name="_Toc356621481"/>
      <w:bookmarkStart w:id="347" w:name="_Toc72514813"/>
      <w:bookmarkStart w:id="348" w:name="_Toc72515210"/>
      <w:bookmarkStart w:id="349" w:name="_Toc319537989"/>
      <w:r>
        <w:lastRenderedPageBreak/>
        <w:t>Annexe C—Personnel Clé et Sous-traitants</w:t>
      </w:r>
      <w:bookmarkEnd w:id="346"/>
      <w:bookmarkEnd w:id="347"/>
      <w:bookmarkEnd w:id="348"/>
      <w:bookmarkEnd w:id="349"/>
    </w:p>
    <w:p w:rsidR="00E3381D" w:rsidRDefault="00E3381D" w:rsidP="00E3381D">
      <w:pPr>
        <w:pStyle w:val="BankNormal"/>
        <w:spacing w:after="0"/>
      </w:pPr>
    </w:p>
    <w:p w:rsidR="00E3381D" w:rsidRDefault="00E3381D" w:rsidP="00E3381D">
      <w:pPr>
        <w:ind w:left="2160" w:hanging="2160"/>
        <w:rPr>
          <w:i/>
        </w:rPr>
      </w:pPr>
      <w:r>
        <w:rPr>
          <w:b/>
          <w:i/>
        </w:rPr>
        <w:t xml:space="preserve">Note : </w:t>
      </w:r>
      <w:r>
        <w:rPr>
          <w:i/>
        </w:rPr>
        <w:t>Porter sous:</w:t>
      </w:r>
    </w:p>
    <w:p w:rsidR="00E3381D" w:rsidRDefault="00E3381D" w:rsidP="00E3381D">
      <w:pPr>
        <w:ind w:left="2160" w:hanging="2160"/>
        <w:rPr>
          <w:i/>
        </w:rPr>
      </w:pPr>
    </w:p>
    <w:p w:rsidR="00E3381D" w:rsidRPr="00D74080" w:rsidRDefault="00E3381D" w:rsidP="00E3381D">
      <w:pPr>
        <w:ind w:left="720" w:hanging="720"/>
        <w:rPr>
          <w:i/>
        </w:rPr>
      </w:pPr>
      <w:r>
        <w:rPr>
          <w:i/>
        </w:rPr>
        <w:t>C-1</w:t>
      </w:r>
      <w:r>
        <w:rPr>
          <w:i/>
        </w:rPr>
        <w:tab/>
        <w:t xml:space="preserve">Les titres [et noms, si possible], une description détaillée des taches et qualifications minimales du Personnel clé </w:t>
      </w:r>
      <w:r w:rsidRPr="00D74080">
        <w:rPr>
          <w:i/>
        </w:rPr>
        <w:t>appelé à travailler au Togo</w:t>
      </w:r>
      <w:r>
        <w:rPr>
          <w:i/>
        </w:rPr>
        <w:t xml:space="preserve"> </w:t>
      </w:r>
      <w:r w:rsidRPr="00D74080">
        <w:rPr>
          <w:i/>
        </w:rPr>
        <w:t>et l’estimatif du nombre de mois de travail de chacun d’entre eux</w:t>
      </w:r>
    </w:p>
    <w:p w:rsidR="00E3381D" w:rsidRDefault="00E3381D" w:rsidP="00E3381D">
      <w:pPr>
        <w:ind w:left="720" w:hanging="720"/>
        <w:rPr>
          <w:i/>
        </w:rPr>
      </w:pPr>
    </w:p>
    <w:p w:rsidR="00E3381D" w:rsidRDefault="00E3381D" w:rsidP="00E3381D">
      <w:pPr>
        <w:ind w:right="900"/>
        <w:jc w:val="center"/>
        <w:rPr>
          <w:i/>
        </w:rPr>
      </w:pPr>
      <w:r>
        <w:rPr>
          <w:i/>
        </w:rPr>
        <w:t>C-2</w:t>
      </w:r>
      <w:r>
        <w:rPr>
          <w:i/>
        </w:rPr>
        <w:tab/>
        <w:t>Les mêmes informations qu’en C-1 pour le Personnel clé appelé à travailler en dehors du Togo.</w:t>
      </w: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pStyle w:val="A2-heading2"/>
      </w:pPr>
      <w:bookmarkStart w:id="350" w:name="_Toc356621482"/>
      <w:bookmarkStart w:id="351" w:name="_Toc72514814"/>
      <w:bookmarkStart w:id="352" w:name="_Toc72515211"/>
      <w:bookmarkStart w:id="353" w:name="_Toc319537990"/>
      <w:r>
        <w:lastRenderedPageBreak/>
        <w:t>Annexe D—Ventilation du Prix du Marché</w:t>
      </w:r>
      <w:bookmarkEnd w:id="350"/>
      <w:bookmarkEnd w:id="351"/>
      <w:bookmarkEnd w:id="352"/>
      <w:bookmarkEnd w:id="353"/>
    </w:p>
    <w:p w:rsidR="00E3381D" w:rsidRDefault="00E3381D" w:rsidP="00E3381D"/>
    <w:p w:rsidR="00E3381D" w:rsidRDefault="00E3381D" w:rsidP="00E3381D">
      <w:pPr>
        <w:rPr>
          <w:i/>
        </w:rPr>
      </w:pPr>
      <w:r>
        <w:rPr>
          <w:b/>
          <w:i/>
        </w:rPr>
        <w:t xml:space="preserve">Note : </w:t>
      </w:r>
      <w:r>
        <w:rPr>
          <w:i/>
        </w:rPr>
        <w:t>Indiquer ci-après les éléments de coûts du prix forfaitaire:</w:t>
      </w:r>
    </w:p>
    <w:p w:rsidR="00E3381D" w:rsidRDefault="00E3381D" w:rsidP="00E3381D">
      <w:pPr>
        <w:rPr>
          <w:i/>
        </w:rPr>
      </w:pPr>
    </w:p>
    <w:p w:rsidR="00E3381D" w:rsidRDefault="00E3381D" w:rsidP="00E3381D">
      <w:pPr>
        <w:ind w:left="1440" w:hanging="720"/>
        <w:rPr>
          <w:i/>
        </w:rPr>
      </w:pPr>
      <w:r>
        <w:rPr>
          <w:i/>
        </w:rPr>
        <w:t>1.</w:t>
      </w:r>
      <w:r>
        <w:rPr>
          <w:i/>
        </w:rPr>
        <w:tab/>
        <w:t>Taux mensuels du Personnel (Personnel clé et autres membres du Personnel).</w:t>
      </w:r>
    </w:p>
    <w:p w:rsidR="00E3381D" w:rsidRDefault="00E3381D" w:rsidP="00E3381D">
      <w:pPr>
        <w:ind w:left="1440" w:hanging="720"/>
        <w:rPr>
          <w:i/>
        </w:rPr>
      </w:pPr>
    </w:p>
    <w:p w:rsidR="00E3381D" w:rsidRDefault="00E3381D" w:rsidP="00E3381D">
      <w:pPr>
        <w:ind w:left="1440" w:hanging="720"/>
        <w:rPr>
          <w:i/>
        </w:rPr>
      </w:pPr>
      <w:r>
        <w:rPr>
          <w:i/>
        </w:rPr>
        <w:t>2.</w:t>
      </w:r>
      <w:r>
        <w:rPr>
          <w:i/>
        </w:rPr>
        <w:tab/>
        <w:t>Dépenses remboursables.</w:t>
      </w:r>
    </w:p>
    <w:p w:rsidR="00E3381D" w:rsidRDefault="00E3381D" w:rsidP="00E3381D">
      <w:pPr>
        <w:rPr>
          <w:i/>
        </w:rPr>
      </w:pPr>
    </w:p>
    <w:p w:rsidR="00E3381D" w:rsidRDefault="00E3381D" w:rsidP="00E3381D">
      <w:pPr>
        <w:ind w:right="900"/>
        <w:jc w:val="center"/>
        <w:rPr>
          <w:i/>
        </w:rPr>
      </w:pPr>
      <w:r>
        <w:rPr>
          <w:i/>
        </w:rPr>
        <w:t>La présente Annexe servira exclusivement à déterminer la rémunération d’éventuels services additionnels.</w:t>
      </w: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pStyle w:val="A2-heading2"/>
      </w:pPr>
      <w:bookmarkStart w:id="354" w:name="_Toc319537991"/>
      <w:r>
        <w:lastRenderedPageBreak/>
        <w:t>Annexe E. Services et Installations Fournis par l’Autorité contractante</w:t>
      </w:r>
      <w:bookmarkEnd w:id="354"/>
    </w:p>
    <w:p w:rsidR="00E3381D" w:rsidRDefault="00E3381D" w:rsidP="00E3381D">
      <w:pPr>
        <w:jc w:val="center"/>
        <w:rPr>
          <w:b/>
        </w:rPr>
      </w:pPr>
    </w:p>
    <w:p w:rsidR="00E3381D" w:rsidRDefault="00E3381D" w:rsidP="00E3381D">
      <w:pPr>
        <w:jc w:val="center"/>
        <w:rPr>
          <w:b/>
        </w:rPr>
      </w:pPr>
    </w:p>
    <w:p w:rsidR="00E3381D" w:rsidRDefault="00E3381D" w:rsidP="00E3381D">
      <w:pPr>
        <w:ind w:right="900"/>
        <w:jc w:val="center"/>
        <w:rPr>
          <w:i/>
        </w:rPr>
      </w:pPr>
      <w:r>
        <w:rPr>
          <w:i/>
        </w:rPr>
        <w:t>Note : Indiquer ci-dessous les services et installations devant être fournis au Consultant par l’Autorité contractante.</w:t>
      </w: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Default="00E3381D" w:rsidP="00E3381D">
      <w:pPr>
        <w:ind w:right="900"/>
        <w:jc w:val="center"/>
        <w:rPr>
          <w:i/>
        </w:rPr>
      </w:pPr>
    </w:p>
    <w:p w:rsidR="00E3381D" w:rsidRPr="00350FFB" w:rsidRDefault="00E3381D" w:rsidP="00E3381D">
      <w:pPr>
        <w:pStyle w:val="A2-heading2"/>
      </w:pPr>
      <w:bookmarkStart w:id="355" w:name="_Toc319537992"/>
      <w:r w:rsidRPr="00350FFB">
        <w:t>ANNEXE F – Modèle de remboursement d’avance (garantie bancaire)</w:t>
      </w:r>
      <w:bookmarkEnd w:id="355"/>
    </w:p>
    <w:p w:rsidR="00E3381D" w:rsidRDefault="00E3381D" w:rsidP="00E3381D">
      <w:pPr>
        <w:pStyle w:val="Footer"/>
        <w:tabs>
          <w:tab w:val="right" w:pos="9000"/>
        </w:tabs>
        <w:ind w:left="5220"/>
      </w:pPr>
      <w:r>
        <w:t xml:space="preserve">Date : </w:t>
      </w:r>
      <w:r>
        <w:tab/>
        <w:t>__________________________</w:t>
      </w:r>
    </w:p>
    <w:p w:rsidR="00E3381D" w:rsidRDefault="00E3381D" w:rsidP="00E3381D">
      <w:pPr>
        <w:rPr>
          <w:rFonts w:ascii="Arial" w:hAnsi="Arial"/>
          <w:sz w:val="22"/>
        </w:rPr>
      </w:pPr>
    </w:p>
    <w:p w:rsidR="00E3381D" w:rsidRDefault="00E3381D" w:rsidP="00E3381D">
      <w:pPr>
        <w:spacing w:after="200"/>
      </w:pPr>
      <w:r>
        <w:t xml:space="preserve">_____________________________ </w:t>
      </w:r>
      <w:r>
        <w:rPr>
          <w:sz w:val="20"/>
        </w:rPr>
        <w:t>[</w:t>
      </w:r>
      <w:r>
        <w:rPr>
          <w:i/>
          <w:sz w:val="20"/>
        </w:rPr>
        <w:t>nom de la banque et adresse de la banque d’émission</w:t>
      </w:r>
      <w:r>
        <w:rPr>
          <w:sz w:val="20"/>
        </w:rPr>
        <w:t>]</w:t>
      </w:r>
    </w:p>
    <w:p w:rsidR="00E3381D" w:rsidRDefault="00E3381D" w:rsidP="00E3381D">
      <w:pPr>
        <w:spacing w:after="200"/>
      </w:pPr>
      <w:r>
        <w:rPr>
          <w:b/>
        </w:rPr>
        <w:t>Bénéficiaire :</w:t>
      </w:r>
      <w:r>
        <w:t xml:space="preserve"> __________________ </w:t>
      </w:r>
      <w:r>
        <w:rPr>
          <w:sz w:val="20"/>
        </w:rPr>
        <w:t>[</w:t>
      </w:r>
      <w:r>
        <w:rPr>
          <w:i/>
          <w:sz w:val="20"/>
        </w:rPr>
        <w:t>nom et adresse de l’Autorité contractante</w:t>
      </w:r>
      <w:r>
        <w:rPr>
          <w:sz w:val="20"/>
        </w:rPr>
        <w:t>]</w:t>
      </w:r>
    </w:p>
    <w:p w:rsidR="00E3381D" w:rsidRDefault="00E3381D" w:rsidP="00E3381D">
      <w:pPr>
        <w:spacing w:after="200"/>
      </w:pPr>
      <w:r>
        <w:rPr>
          <w:b/>
        </w:rPr>
        <w:t>Date :</w:t>
      </w:r>
      <w:r>
        <w:t xml:space="preserve"> _______________</w:t>
      </w:r>
    </w:p>
    <w:p w:rsidR="00E3381D" w:rsidRDefault="00E3381D" w:rsidP="00E3381D">
      <w:pPr>
        <w:spacing w:after="200"/>
      </w:pPr>
      <w:r>
        <w:rPr>
          <w:b/>
        </w:rPr>
        <w:t>Garantie de restitution d’avance no. :</w:t>
      </w:r>
      <w:r>
        <w:t xml:space="preserve"> ________________</w:t>
      </w:r>
    </w:p>
    <w:p w:rsidR="00E3381D" w:rsidRDefault="00E3381D" w:rsidP="00E3381D">
      <w:pPr>
        <w:spacing w:after="200"/>
      </w:pPr>
      <w:r>
        <w:t xml:space="preserve">Nous avons été informés que ____________________ </w:t>
      </w:r>
      <w:r>
        <w:rPr>
          <w:sz w:val="20"/>
        </w:rPr>
        <w:t>[</w:t>
      </w:r>
      <w:r>
        <w:rPr>
          <w:i/>
          <w:sz w:val="20"/>
        </w:rPr>
        <w:t>nom du Consultant</w:t>
      </w:r>
      <w:r>
        <w:rPr>
          <w:sz w:val="20"/>
        </w:rPr>
        <w:t>]</w:t>
      </w:r>
      <w:r>
        <w:t xml:space="preserve"> (ci-après dénommé « le Consultant ») a conclu avec vous le Marché no. ________________ </w:t>
      </w:r>
      <w:proofErr w:type="gramStart"/>
      <w:r>
        <w:t>en</w:t>
      </w:r>
      <w:proofErr w:type="gramEnd"/>
      <w:r>
        <w:t xml:space="preserve"> date du ______________ pour l’exécution _____________________  </w:t>
      </w:r>
      <w:r>
        <w:rPr>
          <w:sz w:val="20"/>
        </w:rPr>
        <w:t>[</w:t>
      </w:r>
      <w:r>
        <w:rPr>
          <w:i/>
          <w:sz w:val="20"/>
        </w:rPr>
        <w:t>nom du marché et description des prestations</w:t>
      </w:r>
      <w:r>
        <w:rPr>
          <w:sz w:val="20"/>
        </w:rPr>
        <w:t>]</w:t>
      </w:r>
      <w:r>
        <w:t xml:space="preserve"> (ci-après dénommé « le Marché »).</w:t>
      </w:r>
    </w:p>
    <w:p w:rsidR="00E3381D" w:rsidRDefault="00E3381D" w:rsidP="00E3381D">
      <w:pPr>
        <w:spacing w:after="200"/>
      </w:pPr>
      <w:r>
        <w:t xml:space="preserve">De plus, nous comprenons qu’en vertu des conditions du Marché, une avance au montant de ___________ </w:t>
      </w:r>
      <w:r>
        <w:rPr>
          <w:sz w:val="20"/>
        </w:rPr>
        <w:t>[</w:t>
      </w:r>
      <w:r>
        <w:rPr>
          <w:i/>
          <w:sz w:val="20"/>
        </w:rPr>
        <w:t>Insérer la somme en chiffres</w:t>
      </w:r>
      <w:r>
        <w:rPr>
          <w:sz w:val="20"/>
        </w:rPr>
        <w:t>]</w:t>
      </w:r>
      <w:r>
        <w:t xml:space="preserve"> ____________</w:t>
      </w:r>
      <w:proofErr w:type="gramStart"/>
      <w:r>
        <w:t>_</w:t>
      </w:r>
      <w:r>
        <w:rPr>
          <w:sz w:val="20"/>
        </w:rPr>
        <w:t>[</w:t>
      </w:r>
      <w:proofErr w:type="gramEnd"/>
      <w:r>
        <w:rPr>
          <w:i/>
          <w:sz w:val="20"/>
        </w:rPr>
        <w:t>Insérer la somme en lettres</w:t>
      </w:r>
      <w:r>
        <w:rPr>
          <w:sz w:val="20"/>
        </w:rPr>
        <w:t>]</w:t>
      </w:r>
      <w:r>
        <w:t xml:space="preserve"> est versée contre une garantie de restitution d’avance.</w:t>
      </w:r>
    </w:p>
    <w:p w:rsidR="00E3381D" w:rsidRDefault="00E3381D" w:rsidP="00E3381D">
      <w:pPr>
        <w:spacing w:after="200"/>
      </w:pPr>
      <w:r>
        <w:t xml:space="preserve">A la demande du Consultant, nous _________________ </w:t>
      </w:r>
      <w:r>
        <w:rPr>
          <w:sz w:val="20"/>
        </w:rPr>
        <w:t>[</w:t>
      </w:r>
      <w:r>
        <w:rPr>
          <w:i/>
          <w:sz w:val="20"/>
        </w:rPr>
        <w:t>nom de la banque</w:t>
      </w:r>
      <w:r>
        <w:rPr>
          <w:sz w:val="20"/>
        </w:rPr>
        <w:t>]</w:t>
      </w:r>
      <w:r>
        <w:t xml:space="preserve"> nous engageons par la présente, sans réserve et irrévocablement, à vous payer à première demande, toutes sommes d’argent que vous pourriez réclamer dans la limite de _____________ </w:t>
      </w:r>
      <w:r>
        <w:rPr>
          <w:sz w:val="20"/>
        </w:rPr>
        <w:t>[</w:t>
      </w:r>
      <w:r>
        <w:rPr>
          <w:i/>
          <w:sz w:val="20"/>
        </w:rPr>
        <w:t>Insérer la somme en chiffres</w:t>
      </w:r>
      <w:r>
        <w:rPr>
          <w:sz w:val="20"/>
        </w:rPr>
        <w:t>]</w:t>
      </w:r>
      <w:r>
        <w:t xml:space="preserve"> _____________</w:t>
      </w:r>
      <w:r>
        <w:rPr>
          <w:sz w:val="20"/>
        </w:rPr>
        <w:t>[</w:t>
      </w:r>
      <w:r>
        <w:rPr>
          <w:i/>
          <w:sz w:val="20"/>
        </w:rPr>
        <w:t>Insérer la somme en lettres</w:t>
      </w:r>
      <w:r>
        <w:rPr>
          <w:sz w:val="20"/>
        </w:rPr>
        <w:t>]</w:t>
      </w:r>
      <w:r>
        <w:rPr>
          <w:rStyle w:val="FootnoteReference"/>
        </w:rPr>
        <w:footnoteReference w:id="10"/>
      </w:r>
      <w:r>
        <w:t xml:space="preserve">.  Votre demande en paiement doit être accompagnée d’une déclaration attestant que le Consultant ne se conforme pas aux conditions du Marché parce qu’il a utilisé l’avance à d’autres fins </w:t>
      </w:r>
      <w:r>
        <w:rPr>
          <w:spacing w:val="-3"/>
        </w:rPr>
        <w:t>que la Prestation des services stipulée dans le Contrat</w:t>
      </w:r>
      <w:r>
        <w:t>.</w:t>
      </w:r>
    </w:p>
    <w:p w:rsidR="00E3381D" w:rsidRDefault="00E3381D" w:rsidP="00E3381D">
      <w:pPr>
        <w:spacing w:after="200"/>
      </w:pPr>
      <w:r>
        <w:t xml:space="preserve">Toute demande et paiement au titre de la présente garantie est conditionnelle à la réception par le Consultant de l’avance mentionnée plus haut dans son compte portant le numéro ______________ à __________________ </w:t>
      </w:r>
      <w:r>
        <w:rPr>
          <w:sz w:val="20"/>
        </w:rPr>
        <w:t>[</w:t>
      </w:r>
      <w:r>
        <w:rPr>
          <w:i/>
          <w:sz w:val="20"/>
        </w:rPr>
        <w:t>nom et adresse de la banque</w:t>
      </w:r>
      <w:r>
        <w:rPr>
          <w:sz w:val="20"/>
        </w:rPr>
        <w:t>]</w:t>
      </w:r>
      <w:r>
        <w:t>.</w:t>
      </w:r>
    </w:p>
    <w:p w:rsidR="00E3381D" w:rsidRDefault="00E3381D" w:rsidP="00E3381D">
      <w:r w:rsidRPr="003A7A68">
        <w:t>Le montant maximum de cette garantie sera progressivement réduit du montant de l'avance de paiement remboursé par le Consultant et indiqué sur le relevé mensuel certifié qui nous sera présenté. La garantie s'éteindra, au plus tard, soit sur réception par nous du certificat mensuel de paiement indiquant que le Consultant a versé la totalité du montant de l'avance. Par conséquent,</w:t>
      </w:r>
      <w:r>
        <w:t xml:space="preserve"> toute demande de paiement doit être reçue au plus tard à cette date.</w:t>
      </w:r>
    </w:p>
    <w:p w:rsidR="00E3381D" w:rsidRDefault="00E3381D" w:rsidP="00E3381D"/>
    <w:p w:rsidR="00E3381D" w:rsidRDefault="00E3381D" w:rsidP="00E3381D">
      <w:r>
        <w:t>La présente garantie de soumission doit être établie en conformité avec l’Acte Uniforme OHADA portant organisation des suretés du 17 avril 1997, dont les articles 29 et 30 sont respectivement relatifs aux règles de formation de la lettre de garantie et à ses mentions obligatoires.</w:t>
      </w:r>
    </w:p>
    <w:p w:rsidR="00E3381D" w:rsidRDefault="00E3381D" w:rsidP="00E3381D">
      <w:r>
        <w:t>_____________________</w:t>
      </w:r>
    </w:p>
    <w:p w:rsidR="00E3381D" w:rsidRDefault="00E3381D" w:rsidP="00E3381D"/>
    <w:p w:rsidR="00E3381D" w:rsidRDefault="00E3381D" w:rsidP="00E3381D">
      <w:r>
        <w:t>Signature</w:t>
      </w:r>
    </w:p>
    <w:p w:rsidR="00E3381D" w:rsidRDefault="00E3381D" w:rsidP="00E3381D">
      <w:pPr>
        <w:tabs>
          <w:tab w:val="right" w:pos="9000"/>
        </w:tabs>
        <w:rPr>
          <w:b/>
          <w:i/>
        </w:rPr>
      </w:pPr>
    </w:p>
    <w:p w:rsidR="00E3381D" w:rsidRDefault="00E3381D" w:rsidP="00E3381D">
      <w:pPr>
        <w:ind w:right="900"/>
        <w:jc w:val="center"/>
      </w:pPr>
    </w:p>
    <w:sectPr w:rsidR="00E3381D" w:rsidSect="00971CFD">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14628" w:rsidRDefault="00014628" w:rsidP="0072638E">
      <w:r>
        <w:separator/>
      </w:r>
    </w:p>
  </w:endnote>
  <w:endnote w:type="continuationSeparator" w:id="0">
    <w:p w:rsidR="00014628" w:rsidRDefault="00014628" w:rsidP="007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Kunstler Script">
    <w:altName w:val="Zapfino"/>
    <w:charset w:val="00"/>
    <w:family w:val="script"/>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97"/>
      <w:docPartObj>
        <w:docPartGallery w:val="Page Numbers (Bottom of Page)"/>
        <w:docPartUnique/>
      </w:docPartObj>
    </w:sdtPr>
    <w:sdtEndPr/>
    <w:sdtContent>
      <w:p w:rsidR="00014628" w:rsidRDefault="007400C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14628" w:rsidRDefault="000146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14628" w:rsidRDefault="00014628" w:rsidP="0072638E">
      <w:r>
        <w:separator/>
      </w:r>
    </w:p>
  </w:footnote>
  <w:footnote w:type="continuationSeparator" w:id="0">
    <w:p w:rsidR="00014628" w:rsidRDefault="00014628" w:rsidP="0072638E">
      <w:r>
        <w:continuationSeparator/>
      </w:r>
    </w:p>
  </w:footnote>
  <w:footnote w:id="1">
    <w:p w:rsidR="00014628" w:rsidRDefault="00014628" w:rsidP="00C276F3">
      <w:pPr>
        <w:pStyle w:val="FootnoteText"/>
        <w:ind w:left="360" w:hanging="360"/>
        <w:jc w:val="both"/>
      </w:pPr>
      <w:r>
        <w:rPr>
          <w:rStyle w:val="FootnoteReference"/>
        </w:rPr>
        <w:t>2</w:t>
      </w:r>
      <w:r>
        <w:tab/>
        <w:t>[</w:t>
      </w:r>
      <w:r>
        <w:rPr>
          <w:i/>
        </w:rPr>
        <w:t xml:space="preserve">Supprimer si aucune </w:t>
      </w:r>
      <w:r>
        <w:t xml:space="preserve">cotraitance </w:t>
      </w:r>
      <w:r>
        <w:rPr>
          <w:i/>
        </w:rPr>
        <w:t>n’est envisagée</w:t>
      </w:r>
      <w:r>
        <w:t>]</w:t>
      </w:r>
    </w:p>
  </w:footnote>
  <w:footnote w:id="2">
    <w:p w:rsidR="00014628" w:rsidRDefault="00014628" w:rsidP="008014AA">
      <w:pPr>
        <w:pStyle w:val="FootnoteText"/>
        <w:ind w:left="360" w:hanging="360"/>
        <w:jc w:val="both"/>
      </w:pPr>
      <w:r>
        <w:rPr>
          <w:noProof/>
          <w:lang w:val="en-US"/>
        </w:rPr>
        <w:drawing>
          <wp:inline distT="0" distB="0" distL="0" distR="0">
            <wp:extent cx="466725" cy="95250"/>
            <wp:effectExtent l="0" t="0" r="9525"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rsidR="00014628" w:rsidRDefault="00014628" w:rsidP="008014AA">
      <w:pPr>
        <w:pStyle w:val="FootnoteText"/>
        <w:ind w:left="360" w:hanging="360"/>
        <w:jc w:val="both"/>
      </w:pPr>
      <w:r>
        <w:rPr>
          <w:noProof/>
          <w:lang w:val="en-US"/>
        </w:rPr>
        <w:drawing>
          <wp:inline distT="0" distB="0" distL="0" distR="0">
            <wp:extent cx="466725" cy="95250"/>
            <wp:effectExtent l="0" t="0" r="9525"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rsidR="00014628" w:rsidRDefault="00014628" w:rsidP="008014AA">
      <w:pPr>
        <w:pStyle w:val="FootnoteText"/>
        <w:ind w:left="360" w:hanging="360"/>
        <w:jc w:val="both"/>
      </w:pPr>
      <w:r>
        <w:rPr>
          <w:rStyle w:val="FootnoteReference"/>
        </w:rPr>
        <w:t>1</w:t>
      </w:r>
      <w:r>
        <w:tab/>
        <w:t>Pour le personnel-clé, les informations doivent être données individuellement voir nommément. Pour le personnel d’appui, les informations doivent être données par catégorie (par ex. : dessinateur, administratif, etc.)</w:t>
      </w:r>
    </w:p>
  </w:footnote>
  <w:footnote w:id="3">
    <w:p w:rsidR="00014628" w:rsidRDefault="00014628" w:rsidP="008014AA">
      <w:pPr>
        <w:pStyle w:val="FootnoteText"/>
        <w:ind w:left="360" w:hanging="360"/>
        <w:jc w:val="both"/>
      </w:pPr>
      <w:r>
        <w:rPr>
          <w:rStyle w:val="FootnoteReference"/>
        </w:rPr>
        <w:t>2</w:t>
      </w:r>
      <w:r>
        <w:tab/>
        <w:t>Les mois sont comptés à partir du début de la mission. Pour chaque agent indiquer séparément affectation au siège ou sur le terrain.</w:t>
      </w:r>
    </w:p>
  </w:footnote>
  <w:footnote w:id="4">
    <w:p w:rsidR="00014628" w:rsidRDefault="00014628" w:rsidP="008014AA">
      <w:pPr>
        <w:pStyle w:val="FootnoteText"/>
        <w:ind w:left="360" w:hanging="360"/>
        <w:jc w:val="both"/>
      </w:pPr>
      <w:r>
        <w:rPr>
          <w:rStyle w:val="FootnoteReference"/>
        </w:rPr>
        <w:t>3</w:t>
      </w:r>
      <w:r>
        <w:tab/>
        <w:t>Travail sur le terrain signifie travail exécuté en dehors du siège du Consultant</w:t>
      </w:r>
    </w:p>
  </w:footnote>
  <w:footnote w:id="5">
    <w:p w:rsidR="00014628" w:rsidRDefault="00014628" w:rsidP="008014AA">
      <w:pPr>
        <w:pStyle w:val="FootnoteText"/>
        <w:ind w:left="360" w:hanging="360"/>
        <w:jc w:val="both"/>
      </w:pPr>
      <w:r>
        <w:rPr>
          <w:rStyle w:val="FootnoteReference"/>
        </w:rPr>
        <w:t>1</w:t>
      </w:r>
      <w:r>
        <w:tab/>
        <w:t>Les montants doivent correspondre aux montants indiqués dans le Coût total de la Proposition financière du formulaire FIN-2.</w:t>
      </w:r>
    </w:p>
  </w:footnote>
  <w:footnote w:id="6">
    <w:p w:rsidR="00014628" w:rsidRDefault="00014628" w:rsidP="008014AA">
      <w:pPr>
        <w:pStyle w:val="FootnoteText"/>
        <w:tabs>
          <w:tab w:val="left" w:pos="360"/>
        </w:tabs>
        <w:ind w:left="360" w:hanging="360"/>
      </w:pPr>
      <w:r>
        <w:rPr>
          <w:rStyle w:val="FootnoteReference"/>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7">
    <w:p w:rsidR="00014628" w:rsidRDefault="00014628" w:rsidP="00EE5CB4">
      <w:pPr>
        <w:pStyle w:val="FootnoteText"/>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rsidR="00014628" w:rsidRDefault="00014628" w:rsidP="00EE5CB4">
      <w:pPr>
        <w:pStyle w:val="FootnoteText"/>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rsidR="00014628" w:rsidRDefault="00014628" w:rsidP="00EE5CB4">
      <w:pPr>
        <w:pStyle w:val="FootnoteText"/>
        <w:numPr>
          <w:ilvl w:val="0"/>
          <w:numId w:val="26"/>
        </w:numPr>
        <w:jc w:val="both"/>
        <w:rPr>
          <w:sz w:val="16"/>
        </w:rPr>
      </w:pPr>
      <w:r>
        <w:rPr>
          <w:sz w:val="16"/>
        </w:rPr>
        <w:t>Les postes du Personnel professionnel doivent correspondre à ceux indiqués dans le Formulaire TECH-5.</w:t>
      </w:r>
    </w:p>
    <w:p w:rsidR="00014628" w:rsidRDefault="00014628" w:rsidP="00EE5CB4">
      <w:pPr>
        <w:pStyle w:val="FootnoteText"/>
        <w:numPr>
          <w:ilvl w:val="0"/>
          <w:numId w:val="26"/>
        </w:numPr>
        <w:jc w:val="both"/>
        <w:rPr>
          <w:sz w:val="16"/>
        </w:rPr>
      </w:pPr>
      <w:r>
        <w:rPr>
          <w:sz w:val="16"/>
        </w:rPr>
        <w:t>Indiquer séparément le taux de personnel/mois pour le travail au siège et sur le terrain.</w:t>
      </w:r>
    </w:p>
    <w:p w:rsidR="00014628" w:rsidRDefault="00014628" w:rsidP="00EE5CB4">
      <w:pPr>
        <w:pStyle w:val="FootnoteText"/>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rsidR="00014628" w:rsidRDefault="00014628" w:rsidP="00EE5CB4">
      <w:pPr>
        <w:pStyle w:val="FootnoteText"/>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8">
    <w:p w:rsidR="00014628" w:rsidRDefault="00014628" w:rsidP="00971CFD">
      <w:pPr>
        <w:pStyle w:val="FootnoteText"/>
        <w:tabs>
          <w:tab w:val="left" w:pos="270"/>
        </w:tabs>
        <w:ind w:left="360" w:hanging="360"/>
        <w:jc w:val="both"/>
        <w:rPr>
          <w:sz w:val="16"/>
        </w:rPr>
      </w:pPr>
      <w:r>
        <w:rPr>
          <w:sz w:val="16"/>
        </w:rPr>
        <w:t>1</w:t>
      </w:r>
      <w:r>
        <w:tab/>
      </w:r>
      <w:r>
        <w:rPr>
          <w:sz w:val="16"/>
        </w:rPr>
        <w:t>Le Formulaire FIN-5 doit être complété le cas échant pour chaque Formulaire FIN-3 fourni.</w:t>
      </w:r>
    </w:p>
    <w:p w:rsidR="00014628" w:rsidRDefault="00014628" w:rsidP="00971CFD">
      <w:pPr>
        <w:pStyle w:val="FootnoteText"/>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rsidR="00014628" w:rsidRDefault="00014628" w:rsidP="00971CFD">
      <w:pPr>
        <w:pStyle w:val="FootnoteText"/>
        <w:tabs>
          <w:tab w:val="left" w:pos="270"/>
        </w:tabs>
        <w:ind w:left="360" w:hanging="360"/>
        <w:jc w:val="both"/>
        <w:rPr>
          <w:sz w:val="16"/>
        </w:rPr>
      </w:pPr>
      <w:r>
        <w:rPr>
          <w:sz w:val="16"/>
        </w:rPr>
        <w:t xml:space="preserve">3  </w:t>
      </w:r>
      <w:r>
        <w:rPr>
          <w:sz w:val="16"/>
        </w:rPr>
        <w:tab/>
        <w:t>Indiquer le coût unitaire.</w:t>
      </w:r>
    </w:p>
    <w:p w:rsidR="00014628" w:rsidRDefault="00014628" w:rsidP="00971CFD">
      <w:pPr>
        <w:pStyle w:val="FootnoteText"/>
        <w:tabs>
          <w:tab w:val="left" w:pos="270"/>
        </w:tabs>
        <w:ind w:left="360" w:hanging="360"/>
        <w:jc w:val="both"/>
        <w:rPr>
          <w:sz w:val="16"/>
        </w:rPr>
      </w:pPr>
      <w:r>
        <w:rPr>
          <w:sz w:val="16"/>
        </w:rPr>
        <w:t xml:space="preserve">4  </w:t>
      </w:r>
      <w:r>
        <w:rPr>
          <w:sz w:val="16"/>
        </w:rPr>
        <w:tab/>
        <w:t>Indiquer le coût de chaque poste remboursable. Coût = coût unitaire x quantité</w:t>
      </w:r>
      <w:proofErr w:type="gramStart"/>
      <w:r>
        <w:rPr>
          <w:sz w:val="16"/>
        </w:rPr>
        <w:t>..</w:t>
      </w:r>
      <w:proofErr w:type="gramEnd"/>
    </w:p>
    <w:p w:rsidR="00014628" w:rsidRDefault="00014628" w:rsidP="00971CFD">
      <w:pPr>
        <w:pStyle w:val="FootnoteText"/>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roofErr w:type="gramStart"/>
      <w:r>
        <w:rPr>
          <w:sz w:val="16"/>
        </w:rPr>
        <w:t>..</w:t>
      </w:r>
      <w:proofErr w:type="gramEnd"/>
    </w:p>
    <w:p w:rsidR="00014628" w:rsidRDefault="00014628" w:rsidP="00971CFD">
      <w:pPr>
        <w:pStyle w:val="FootnoteText"/>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9">
    <w:p w:rsidR="00014628" w:rsidRDefault="00014628" w:rsidP="00FB6671">
      <w:pPr>
        <w:pStyle w:val="FootnoteText"/>
      </w:pPr>
      <w:r>
        <w:rPr>
          <w:rStyle w:val="FootnoteReference"/>
        </w:rPr>
        <w:footnoteRef/>
      </w:r>
      <w:r>
        <w:t xml:space="preserve"> </w:t>
      </w:r>
      <w:hyperlink r:id="rId3" w:history="1">
        <w:r w:rsidRPr="0043628A">
          <w:rPr>
            <w:rStyle w:val="Hyperlink"/>
          </w:rPr>
          <w:t>http://itietogo.org</w:t>
        </w:r>
      </w:hyperlink>
    </w:p>
    <w:p w:rsidR="00014628" w:rsidRDefault="00014628" w:rsidP="00FB6671">
      <w:pPr>
        <w:pStyle w:val="FootnoteText"/>
      </w:pPr>
    </w:p>
  </w:footnote>
  <w:footnote w:id="10">
    <w:p w:rsidR="00014628" w:rsidRDefault="00014628" w:rsidP="00E3381D">
      <w:pPr>
        <w:pStyle w:val="FootnoteText"/>
        <w:tabs>
          <w:tab w:val="left" w:pos="360"/>
        </w:tabs>
        <w:ind w:left="360" w:hanging="360"/>
      </w:pPr>
      <w:r>
        <w:rPr>
          <w:rStyle w:val="FootnoteReference"/>
        </w:rPr>
        <w:footnoteRef/>
      </w:r>
      <w:r>
        <w:rPr>
          <w:i/>
        </w:rPr>
        <w:tab/>
        <w:t>Le Garant doit Insérer un montant représentant l’avance sous forme de pourcentage du montant du Marché mentionné au Marché.</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461"/>
      </v:shape>
    </w:pict>
  </w:numPicBullet>
  <w:abstractNum w:abstractNumId="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2">
    <w:nsid w:val="05C92045"/>
    <w:multiLevelType w:val="hybridMultilevel"/>
    <w:tmpl w:val="00028962"/>
    <w:lvl w:ilvl="0" w:tplc="9D22BB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124B51"/>
    <w:multiLevelType w:val="hybridMultilevel"/>
    <w:tmpl w:val="72BE6A38"/>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4">
    <w:nsid w:val="09622005"/>
    <w:multiLevelType w:val="singleLevel"/>
    <w:tmpl w:val="169CB26C"/>
    <w:lvl w:ilvl="0">
      <w:start w:val="1"/>
      <w:numFmt w:val="decimal"/>
      <w:lvlText w:val="%1."/>
      <w:lvlJc w:val="left"/>
      <w:rPr>
        <w:rFonts w:ascii="Arial Unicode MS" w:eastAsia="Arial Unicode MS" w:hAnsi="Arial Unicode MS" w:cs="Arial Unicode MS" w:hint="eastAsia"/>
      </w:rPr>
    </w:lvl>
  </w:abstractNum>
  <w:abstractNum w:abstractNumId="5">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C47EE8"/>
    <w:multiLevelType w:val="hybridMultilevel"/>
    <w:tmpl w:val="C112406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3BD6D3F"/>
    <w:multiLevelType w:val="multilevel"/>
    <w:tmpl w:val="C890E84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84C47FA"/>
    <w:multiLevelType w:val="multilevel"/>
    <w:tmpl w:val="16CE5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73561E"/>
    <w:multiLevelType w:val="hybridMultilevel"/>
    <w:tmpl w:val="09B47E00"/>
    <w:lvl w:ilvl="0" w:tplc="FE8E325E">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13">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1B66EB2"/>
    <w:multiLevelType w:val="multilevel"/>
    <w:tmpl w:val="F1F60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6">
    <w:nsid w:val="2B562B5C"/>
    <w:multiLevelType w:val="hybridMultilevel"/>
    <w:tmpl w:val="F21497D4"/>
    <w:lvl w:ilvl="0" w:tplc="0809000F">
      <w:start w:val="1"/>
      <w:numFmt w:val="decimal"/>
      <w:lvlText w:val="%1."/>
      <w:lvlJc w:val="left"/>
      <w:pPr>
        <w:ind w:left="720" w:hanging="360"/>
      </w:pPr>
      <w:rPr>
        <w:rFonts w:hint="default"/>
      </w:rPr>
    </w:lvl>
    <w:lvl w:ilvl="1" w:tplc="2A205520">
      <w:start w:val="1"/>
      <w:numFmt w:val="bullet"/>
      <w:lvlText w:val=""/>
      <w:lvlJc w:val="left"/>
      <w:pPr>
        <w:ind w:left="1440" w:hanging="360"/>
      </w:pPr>
      <w:rPr>
        <w:rFonts w:ascii="Symbol" w:hAnsi="Symbol" w:hint="default"/>
        <w:color w:val="auto"/>
      </w:rPr>
    </w:lvl>
    <w:lvl w:ilvl="2" w:tplc="3110907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C43C1A"/>
    <w:multiLevelType w:val="hybridMultilevel"/>
    <w:tmpl w:val="D35E6FDA"/>
    <w:lvl w:ilvl="0" w:tplc="6200000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F63E64"/>
    <w:multiLevelType w:val="hybridMultilevel"/>
    <w:tmpl w:val="780E4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CCE232E"/>
    <w:multiLevelType w:val="hybridMultilevel"/>
    <w:tmpl w:val="F058E204"/>
    <w:lvl w:ilvl="0" w:tplc="48B60012">
      <w:start w:val="1"/>
      <w:numFmt w:val="decimal"/>
      <w:lvlText w:val="%1-"/>
      <w:lvlJc w:val="left"/>
      <w:pPr>
        <w:ind w:left="720" w:hanging="360"/>
      </w:pPr>
      <w:rPr>
        <w:rFonts w:ascii="Times New Roman" w:eastAsia="Arial Unicode MS" w:hAnsi="Arial"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F405E21"/>
    <w:multiLevelType w:val="multilevel"/>
    <w:tmpl w:val="A052ECB4"/>
    <w:lvl w:ilvl="0">
      <w:start w:val="2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765C46"/>
    <w:multiLevelType w:val="singleLevel"/>
    <w:tmpl w:val="2D4E6B2C"/>
    <w:lvl w:ilvl="0">
      <w:start w:val="1"/>
      <w:numFmt w:val="lowerLetter"/>
      <w:lvlText w:val="%1)"/>
      <w:lvlJc w:val="left"/>
      <w:pPr>
        <w:ind w:left="720" w:hanging="360"/>
      </w:pPr>
    </w:lvl>
  </w:abstractNum>
  <w:abstractNum w:abstractNumId="23">
    <w:nsid w:val="31570D25"/>
    <w:multiLevelType w:val="hybridMultilevel"/>
    <w:tmpl w:val="00028962"/>
    <w:lvl w:ilvl="0" w:tplc="9D22BB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25">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7AE46E1"/>
    <w:multiLevelType w:val="multilevel"/>
    <w:tmpl w:val="21726AF6"/>
    <w:lvl w:ilvl="0">
      <w:start w:val="1"/>
      <w:numFmt w:val="decimal"/>
      <w:lvlText w:val="%1."/>
      <w:lvlJc w:val="left"/>
      <w:pPr>
        <w:tabs>
          <w:tab w:val="num" w:pos="360"/>
        </w:tabs>
        <w:ind w:left="0" w:firstLine="0"/>
      </w:pPr>
      <w:rPr>
        <w:rFonts w:ascii="Times New Roman Bold" w:hAnsi="Times New Roman Bold"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88B7E23"/>
    <w:multiLevelType w:val="multilevel"/>
    <w:tmpl w:val="CEC6F9B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8A147DD"/>
    <w:multiLevelType w:val="multilevel"/>
    <w:tmpl w:val="3ECA2CB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90234D3"/>
    <w:multiLevelType w:val="hybridMultilevel"/>
    <w:tmpl w:val="B56A4404"/>
    <w:lvl w:ilvl="0" w:tplc="DC4AC3DE">
      <w:start w:val="1"/>
      <w:numFmt w:val="lowerLetter"/>
      <w:lvlText w:val="%1)"/>
      <w:lvlJc w:val="left"/>
      <w:pPr>
        <w:ind w:left="720" w:hanging="360"/>
      </w:pPr>
      <w:rPr>
        <w:rFonts w:ascii="Times New Roman" w:eastAsia="Arial Unicode MS" w:hAnsi="Arial" w:cs="Times New Roman"/>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3C7A5BA1"/>
    <w:multiLevelType w:val="singleLevel"/>
    <w:tmpl w:val="04090017"/>
    <w:lvl w:ilvl="0">
      <w:start w:val="1"/>
      <w:numFmt w:val="lowerLetter"/>
      <w:lvlText w:val="%1)"/>
      <w:lvlJc w:val="left"/>
      <w:pPr>
        <w:tabs>
          <w:tab w:val="num" w:pos="720"/>
        </w:tabs>
        <w:ind w:left="720" w:hanging="360"/>
      </w:pPr>
    </w:lvl>
  </w:abstractNum>
  <w:abstractNum w:abstractNumId="33">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E07616D"/>
    <w:multiLevelType w:val="multilevel"/>
    <w:tmpl w:val="2CB6AA9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F52673C"/>
    <w:multiLevelType w:val="multilevel"/>
    <w:tmpl w:val="6C50A108"/>
    <w:lvl w:ilvl="0">
      <w:start w:val="1"/>
      <w:numFmt w:val="lowerLetter"/>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0286F2E"/>
    <w:multiLevelType w:val="singleLevel"/>
    <w:tmpl w:val="9A6A3DBC"/>
    <w:lvl w:ilvl="0">
      <w:start w:val="1"/>
      <w:numFmt w:val="lowerLetter"/>
      <w:lvlText w:val="(%1)"/>
      <w:lvlJc w:val="left"/>
      <w:pPr>
        <w:tabs>
          <w:tab w:val="num" w:pos="2550"/>
        </w:tabs>
        <w:ind w:left="2550" w:hanging="390"/>
      </w:pPr>
      <w:rPr>
        <w:rFonts w:hint="default"/>
      </w:rPr>
    </w:lvl>
  </w:abstractNum>
  <w:abstractNum w:abstractNumId="37">
    <w:nsid w:val="44122A4B"/>
    <w:multiLevelType w:val="hybridMultilevel"/>
    <w:tmpl w:val="3E746DC4"/>
    <w:lvl w:ilvl="0" w:tplc="59D6DE38">
      <w:start w:val="1"/>
      <w:numFmt w:val="decimal"/>
      <w:lvlText w:val="%1-"/>
      <w:lvlJc w:val="left"/>
      <w:pPr>
        <w:ind w:left="720" w:hanging="360"/>
      </w:pPr>
      <w:rPr>
        <w:rFonts w:ascii="Times New Roman" w:eastAsia="Arial Unicode MS" w:hAnsi="Arial"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5800EBB"/>
    <w:multiLevelType w:val="hybridMultilevel"/>
    <w:tmpl w:val="A7641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71C4427"/>
    <w:multiLevelType w:val="hybridMultilevel"/>
    <w:tmpl w:val="9E28DF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ABA0033"/>
    <w:multiLevelType w:val="multilevel"/>
    <w:tmpl w:val="2FB458E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55001F03"/>
    <w:multiLevelType w:val="hybridMultilevel"/>
    <w:tmpl w:val="BDEA6BB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5D40068"/>
    <w:multiLevelType w:val="hybridMultilevel"/>
    <w:tmpl w:val="A0660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47">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2C56D72"/>
    <w:multiLevelType w:val="multilevel"/>
    <w:tmpl w:val="F7CCD51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36555D2"/>
    <w:multiLevelType w:val="hybridMultilevel"/>
    <w:tmpl w:val="57BAE34C"/>
    <w:lvl w:ilvl="0" w:tplc="040C0007">
      <w:start w:val="1"/>
      <w:numFmt w:val="bullet"/>
      <w:lvlText w:val=""/>
      <w:lvlPicBulletId w:val="0"/>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52">
    <w:nsid w:val="66E1061C"/>
    <w:multiLevelType w:val="multilevel"/>
    <w:tmpl w:val="136ED68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7A2122E"/>
    <w:multiLevelType w:val="hybridMultilevel"/>
    <w:tmpl w:val="58843BC8"/>
    <w:lvl w:ilvl="0" w:tplc="040C0001">
      <w:start w:val="1"/>
      <w:numFmt w:val="bullet"/>
      <w:lvlText w:val=""/>
      <w:lvlJc w:val="left"/>
      <w:pPr>
        <w:ind w:left="1574" w:hanging="360"/>
      </w:pPr>
      <w:rPr>
        <w:rFonts w:ascii="Symbol" w:hAnsi="Symbol" w:hint="default"/>
      </w:rPr>
    </w:lvl>
    <w:lvl w:ilvl="1" w:tplc="040C0003" w:tentative="1">
      <w:start w:val="1"/>
      <w:numFmt w:val="bullet"/>
      <w:lvlText w:val="o"/>
      <w:lvlJc w:val="left"/>
      <w:pPr>
        <w:ind w:left="2294" w:hanging="360"/>
      </w:pPr>
      <w:rPr>
        <w:rFonts w:ascii="Courier New" w:hAnsi="Courier New" w:cs="Courier New" w:hint="default"/>
      </w:rPr>
    </w:lvl>
    <w:lvl w:ilvl="2" w:tplc="040C0005" w:tentative="1">
      <w:start w:val="1"/>
      <w:numFmt w:val="bullet"/>
      <w:lvlText w:val=""/>
      <w:lvlJc w:val="left"/>
      <w:pPr>
        <w:ind w:left="3014" w:hanging="360"/>
      </w:pPr>
      <w:rPr>
        <w:rFonts w:ascii="Wingdings" w:hAnsi="Wingdings" w:hint="default"/>
      </w:rPr>
    </w:lvl>
    <w:lvl w:ilvl="3" w:tplc="040C0001" w:tentative="1">
      <w:start w:val="1"/>
      <w:numFmt w:val="bullet"/>
      <w:lvlText w:val=""/>
      <w:lvlJc w:val="left"/>
      <w:pPr>
        <w:ind w:left="3734" w:hanging="360"/>
      </w:pPr>
      <w:rPr>
        <w:rFonts w:ascii="Symbol" w:hAnsi="Symbol" w:hint="default"/>
      </w:rPr>
    </w:lvl>
    <w:lvl w:ilvl="4" w:tplc="040C0003" w:tentative="1">
      <w:start w:val="1"/>
      <w:numFmt w:val="bullet"/>
      <w:lvlText w:val="o"/>
      <w:lvlJc w:val="left"/>
      <w:pPr>
        <w:ind w:left="4454" w:hanging="360"/>
      </w:pPr>
      <w:rPr>
        <w:rFonts w:ascii="Courier New" w:hAnsi="Courier New" w:cs="Courier New" w:hint="default"/>
      </w:rPr>
    </w:lvl>
    <w:lvl w:ilvl="5" w:tplc="040C0005" w:tentative="1">
      <w:start w:val="1"/>
      <w:numFmt w:val="bullet"/>
      <w:lvlText w:val=""/>
      <w:lvlJc w:val="left"/>
      <w:pPr>
        <w:ind w:left="5174" w:hanging="360"/>
      </w:pPr>
      <w:rPr>
        <w:rFonts w:ascii="Wingdings" w:hAnsi="Wingdings" w:hint="default"/>
      </w:rPr>
    </w:lvl>
    <w:lvl w:ilvl="6" w:tplc="040C0001" w:tentative="1">
      <w:start w:val="1"/>
      <w:numFmt w:val="bullet"/>
      <w:lvlText w:val=""/>
      <w:lvlJc w:val="left"/>
      <w:pPr>
        <w:ind w:left="5894" w:hanging="360"/>
      </w:pPr>
      <w:rPr>
        <w:rFonts w:ascii="Symbol" w:hAnsi="Symbol" w:hint="default"/>
      </w:rPr>
    </w:lvl>
    <w:lvl w:ilvl="7" w:tplc="040C0003" w:tentative="1">
      <w:start w:val="1"/>
      <w:numFmt w:val="bullet"/>
      <w:lvlText w:val="o"/>
      <w:lvlJc w:val="left"/>
      <w:pPr>
        <w:ind w:left="6614" w:hanging="360"/>
      </w:pPr>
      <w:rPr>
        <w:rFonts w:ascii="Courier New" w:hAnsi="Courier New" w:cs="Courier New" w:hint="default"/>
      </w:rPr>
    </w:lvl>
    <w:lvl w:ilvl="8" w:tplc="040C0005" w:tentative="1">
      <w:start w:val="1"/>
      <w:numFmt w:val="bullet"/>
      <w:lvlText w:val=""/>
      <w:lvlJc w:val="left"/>
      <w:pPr>
        <w:ind w:left="7334" w:hanging="360"/>
      </w:pPr>
      <w:rPr>
        <w:rFonts w:ascii="Wingdings" w:hAnsi="Wingdings" w:hint="default"/>
      </w:rPr>
    </w:lvl>
  </w:abstractNum>
  <w:abstractNum w:abstractNumId="54">
    <w:nsid w:val="75923305"/>
    <w:multiLevelType w:val="hybridMultilevel"/>
    <w:tmpl w:val="2DD82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83A0D65"/>
    <w:multiLevelType w:val="hybridMultilevel"/>
    <w:tmpl w:val="41A837F8"/>
    <w:lvl w:ilvl="0" w:tplc="040C0001">
      <w:start w:val="1"/>
      <w:numFmt w:val="bullet"/>
      <w:lvlText w:val=""/>
      <w:lvlJc w:val="left"/>
      <w:pPr>
        <w:ind w:left="854" w:hanging="360"/>
      </w:pPr>
      <w:rPr>
        <w:rFonts w:ascii="Symbol" w:hAnsi="Symbol" w:hint="default"/>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abstractNum w:abstractNumId="56">
    <w:nsid w:val="7891334A"/>
    <w:multiLevelType w:val="hybridMultilevel"/>
    <w:tmpl w:val="C0E0F2B8"/>
    <w:lvl w:ilvl="0" w:tplc="961C51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2"/>
  </w:num>
  <w:num w:numId="4">
    <w:abstractNumId w:val="15"/>
  </w:num>
  <w:num w:numId="5">
    <w:abstractNumId w:val="20"/>
  </w:num>
  <w:num w:numId="6">
    <w:abstractNumId w:val="26"/>
  </w:num>
  <w:num w:numId="7">
    <w:abstractNumId w:val="5"/>
  </w:num>
  <w:num w:numId="8">
    <w:abstractNumId w:val="13"/>
  </w:num>
  <w:num w:numId="9">
    <w:abstractNumId w:val="48"/>
  </w:num>
  <w:num w:numId="10">
    <w:abstractNumId w:val="25"/>
  </w:num>
  <w:num w:numId="11">
    <w:abstractNumId w:val="43"/>
  </w:num>
  <w:num w:numId="12">
    <w:abstractNumId w:val="31"/>
  </w:num>
  <w:num w:numId="13">
    <w:abstractNumId w:val="22"/>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1"/>
  </w:num>
  <w:num w:numId="17">
    <w:abstractNumId w:val="35"/>
  </w:num>
  <w:num w:numId="18">
    <w:abstractNumId w:val="42"/>
  </w:num>
  <w:num w:numId="19">
    <w:abstractNumId w:val="29"/>
  </w:num>
  <w:num w:numId="20">
    <w:abstractNumId w:val="50"/>
  </w:num>
  <w:num w:numId="21">
    <w:abstractNumId w:val="21"/>
  </w:num>
  <w:num w:numId="22">
    <w:abstractNumId w:val="46"/>
  </w:num>
  <w:num w:numId="23">
    <w:abstractNumId w:val="0"/>
  </w:num>
  <w:num w:numId="24">
    <w:abstractNumId w:val="32"/>
  </w:num>
  <w:num w:numId="25">
    <w:abstractNumId w:val="27"/>
  </w:num>
  <w:num w:numId="26">
    <w:abstractNumId w:val="1"/>
  </w:num>
  <w:num w:numId="27">
    <w:abstractNumId w:val="57"/>
  </w:num>
  <w:num w:numId="28">
    <w:abstractNumId w:val="4"/>
  </w:num>
  <w:num w:numId="29">
    <w:abstractNumId w:val="18"/>
  </w:num>
  <w:num w:numId="30">
    <w:abstractNumId w:val="34"/>
  </w:num>
  <w:num w:numId="31">
    <w:abstractNumId w:val="56"/>
  </w:num>
  <w:num w:numId="32">
    <w:abstractNumId w:val="16"/>
  </w:num>
  <w:num w:numId="33">
    <w:abstractNumId w:val="8"/>
  </w:num>
  <w:num w:numId="34">
    <w:abstractNumId w:val="14"/>
  </w:num>
  <w:num w:numId="35">
    <w:abstractNumId w:val="49"/>
  </w:num>
  <w:num w:numId="36">
    <w:abstractNumId w:val="33"/>
  </w:num>
  <w:num w:numId="37">
    <w:abstractNumId w:val="10"/>
  </w:num>
  <w:num w:numId="38">
    <w:abstractNumId w:val="38"/>
  </w:num>
  <w:num w:numId="39">
    <w:abstractNumId w:val="45"/>
  </w:num>
  <w:num w:numId="40">
    <w:abstractNumId w:val="11"/>
  </w:num>
  <w:num w:numId="41">
    <w:abstractNumId w:val="51"/>
  </w:num>
  <w:num w:numId="42">
    <w:abstractNumId w:val="19"/>
  </w:num>
  <w:num w:numId="43">
    <w:abstractNumId w:val="37"/>
  </w:num>
  <w:num w:numId="44">
    <w:abstractNumId w:val="6"/>
  </w:num>
  <w:num w:numId="45">
    <w:abstractNumId w:val="55"/>
  </w:num>
  <w:num w:numId="46">
    <w:abstractNumId w:val="3"/>
  </w:num>
  <w:num w:numId="47">
    <w:abstractNumId w:val="54"/>
  </w:num>
  <w:num w:numId="48">
    <w:abstractNumId w:val="28"/>
  </w:num>
  <w:num w:numId="49">
    <w:abstractNumId w:val="30"/>
  </w:num>
  <w:num w:numId="50">
    <w:abstractNumId w:val="7"/>
  </w:num>
  <w:num w:numId="51">
    <w:abstractNumId w:val="53"/>
  </w:num>
  <w:num w:numId="52">
    <w:abstractNumId w:val="39"/>
  </w:num>
  <w:num w:numId="53">
    <w:abstractNumId w:val="12"/>
  </w:num>
  <w:num w:numId="54">
    <w:abstractNumId w:val="9"/>
  </w:num>
  <w:num w:numId="55">
    <w:abstractNumId w:val="44"/>
  </w:num>
  <w:num w:numId="56">
    <w:abstractNumId w:val="52"/>
  </w:num>
  <w:num w:numId="57">
    <w:abstractNumId w:val="17"/>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8E"/>
    <w:rsid w:val="00014628"/>
    <w:rsid w:val="00030184"/>
    <w:rsid w:val="000B1FB8"/>
    <w:rsid w:val="000F5122"/>
    <w:rsid w:val="00111F4E"/>
    <w:rsid w:val="00181AAA"/>
    <w:rsid w:val="001A22DB"/>
    <w:rsid w:val="00264B04"/>
    <w:rsid w:val="002877D8"/>
    <w:rsid w:val="00331F1F"/>
    <w:rsid w:val="003327CF"/>
    <w:rsid w:val="00350740"/>
    <w:rsid w:val="003659CA"/>
    <w:rsid w:val="004C2009"/>
    <w:rsid w:val="004C6182"/>
    <w:rsid w:val="004C7667"/>
    <w:rsid w:val="004D1738"/>
    <w:rsid w:val="004F3C93"/>
    <w:rsid w:val="004F4032"/>
    <w:rsid w:val="004F7DBC"/>
    <w:rsid w:val="00556FB2"/>
    <w:rsid w:val="00563479"/>
    <w:rsid w:val="00607C46"/>
    <w:rsid w:val="006A44BC"/>
    <w:rsid w:val="0072638E"/>
    <w:rsid w:val="0073283B"/>
    <w:rsid w:val="007400CA"/>
    <w:rsid w:val="007550F9"/>
    <w:rsid w:val="00781B3E"/>
    <w:rsid w:val="00782820"/>
    <w:rsid w:val="007C244A"/>
    <w:rsid w:val="007C5949"/>
    <w:rsid w:val="008014AA"/>
    <w:rsid w:val="00813840"/>
    <w:rsid w:val="00817C83"/>
    <w:rsid w:val="00971CFD"/>
    <w:rsid w:val="00A453D6"/>
    <w:rsid w:val="00A45413"/>
    <w:rsid w:val="00A7249C"/>
    <w:rsid w:val="00A95E4D"/>
    <w:rsid w:val="00AB62E6"/>
    <w:rsid w:val="00AC5B5F"/>
    <w:rsid w:val="00B305B9"/>
    <w:rsid w:val="00BA1B91"/>
    <w:rsid w:val="00C276F3"/>
    <w:rsid w:val="00C94311"/>
    <w:rsid w:val="00CE6CBF"/>
    <w:rsid w:val="00D00E0A"/>
    <w:rsid w:val="00D156A8"/>
    <w:rsid w:val="00D17228"/>
    <w:rsid w:val="00D47C79"/>
    <w:rsid w:val="00DA53C9"/>
    <w:rsid w:val="00DD1594"/>
    <w:rsid w:val="00DD71C3"/>
    <w:rsid w:val="00E3381D"/>
    <w:rsid w:val="00E85005"/>
    <w:rsid w:val="00EC06F1"/>
    <w:rsid w:val="00EE5CB4"/>
    <w:rsid w:val="00F064E7"/>
    <w:rsid w:val="00F770F5"/>
    <w:rsid w:val="00FB66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2638E"/>
    <w:pPr>
      <w:keepNext/>
      <w:keepLines/>
      <w:spacing w:before="240" w:after="240"/>
      <w:jc w:val="center"/>
      <w:outlineLvl w:val="0"/>
    </w:pPr>
    <w:rPr>
      <w:rFonts w:ascii="Times New Roman Bold" w:hAnsi="Times New Roman Bold"/>
      <w:b/>
      <w:sz w:val="32"/>
    </w:rPr>
  </w:style>
  <w:style w:type="paragraph" w:styleId="Heading2">
    <w:name w:val="heading 2"/>
    <w:basedOn w:val="Normal"/>
    <w:next w:val="Normal"/>
    <w:link w:val="Heading2Char"/>
    <w:uiPriority w:val="9"/>
    <w:unhideWhenUsed/>
    <w:qFormat/>
    <w:rsid w:val="00C27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6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76F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8014A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A53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014A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638E"/>
    <w:pPr>
      <w:tabs>
        <w:tab w:val="center" w:pos="4320"/>
        <w:tab w:val="right" w:pos="8640"/>
      </w:tabs>
    </w:pPr>
  </w:style>
  <w:style w:type="character" w:customStyle="1" w:styleId="FooterChar">
    <w:name w:val="Footer Char"/>
    <w:basedOn w:val="DefaultParagraphFont"/>
    <w:link w:val="Footer"/>
    <w:uiPriority w:val="99"/>
    <w:rsid w:val="0072638E"/>
    <w:rPr>
      <w:rFonts w:ascii="Times New Roman" w:eastAsia="Times New Roman" w:hAnsi="Times New Roman" w:cs="Times New Roman"/>
      <w:sz w:val="24"/>
      <w:szCs w:val="20"/>
    </w:rPr>
  </w:style>
  <w:style w:type="paragraph" w:styleId="Header">
    <w:name w:val="header"/>
    <w:basedOn w:val="Normal"/>
    <w:link w:val="HeaderChar"/>
    <w:rsid w:val="0072638E"/>
    <w:pPr>
      <w:tabs>
        <w:tab w:val="center" w:pos="4320"/>
        <w:tab w:val="right" w:pos="8640"/>
      </w:tabs>
    </w:pPr>
  </w:style>
  <w:style w:type="character" w:customStyle="1" w:styleId="HeaderChar">
    <w:name w:val="Header Char"/>
    <w:basedOn w:val="DefaultParagraphFont"/>
    <w:link w:val="Header"/>
    <w:rsid w:val="0072638E"/>
    <w:rPr>
      <w:rFonts w:ascii="Times New Roman" w:eastAsia="Times New Roman" w:hAnsi="Times New Roman" w:cs="Times New Roman"/>
      <w:sz w:val="24"/>
      <w:szCs w:val="20"/>
    </w:rPr>
  </w:style>
  <w:style w:type="paragraph" w:styleId="NoSpacing">
    <w:name w:val="No Spacing"/>
    <w:link w:val="NoSpacingChar"/>
    <w:uiPriority w:val="1"/>
    <w:qFormat/>
    <w:rsid w:val="0072638E"/>
    <w:pPr>
      <w:spacing w:after="0" w:line="240" w:lineRule="auto"/>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72638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72638E"/>
    <w:rPr>
      <w:rFonts w:ascii="Times New Roman Bold" w:eastAsia="Times New Roman" w:hAnsi="Times New Roman Bold" w:cs="Times New Roman"/>
      <w:b/>
      <w:sz w:val="32"/>
      <w:szCs w:val="20"/>
    </w:rPr>
  </w:style>
  <w:style w:type="character" w:styleId="Hyperlink">
    <w:name w:val="Hyperlink"/>
    <w:basedOn w:val="DefaultParagraphFont"/>
    <w:uiPriority w:val="99"/>
    <w:rsid w:val="0072638E"/>
    <w:rPr>
      <w:color w:val="0000FF"/>
      <w:u w:val="single"/>
    </w:rPr>
  </w:style>
  <w:style w:type="paragraph" w:styleId="ListParagraph">
    <w:name w:val="List Paragraph"/>
    <w:basedOn w:val="Normal"/>
    <w:uiPriority w:val="34"/>
    <w:qFormat/>
    <w:rsid w:val="0072638E"/>
    <w:pPr>
      <w:ind w:left="708"/>
    </w:pPr>
    <w:rPr>
      <w:rFonts w:ascii="Arial" w:hAnsi="Arial"/>
      <w:lang w:eastAsia="fr-FR"/>
    </w:rPr>
  </w:style>
  <w:style w:type="character" w:customStyle="1" w:styleId="FontStyle23">
    <w:name w:val="Font Style23"/>
    <w:basedOn w:val="DefaultParagraphFont"/>
    <w:uiPriority w:val="99"/>
    <w:rsid w:val="0072638E"/>
    <w:rPr>
      <w:rFonts w:ascii="Arial Unicode MS" w:eastAsia="Arial Unicode MS" w:cs="Arial Unicode MS"/>
      <w:color w:val="000000"/>
      <w:sz w:val="20"/>
      <w:szCs w:val="20"/>
    </w:rPr>
  </w:style>
  <w:style w:type="paragraph" w:customStyle="1" w:styleId="BankNormal">
    <w:name w:val="BankNormal"/>
    <w:basedOn w:val="Normal"/>
    <w:rsid w:val="0072638E"/>
    <w:pPr>
      <w:spacing w:after="240"/>
    </w:pPr>
  </w:style>
  <w:style w:type="paragraph" w:styleId="BodyTextIndent">
    <w:name w:val="Body Text Indent"/>
    <w:basedOn w:val="Normal"/>
    <w:link w:val="BodyTextIndentChar"/>
    <w:rsid w:val="004C6182"/>
    <w:pPr>
      <w:ind w:left="1440" w:hanging="720"/>
    </w:pPr>
  </w:style>
  <w:style w:type="character" w:customStyle="1" w:styleId="BodyTextIndentChar">
    <w:name w:val="Body Text Indent Char"/>
    <w:basedOn w:val="DefaultParagraphFont"/>
    <w:link w:val="BodyTextIndent"/>
    <w:rsid w:val="004C6182"/>
    <w:rPr>
      <w:rFonts w:ascii="Times New Roman" w:eastAsia="Times New Roman" w:hAnsi="Times New Roman" w:cs="Times New Roman"/>
      <w:sz w:val="24"/>
      <w:szCs w:val="20"/>
    </w:rPr>
  </w:style>
  <w:style w:type="paragraph" w:styleId="BodyTextIndent2">
    <w:name w:val="Body Text Indent 2"/>
    <w:basedOn w:val="Normal"/>
    <w:link w:val="BodyTextIndent2Char"/>
    <w:rsid w:val="004C6182"/>
    <w:pPr>
      <w:ind w:left="720" w:hanging="720"/>
    </w:pPr>
  </w:style>
  <w:style w:type="character" w:customStyle="1" w:styleId="BodyTextIndent2Char">
    <w:name w:val="Body Text Indent 2 Char"/>
    <w:basedOn w:val="DefaultParagraphFont"/>
    <w:link w:val="BodyTextIndent2"/>
    <w:rsid w:val="004C6182"/>
    <w:rPr>
      <w:rFonts w:ascii="Times New Roman" w:eastAsia="Times New Roman" w:hAnsi="Times New Roman" w:cs="Times New Roman"/>
      <w:sz w:val="24"/>
      <w:szCs w:val="20"/>
    </w:rPr>
  </w:style>
  <w:style w:type="paragraph" w:customStyle="1" w:styleId="Header3-Paragraph">
    <w:name w:val="Header 3 - Paragraph"/>
    <w:basedOn w:val="Normal"/>
    <w:rsid w:val="004C6182"/>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Header1-Clauses">
    <w:name w:val="Header 1 - Clauses"/>
    <w:basedOn w:val="Normal"/>
    <w:rsid w:val="004C6182"/>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Style1Clauses">
    <w:name w:val="Style1 Clauses"/>
    <w:basedOn w:val="Normal"/>
    <w:rsid w:val="004C6182"/>
    <w:pPr>
      <w:tabs>
        <w:tab w:val="left" w:pos="259"/>
      </w:tabs>
    </w:pPr>
    <w:rPr>
      <w:b/>
    </w:rPr>
  </w:style>
  <w:style w:type="character" w:customStyle="1" w:styleId="Heading3Char">
    <w:name w:val="Heading 3 Char"/>
    <w:basedOn w:val="DefaultParagraphFont"/>
    <w:link w:val="Heading3"/>
    <w:uiPriority w:val="9"/>
    <w:rsid w:val="00C276F3"/>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276F3"/>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uiPriority w:val="99"/>
    <w:semiHidden/>
    <w:unhideWhenUsed/>
    <w:rsid w:val="00C276F3"/>
    <w:pPr>
      <w:spacing w:after="120"/>
    </w:pPr>
  </w:style>
  <w:style w:type="character" w:customStyle="1" w:styleId="BodyTextChar">
    <w:name w:val="Body Text Char"/>
    <w:basedOn w:val="DefaultParagraphFont"/>
    <w:link w:val="BodyText"/>
    <w:uiPriority w:val="99"/>
    <w:semiHidden/>
    <w:rsid w:val="00C276F3"/>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C276F3"/>
    <w:rPr>
      <w:sz w:val="24"/>
      <w:vertAlign w:val="superscript"/>
    </w:rPr>
  </w:style>
  <w:style w:type="paragraph" w:styleId="FootnoteText">
    <w:name w:val="footnote text"/>
    <w:basedOn w:val="Normal"/>
    <w:link w:val="FootnoteTextChar"/>
    <w:uiPriority w:val="99"/>
    <w:semiHidden/>
    <w:rsid w:val="00C276F3"/>
    <w:pPr>
      <w:keepNext/>
      <w:keepLines/>
      <w:spacing w:after="120"/>
      <w:ind w:left="432" w:hanging="432"/>
    </w:pPr>
    <w:rPr>
      <w:sz w:val="20"/>
    </w:rPr>
  </w:style>
  <w:style w:type="character" w:customStyle="1" w:styleId="FootnoteTextChar">
    <w:name w:val="Footnote Text Char"/>
    <w:basedOn w:val="DefaultParagraphFont"/>
    <w:link w:val="FootnoteText"/>
    <w:uiPriority w:val="99"/>
    <w:semiHidden/>
    <w:rsid w:val="00C276F3"/>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C276F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C276F3"/>
    <w:pPr>
      <w:spacing w:after="120" w:line="480" w:lineRule="auto"/>
    </w:pPr>
  </w:style>
  <w:style w:type="character" w:customStyle="1" w:styleId="BodyText2Char">
    <w:name w:val="Body Text 2 Char"/>
    <w:basedOn w:val="DefaultParagraphFont"/>
    <w:link w:val="BodyText2"/>
    <w:uiPriority w:val="99"/>
    <w:semiHidden/>
    <w:rsid w:val="00C276F3"/>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DA53C9"/>
    <w:rPr>
      <w:rFonts w:asciiTheme="majorHAnsi" w:eastAsiaTheme="majorEastAsia" w:hAnsiTheme="majorHAnsi" w:cstheme="majorBidi"/>
      <w:i/>
      <w:iCs/>
      <w:color w:val="404040" w:themeColor="text1" w:themeTint="BF"/>
      <w:sz w:val="24"/>
      <w:szCs w:val="20"/>
    </w:rPr>
  </w:style>
  <w:style w:type="paragraph" w:styleId="BalloonText">
    <w:name w:val="Balloon Text"/>
    <w:basedOn w:val="Normal"/>
    <w:link w:val="BalloonTextChar"/>
    <w:uiPriority w:val="99"/>
    <w:semiHidden/>
    <w:unhideWhenUsed/>
    <w:rsid w:val="008014AA"/>
    <w:rPr>
      <w:rFonts w:ascii="Tahoma" w:hAnsi="Tahoma" w:cs="Tahoma"/>
      <w:sz w:val="16"/>
      <w:szCs w:val="16"/>
    </w:rPr>
  </w:style>
  <w:style w:type="character" w:customStyle="1" w:styleId="BalloonTextChar">
    <w:name w:val="Balloon Text Char"/>
    <w:basedOn w:val="DefaultParagraphFont"/>
    <w:link w:val="BalloonText"/>
    <w:uiPriority w:val="99"/>
    <w:semiHidden/>
    <w:rsid w:val="008014AA"/>
    <w:rPr>
      <w:rFonts w:ascii="Tahoma" w:eastAsia="Times New Roman" w:hAnsi="Tahoma" w:cs="Tahoma"/>
      <w:sz w:val="16"/>
      <w:szCs w:val="16"/>
    </w:rPr>
  </w:style>
  <w:style w:type="character" w:customStyle="1" w:styleId="Heading6Char">
    <w:name w:val="Heading 6 Char"/>
    <w:basedOn w:val="DefaultParagraphFont"/>
    <w:link w:val="Heading6"/>
    <w:uiPriority w:val="9"/>
    <w:rsid w:val="008014AA"/>
    <w:rPr>
      <w:rFonts w:asciiTheme="majorHAnsi" w:eastAsiaTheme="majorEastAsia" w:hAnsiTheme="majorHAnsi" w:cstheme="majorBidi"/>
      <w:i/>
      <w:iCs/>
      <w:color w:val="243F60" w:themeColor="accent1" w:themeShade="7F"/>
      <w:sz w:val="24"/>
      <w:szCs w:val="20"/>
    </w:rPr>
  </w:style>
  <w:style w:type="paragraph" w:customStyle="1" w:styleId="xl41">
    <w:name w:val="xl41"/>
    <w:basedOn w:val="Normal"/>
    <w:rsid w:val="008014AA"/>
    <w:pPr>
      <w:spacing w:before="100" w:beforeAutospacing="1" w:after="100" w:afterAutospacing="1"/>
    </w:pPr>
    <w:rPr>
      <w:rFonts w:eastAsia="Arial Unicode MS"/>
      <w:sz w:val="20"/>
      <w:lang w:val="it-IT" w:eastAsia="it-IT"/>
    </w:rPr>
  </w:style>
  <w:style w:type="character" w:customStyle="1" w:styleId="Heading8Char">
    <w:name w:val="Heading 8 Char"/>
    <w:basedOn w:val="DefaultParagraphFont"/>
    <w:link w:val="Heading8"/>
    <w:uiPriority w:val="9"/>
    <w:rsid w:val="008014AA"/>
    <w:rPr>
      <w:rFonts w:asciiTheme="majorHAnsi" w:eastAsiaTheme="majorEastAsia" w:hAnsiTheme="majorHAnsi" w:cstheme="majorBidi"/>
      <w:color w:val="404040" w:themeColor="text1" w:themeTint="BF"/>
      <w:sz w:val="20"/>
      <w:szCs w:val="20"/>
    </w:rPr>
  </w:style>
  <w:style w:type="paragraph" w:customStyle="1" w:styleId="TextBoxFramed">
    <w:name w:val="Text Box Framed"/>
    <w:basedOn w:val="Normal"/>
    <w:rsid w:val="00971CFD"/>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Style3">
    <w:name w:val="Style3"/>
    <w:basedOn w:val="Normal"/>
    <w:link w:val="Style3Car"/>
    <w:uiPriority w:val="99"/>
    <w:rsid w:val="00FB6671"/>
    <w:pPr>
      <w:widowControl w:val="0"/>
      <w:autoSpaceDE w:val="0"/>
      <w:autoSpaceDN w:val="0"/>
      <w:adjustRightInd w:val="0"/>
      <w:spacing w:line="250" w:lineRule="exact"/>
      <w:jc w:val="center"/>
    </w:pPr>
    <w:rPr>
      <w:szCs w:val="24"/>
      <w:lang w:eastAsia="fr-FR"/>
    </w:rPr>
  </w:style>
  <w:style w:type="character" w:customStyle="1" w:styleId="Style3Car">
    <w:name w:val="Style3 Car"/>
    <w:basedOn w:val="DefaultParagraphFont"/>
    <w:link w:val="Style3"/>
    <w:uiPriority w:val="99"/>
    <w:rsid w:val="00FB6671"/>
    <w:rPr>
      <w:rFonts w:ascii="Times New Roman" w:eastAsia="Times New Roman" w:hAnsi="Times New Roman" w:cs="Times New Roman"/>
      <w:sz w:val="24"/>
      <w:szCs w:val="24"/>
      <w:lang w:eastAsia="fr-FR"/>
    </w:rPr>
  </w:style>
  <w:style w:type="paragraph" w:customStyle="1" w:styleId="Style6">
    <w:name w:val="Style6"/>
    <w:basedOn w:val="Normal"/>
    <w:uiPriority w:val="99"/>
    <w:rsid w:val="00FB6671"/>
    <w:pPr>
      <w:widowControl w:val="0"/>
      <w:autoSpaceDE w:val="0"/>
      <w:autoSpaceDN w:val="0"/>
      <w:adjustRightInd w:val="0"/>
      <w:spacing w:line="370" w:lineRule="exact"/>
      <w:jc w:val="both"/>
    </w:pPr>
    <w:rPr>
      <w:szCs w:val="24"/>
      <w:lang w:eastAsia="fr-FR"/>
    </w:rPr>
  </w:style>
  <w:style w:type="paragraph" w:customStyle="1" w:styleId="Style7">
    <w:name w:val="Style7"/>
    <w:basedOn w:val="Normal"/>
    <w:uiPriority w:val="99"/>
    <w:rsid w:val="00FB6671"/>
    <w:pPr>
      <w:widowControl w:val="0"/>
      <w:autoSpaceDE w:val="0"/>
      <w:autoSpaceDN w:val="0"/>
      <w:adjustRightInd w:val="0"/>
    </w:pPr>
    <w:rPr>
      <w:szCs w:val="24"/>
      <w:lang w:eastAsia="fr-FR"/>
    </w:rPr>
  </w:style>
  <w:style w:type="paragraph" w:customStyle="1" w:styleId="Style15">
    <w:name w:val="Style15"/>
    <w:basedOn w:val="Normal"/>
    <w:uiPriority w:val="99"/>
    <w:rsid w:val="00FB6671"/>
    <w:pPr>
      <w:widowControl w:val="0"/>
      <w:autoSpaceDE w:val="0"/>
      <w:autoSpaceDN w:val="0"/>
      <w:adjustRightInd w:val="0"/>
      <w:spacing w:line="374" w:lineRule="exact"/>
      <w:ind w:firstLine="350"/>
      <w:jc w:val="both"/>
    </w:pPr>
    <w:rPr>
      <w:szCs w:val="24"/>
      <w:lang w:eastAsia="fr-FR"/>
    </w:rPr>
  </w:style>
  <w:style w:type="character" w:customStyle="1" w:styleId="FontStyle24">
    <w:name w:val="Font Style24"/>
    <w:basedOn w:val="DefaultParagraphFont"/>
    <w:uiPriority w:val="99"/>
    <w:rsid w:val="00FB6671"/>
    <w:rPr>
      <w:rFonts w:ascii="Arial Unicode MS" w:eastAsia="Arial Unicode MS" w:cs="Arial Unicode MS"/>
      <w:b/>
      <w:bCs/>
      <w:color w:val="000000"/>
      <w:sz w:val="20"/>
      <w:szCs w:val="20"/>
    </w:rPr>
  </w:style>
  <w:style w:type="character" w:styleId="BookTitle">
    <w:name w:val="Book Title"/>
    <w:basedOn w:val="DefaultParagraphFont"/>
    <w:uiPriority w:val="33"/>
    <w:qFormat/>
    <w:rsid w:val="00FB6671"/>
    <w:rPr>
      <w:b/>
      <w:bCs/>
      <w:smallCaps/>
      <w:spacing w:val="5"/>
    </w:rPr>
  </w:style>
  <w:style w:type="paragraph" w:customStyle="1" w:styleId="A2-heading1">
    <w:name w:val="A2-heading1"/>
    <w:basedOn w:val="Heading1"/>
    <w:rsid w:val="00E3381D"/>
  </w:style>
  <w:style w:type="paragraph" w:customStyle="1" w:styleId="Normali">
    <w:name w:val="Normal(i)"/>
    <w:basedOn w:val="Normal"/>
    <w:rsid w:val="00E3381D"/>
    <w:pPr>
      <w:keepLines/>
      <w:tabs>
        <w:tab w:val="left" w:pos="1843"/>
      </w:tabs>
      <w:spacing w:after="120"/>
      <w:jc w:val="both"/>
    </w:pPr>
    <w:rPr>
      <w:lang w:val="en-GB" w:eastAsia="en-GB"/>
    </w:rPr>
  </w:style>
  <w:style w:type="paragraph" w:customStyle="1" w:styleId="A2-heading3">
    <w:name w:val="A2-heading3"/>
    <w:basedOn w:val="Normal"/>
    <w:rsid w:val="00E3381D"/>
    <w:pPr>
      <w:spacing w:after="200"/>
      <w:ind w:left="720" w:hanging="720"/>
      <w:outlineLvl w:val="2"/>
    </w:pPr>
    <w:rPr>
      <w:b/>
    </w:rPr>
  </w:style>
  <w:style w:type="paragraph" w:customStyle="1" w:styleId="A2-heading4">
    <w:name w:val="A2-heading4"/>
    <w:basedOn w:val="Normal"/>
    <w:rsid w:val="00E3381D"/>
    <w:pPr>
      <w:spacing w:after="200"/>
      <w:ind w:left="864" w:hanging="576"/>
      <w:outlineLvl w:val="3"/>
    </w:pPr>
    <w:rPr>
      <w:rFonts w:ascii="Times New Roman Bold" w:hAnsi="Times New Roman Bold"/>
      <w:b/>
    </w:rPr>
  </w:style>
  <w:style w:type="paragraph" w:customStyle="1" w:styleId="A2-heading2">
    <w:name w:val="A2-heading2"/>
    <w:basedOn w:val="Heading2"/>
    <w:rsid w:val="00E3381D"/>
    <w:pPr>
      <w:spacing w:before="120" w:after="240"/>
      <w:jc w:val="center"/>
    </w:pPr>
    <w:rPr>
      <w:rFonts w:ascii="Times New Roman Bold" w:eastAsia="Times New Roman" w:hAnsi="Times New Roman Bold" w:cs="Times New Roman"/>
      <w:bCs w:val="0"/>
      <w:smallCaps/>
      <w:color w:val="auto"/>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2638E"/>
    <w:pPr>
      <w:keepNext/>
      <w:keepLines/>
      <w:spacing w:before="240" w:after="240"/>
      <w:jc w:val="center"/>
      <w:outlineLvl w:val="0"/>
    </w:pPr>
    <w:rPr>
      <w:rFonts w:ascii="Times New Roman Bold" w:hAnsi="Times New Roman Bold"/>
      <w:b/>
      <w:sz w:val="32"/>
    </w:rPr>
  </w:style>
  <w:style w:type="paragraph" w:styleId="Heading2">
    <w:name w:val="heading 2"/>
    <w:basedOn w:val="Normal"/>
    <w:next w:val="Normal"/>
    <w:link w:val="Heading2Char"/>
    <w:uiPriority w:val="9"/>
    <w:unhideWhenUsed/>
    <w:qFormat/>
    <w:rsid w:val="00C27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6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76F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8014A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A53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014AA"/>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638E"/>
    <w:pPr>
      <w:tabs>
        <w:tab w:val="center" w:pos="4320"/>
        <w:tab w:val="right" w:pos="8640"/>
      </w:tabs>
    </w:pPr>
  </w:style>
  <w:style w:type="character" w:customStyle="1" w:styleId="FooterChar">
    <w:name w:val="Footer Char"/>
    <w:basedOn w:val="DefaultParagraphFont"/>
    <w:link w:val="Footer"/>
    <w:uiPriority w:val="99"/>
    <w:rsid w:val="0072638E"/>
    <w:rPr>
      <w:rFonts w:ascii="Times New Roman" w:eastAsia="Times New Roman" w:hAnsi="Times New Roman" w:cs="Times New Roman"/>
      <w:sz w:val="24"/>
      <w:szCs w:val="20"/>
    </w:rPr>
  </w:style>
  <w:style w:type="paragraph" w:styleId="Header">
    <w:name w:val="header"/>
    <w:basedOn w:val="Normal"/>
    <w:link w:val="HeaderChar"/>
    <w:rsid w:val="0072638E"/>
    <w:pPr>
      <w:tabs>
        <w:tab w:val="center" w:pos="4320"/>
        <w:tab w:val="right" w:pos="8640"/>
      </w:tabs>
    </w:pPr>
  </w:style>
  <w:style w:type="character" w:customStyle="1" w:styleId="HeaderChar">
    <w:name w:val="Header Char"/>
    <w:basedOn w:val="DefaultParagraphFont"/>
    <w:link w:val="Header"/>
    <w:rsid w:val="0072638E"/>
    <w:rPr>
      <w:rFonts w:ascii="Times New Roman" w:eastAsia="Times New Roman" w:hAnsi="Times New Roman" w:cs="Times New Roman"/>
      <w:sz w:val="24"/>
      <w:szCs w:val="20"/>
    </w:rPr>
  </w:style>
  <w:style w:type="paragraph" w:styleId="NoSpacing">
    <w:name w:val="No Spacing"/>
    <w:link w:val="NoSpacingChar"/>
    <w:uiPriority w:val="1"/>
    <w:qFormat/>
    <w:rsid w:val="0072638E"/>
    <w:pPr>
      <w:spacing w:after="0" w:line="240" w:lineRule="auto"/>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72638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72638E"/>
    <w:rPr>
      <w:rFonts w:ascii="Times New Roman Bold" w:eastAsia="Times New Roman" w:hAnsi="Times New Roman Bold" w:cs="Times New Roman"/>
      <w:b/>
      <w:sz w:val="32"/>
      <w:szCs w:val="20"/>
    </w:rPr>
  </w:style>
  <w:style w:type="character" w:styleId="Hyperlink">
    <w:name w:val="Hyperlink"/>
    <w:basedOn w:val="DefaultParagraphFont"/>
    <w:uiPriority w:val="99"/>
    <w:rsid w:val="0072638E"/>
    <w:rPr>
      <w:color w:val="0000FF"/>
      <w:u w:val="single"/>
    </w:rPr>
  </w:style>
  <w:style w:type="paragraph" w:styleId="ListParagraph">
    <w:name w:val="List Paragraph"/>
    <w:basedOn w:val="Normal"/>
    <w:uiPriority w:val="34"/>
    <w:qFormat/>
    <w:rsid w:val="0072638E"/>
    <w:pPr>
      <w:ind w:left="708"/>
    </w:pPr>
    <w:rPr>
      <w:rFonts w:ascii="Arial" w:hAnsi="Arial"/>
      <w:lang w:eastAsia="fr-FR"/>
    </w:rPr>
  </w:style>
  <w:style w:type="character" w:customStyle="1" w:styleId="FontStyle23">
    <w:name w:val="Font Style23"/>
    <w:basedOn w:val="DefaultParagraphFont"/>
    <w:uiPriority w:val="99"/>
    <w:rsid w:val="0072638E"/>
    <w:rPr>
      <w:rFonts w:ascii="Arial Unicode MS" w:eastAsia="Arial Unicode MS" w:cs="Arial Unicode MS"/>
      <w:color w:val="000000"/>
      <w:sz w:val="20"/>
      <w:szCs w:val="20"/>
    </w:rPr>
  </w:style>
  <w:style w:type="paragraph" w:customStyle="1" w:styleId="BankNormal">
    <w:name w:val="BankNormal"/>
    <w:basedOn w:val="Normal"/>
    <w:rsid w:val="0072638E"/>
    <w:pPr>
      <w:spacing w:after="240"/>
    </w:pPr>
  </w:style>
  <w:style w:type="paragraph" w:styleId="BodyTextIndent">
    <w:name w:val="Body Text Indent"/>
    <w:basedOn w:val="Normal"/>
    <w:link w:val="BodyTextIndentChar"/>
    <w:rsid w:val="004C6182"/>
    <w:pPr>
      <w:ind w:left="1440" w:hanging="720"/>
    </w:pPr>
  </w:style>
  <w:style w:type="character" w:customStyle="1" w:styleId="BodyTextIndentChar">
    <w:name w:val="Body Text Indent Char"/>
    <w:basedOn w:val="DefaultParagraphFont"/>
    <w:link w:val="BodyTextIndent"/>
    <w:rsid w:val="004C6182"/>
    <w:rPr>
      <w:rFonts w:ascii="Times New Roman" w:eastAsia="Times New Roman" w:hAnsi="Times New Roman" w:cs="Times New Roman"/>
      <w:sz w:val="24"/>
      <w:szCs w:val="20"/>
    </w:rPr>
  </w:style>
  <w:style w:type="paragraph" w:styleId="BodyTextIndent2">
    <w:name w:val="Body Text Indent 2"/>
    <w:basedOn w:val="Normal"/>
    <w:link w:val="BodyTextIndent2Char"/>
    <w:rsid w:val="004C6182"/>
    <w:pPr>
      <w:ind w:left="720" w:hanging="720"/>
    </w:pPr>
  </w:style>
  <w:style w:type="character" w:customStyle="1" w:styleId="BodyTextIndent2Char">
    <w:name w:val="Body Text Indent 2 Char"/>
    <w:basedOn w:val="DefaultParagraphFont"/>
    <w:link w:val="BodyTextIndent2"/>
    <w:rsid w:val="004C6182"/>
    <w:rPr>
      <w:rFonts w:ascii="Times New Roman" w:eastAsia="Times New Roman" w:hAnsi="Times New Roman" w:cs="Times New Roman"/>
      <w:sz w:val="24"/>
      <w:szCs w:val="20"/>
    </w:rPr>
  </w:style>
  <w:style w:type="paragraph" w:customStyle="1" w:styleId="Header3-Paragraph">
    <w:name w:val="Header 3 - Paragraph"/>
    <w:basedOn w:val="Normal"/>
    <w:rsid w:val="004C6182"/>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Header1-Clauses">
    <w:name w:val="Header 1 - Clauses"/>
    <w:basedOn w:val="Normal"/>
    <w:rsid w:val="004C6182"/>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Style1Clauses">
    <w:name w:val="Style1 Clauses"/>
    <w:basedOn w:val="Normal"/>
    <w:rsid w:val="004C6182"/>
    <w:pPr>
      <w:tabs>
        <w:tab w:val="left" w:pos="259"/>
      </w:tabs>
    </w:pPr>
    <w:rPr>
      <w:b/>
    </w:rPr>
  </w:style>
  <w:style w:type="character" w:customStyle="1" w:styleId="Heading3Char">
    <w:name w:val="Heading 3 Char"/>
    <w:basedOn w:val="DefaultParagraphFont"/>
    <w:link w:val="Heading3"/>
    <w:uiPriority w:val="9"/>
    <w:rsid w:val="00C276F3"/>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276F3"/>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uiPriority w:val="99"/>
    <w:semiHidden/>
    <w:unhideWhenUsed/>
    <w:rsid w:val="00C276F3"/>
    <w:pPr>
      <w:spacing w:after="120"/>
    </w:pPr>
  </w:style>
  <w:style w:type="character" w:customStyle="1" w:styleId="BodyTextChar">
    <w:name w:val="Body Text Char"/>
    <w:basedOn w:val="DefaultParagraphFont"/>
    <w:link w:val="BodyText"/>
    <w:uiPriority w:val="99"/>
    <w:semiHidden/>
    <w:rsid w:val="00C276F3"/>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C276F3"/>
    <w:rPr>
      <w:sz w:val="24"/>
      <w:vertAlign w:val="superscript"/>
    </w:rPr>
  </w:style>
  <w:style w:type="paragraph" w:styleId="FootnoteText">
    <w:name w:val="footnote text"/>
    <w:basedOn w:val="Normal"/>
    <w:link w:val="FootnoteTextChar"/>
    <w:uiPriority w:val="99"/>
    <w:semiHidden/>
    <w:rsid w:val="00C276F3"/>
    <w:pPr>
      <w:keepNext/>
      <w:keepLines/>
      <w:spacing w:after="120"/>
      <w:ind w:left="432" w:hanging="432"/>
    </w:pPr>
    <w:rPr>
      <w:sz w:val="20"/>
    </w:rPr>
  </w:style>
  <w:style w:type="character" w:customStyle="1" w:styleId="FootnoteTextChar">
    <w:name w:val="Footnote Text Char"/>
    <w:basedOn w:val="DefaultParagraphFont"/>
    <w:link w:val="FootnoteText"/>
    <w:uiPriority w:val="99"/>
    <w:semiHidden/>
    <w:rsid w:val="00C276F3"/>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C276F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C276F3"/>
    <w:pPr>
      <w:spacing w:after="120" w:line="480" w:lineRule="auto"/>
    </w:pPr>
  </w:style>
  <w:style w:type="character" w:customStyle="1" w:styleId="BodyText2Char">
    <w:name w:val="Body Text 2 Char"/>
    <w:basedOn w:val="DefaultParagraphFont"/>
    <w:link w:val="BodyText2"/>
    <w:uiPriority w:val="99"/>
    <w:semiHidden/>
    <w:rsid w:val="00C276F3"/>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DA53C9"/>
    <w:rPr>
      <w:rFonts w:asciiTheme="majorHAnsi" w:eastAsiaTheme="majorEastAsia" w:hAnsiTheme="majorHAnsi" w:cstheme="majorBidi"/>
      <w:i/>
      <w:iCs/>
      <w:color w:val="404040" w:themeColor="text1" w:themeTint="BF"/>
      <w:sz w:val="24"/>
      <w:szCs w:val="20"/>
    </w:rPr>
  </w:style>
  <w:style w:type="paragraph" w:styleId="BalloonText">
    <w:name w:val="Balloon Text"/>
    <w:basedOn w:val="Normal"/>
    <w:link w:val="BalloonTextChar"/>
    <w:uiPriority w:val="99"/>
    <w:semiHidden/>
    <w:unhideWhenUsed/>
    <w:rsid w:val="008014AA"/>
    <w:rPr>
      <w:rFonts w:ascii="Tahoma" w:hAnsi="Tahoma" w:cs="Tahoma"/>
      <w:sz w:val="16"/>
      <w:szCs w:val="16"/>
    </w:rPr>
  </w:style>
  <w:style w:type="character" w:customStyle="1" w:styleId="BalloonTextChar">
    <w:name w:val="Balloon Text Char"/>
    <w:basedOn w:val="DefaultParagraphFont"/>
    <w:link w:val="BalloonText"/>
    <w:uiPriority w:val="99"/>
    <w:semiHidden/>
    <w:rsid w:val="008014AA"/>
    <w:rPr>
      <w:rFonts w:ascii="Tahoma" w:eastAsia="Times New Roman" w:hAnsi="Tahoma" w:cs="Tahoma"/>
      <w:sz w:val="16"/>
      <w:szCs w:val="16"/>
    </w:rPr>
  </w:style>
  <w:style w:type="character" w:customStyle="1" w:styleId="Heading6Char">
    <w:name w:val="Heading 6 Char"/>
    <w:basedOn w:val="DefaultParagraphFont"/>
    <w:link w:val="Heading6"/>
    <w:uiPriority w:val="9"/>
    <w:rsid w:val="008014AA"/>
    <w:rPr>
      <w:rFonts w:asciiTheme="majorHAnsi" w:eastAsiaTheme="majorEastAsia" w:hAnsiTheme="majorHAnsi" w:cstheme="majorBidi"/>
      <w:i/>
      <w:iCs/>
      <w:color w:val="243F60" w:themeColor="accent1" w:themeShade="7F"/>
      <w:sz w:val="24"/>
      <w:szCs w:val="20"/>
    </w:rPr>
  </w:style>
  <w:style w:type="paragraph" w:customStyle="1" w:styleId="xl41">
    <w:name w:val="xl41"/>
    <w:basedOn w:val="Normal"/>
    <w:rsid w:val="008014AA"/>
    <w:pPr>
      <w:spacing w:before="100" w:beforeAutospacing="1" w:after="100" w:afterAutospacing="1"/>
    </w:pPr>
    <w:rPr>
      <w:rFonts w:eastAsia="Arial Unicode MS"/>
      <w:sz w:val="20"/>
      <w:lang w:val="it-IT" w:eastAsia="it-IT"/>
    </w:rPr>
  </w:style>
  <w:style w:type="character" w:customStyle="1" w:styleId="Heading8Char">
    <w:name w:val="Heading 8 Char"/>
    <w:basedOn w:val="DefaultParagraphFont"/>
    <w:link w:val="Heading8"/>
    <w:uiPriority w:val="9"/>
    <w:rsid w:val="008014AA"/>
    <w:rPr>
      <w:rFonts w:asciiTheme="majorHAnsi" w:eastAsiaTheme="majorEastAsia" w:hAnsiTheme="majorHAnsi" w:cstheme="majorBidi"/>
      <w:color w:val="404040" w:themeColor="text1" w:themeTint="BF"/>
      <w:sz w:val="20"/>
      <w:szCs w:val="20"/>
    </w:rPr>
  </w:style>
  <w:style w:type="paragraph" w:customStyle="1" w:styleId="TextBoxFramed">
    <w:name w:val="Text Box Framed"/>
    <w:basedOn w:val="Normal"/>
    <w:rsid w:val="00971CFD"/>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Style3">
    <w:name w:val="Style3"/>
    <w:basedOn w:val="Normal"/>
    <w:link w:val="Style3Car"/>
    <w:uiPriority w:val="99"/>
    <w:rsid w:val="00FB6671"/>
    <w:pPr>
      <w:widowControl w:val="0"/>
      <w:autoSpaceDE w:val="0"/>
      <w:autoSpaceDN w:val="0"/>
      <w:adjustRightInd w:val="0"/>
      <w:spacing w:line="250" w:lineRule="exact"/>
      <w:jc w:val="center"/>
    </w:pPr>
    <w:rPr>
      <w:szCs w:val="24"/>
      <w:lang w:eastAsia="fr-FR"/>
    </w:rPr>
  </w:style>
  <w:style w:type="character" w:customStyle="1" w:styleId="Style3Car">
    <w:name w:val="Style3 Car"/>
    <w:basedOn w:val="DefaultParagraphFont"/>
    <w:link w:val="Style3"/>
    <w:uiPriority w:val="99"/>
    <w:rsid w:val="00FB6671"/>
    <w:rPr>
      <w:rFonts w:ascii="Times New Roman" w:eastAsia="Times New Roman" w:hAnsi="Times New Roman" w:cs="Times New Roman"/>
      <w:sz w:val="24"/>
      <w:szCs w:val="24"/>
      <w:lang w:eastAsia="fr-FR"/>
    </w:rPr>
  </w:style>
  <w:style w:type="paragraph" w:customStyle="1" w:styleId="Style6">
    <w:name w:val="Style6"/>
    <w:basedOn w:val="Normal"/>
    <w:uiPriority w:val="99"/>
    <w:rsid w:val="00FB6671"/>
    <w:pPr>
      <w:widowControl w:val="0"/>
      <w:autoSpaceDE w:val="0"/>
      <w:autoSpaceDN w:val="0"/>
      <w:adjustRightInd w:val="0"/>
      <w:spacing w:line="370" w:lineRule="exact"/>
      <w:jc w:val="both"/>
    </w:pPr>
    <w:rPr>
      <w:szCs w:val="24"/>
      <w:lang w:eastAsia="fr-FR"/>
    </w:rPr>
  </w:style>
  <w:style w:type="paragraph" w:customStyle="1" w:styleId="Style7">
    <w:name w:val="Style7"/>
    <w:basedOn w:val="Normal"/>
    <w:uiPriority w:val="99"/>
    <w:rsid w:val="00FB6671"/>
    <w:pPr>
      <w:widowControl w:val="0"/>
      <w:autoSpaceDE w:val="0"/>
      <w:autoSpaceDN w:val="0"/>
      <w:adjustRightInd w:val="0"/>
    </w:pPr>
    <w:rPr>
      <w:szCs w:val="24"/>
      <w:lang w:eastAsia="fr-FR"/>
    </w:rPr>
  </w:style>
  <w:style w:type="paragraph" w:customStyle="1" w:styleId="Style15">
    <w:name w:val="Style15"/>
    <w:basedOn w:val="Normal"/>
    <w:uiPriority w:val="99"/>
    <w:rsid w:val="00FB6671"/>
    <w:pPr>
      <w:widowControl w:val="0"/>
      <w:autoSpaceDE w:val="0"/>
      <w:autoSpaceDN w:val="0"/>
      <w:adjustRightInd w:val="0"/>
      <w:spacing w:line="374" w:lineRule="exact"/>
      <w:ind w:firstLine="350"/>
      <w:jc w:val="both"/>
    </w:pPr>
    <w:rPr>
      <w:szCs w:val="24"/>
      <w:lang w:eastAsia="fr-FR"/>
    </w:rPr>
  </w:style>
  <w:style w:type="character" w:customStyle="1" w:styleId="FontStyle24">
    <w:name w:val="Font Style24"/>
    <w:basedOn w:val="DefaultParagraphFont"/>
    <w:uiPriority w:val="99"/>
    <w:rsid w:val="00FB6671"/>
    <w:rPr>
      <w:rFonts w:ascii="Arial Unicode MS" w:eastAsia="Arial Unicode MS" w:cs="Arial Unicode MS"/>
      <w:b/>
      <w:bCs/>
      <w:color w:val="000000"/>
      <w:sz w:val="20"/>
      <w:szCs w:val="20"/>
    </w:rPr>
  </w:style>
  <w:style w:type="character" w:styleId="BookTitle">
    <w:name w:val="Book Title"/>
    <w:basedOn w:val="DefaultParagraphFont"/>
    <w:uiPriority w:val="33"/>
    <w:qFormat/>
    <w:rsid w:val="00FB6671"/>
    <w:rPr>
      <w:b/>
      <w:bCs/>
      <w:smallCaps/>
      <w:spacing w:val="5"/>
    </w:rPr>
  </w:style>
  <w:style w:type="paragraph" w:customStyle="1" w:styleId="A2-heading1">
    <w:name w:val="A2-heading1"/>
    <w:basedOn w:val="Heading1"/>
    <w:rsid w:val="00E3381D"/>
  </w:style>
  <w:style w:type="paragraph" w:customStyle="1" w:styleId="Normali">
    <w:name w:val="Normal(i)"/>
    <w:basedOn w:val="Normal"/>
    <w:rsid w:val="00E3381D"/>
    <w:pPr>
      <w:keepLines/>
      <w:tabs>
        <w:tab w:val="left" w:pos="1843"/>
      </w:tabs>
      <w:spacing w:after="120"/>
      <w:jc w:val="both"/>
    </w:pPr>
    <w:rPr>
      <w:lang w:val="en-GB" w:eastAsia="en-GB"/>
    </w:rPr>
  </w:style>
  <w:style w:type="paragraph" w:customStyle="1" w:styleId="A2-heading3">
    <w:name w:val="A2-heading3"/>
    <w:basedOn w:val="Normal"/>
    <w:rsid w:val="00E3381D"/>
    <w:pPr>
      <w:spacing w:after="200"/>
      <w:ind w:left="720" w:hanging="720"/>
      <w:outlineLvl w:val="2"/>
    </w:pPr>
    <w:rPr>
      <w:b/>
    </w:rPr>
  </w:style>
  <w:style w:type="paragraph" w:customStyle="1" w:styleId="A2-heading4">
    <w:name w:val="A2-heading4"/>
    <w:basedOn w:val="Normal"/>
    <w:rsid w:val="00E3381D"/>
    <w:pPr>
      <w:spacing w:after="200"/>
      <w:ind w:left="864" w:hanging="576"/>
      <w:outlineLvl w:val="3"/>
    </w:pPr>
    <w:rPr>
      <w:rFonts w:ascii="Times New Roman Bold" w:hAnsi="Times New Roman Bold"/>
      <w:b/>
    </w:rPr>
  </w:style>
  <w:style w:type="paragraph" w:customStyle="1" w:styleId="A2-heading2">
    <w:name w:val="A2-heading2"/>
    <w:basedOn w:val="Heading2"/>
    <w:rsid w:val="00E3381D"/>
    <w:pPr>
      <w:spacing w:before="120" w:after="240"/>
      <w:jc w:val="center"/>
    </w:pPr>
    <w:rPr>
      <w:rFonts w:ascii="Times New Roman Bold" w:eastAsia="Times New Roman" w:hAnsi="Times New Roman Bold" w:cs="Times New Roman"/>
      <w:bCs w:val="0"/>
      <w:smallCaps/>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co.kodiera@yahoo.fr" TargetMode="External"/><Relationship Id="rId21" Type="http://schemas.openxmlformats.org/officeDocument/2006/relationships/hyperlink" Target="mailto:itietogo@yahoo.fr" TargetMode="External"/><Relationship Id="rId22" Type="http://schemas.openxmlformats.org/officeDocument/2006/relationships/hyperlink" Target="mailto:itietogo@yahoo.fr" TargetMode="External"/><Relationship Id="rId23" Type="http://schemas.openxmlformats.org/officeDocument/2006/relationships/hyperlink" Target="mailto:itietogo@yahoo.fr" TargetMode="External"/><Relationship Id="rId24" Type="http://schemas.openxmlformats.org/officeDocument/2006/relationships/hyperlink" Target="mailto:itietogo@yahoo.fr" TargetMode="External"/><Relationship Id="rId25" Type="http://schemas.openxmlformats.org/officeDocument/2006/relationships/footer" Target="footer1.xml"/><Relationship Id="rId26" Type="http://schemas.openxmlformats.org/officeDocument/2006/relationships/image" Target="media/image6.wmf"/><Relationship Id="rId27" Type="http://schemas.openxmlformats.org/officeDocument/2006/relationships/oleObject" Target="embeddings/oleObject2.bin"/><Relationship Id="rId28" Type="http://schemas.openxmlformats.org/officeDocument/2006/relationships/hyperlink" Target="http://www.eiti.org/fr" TargetMode="External"/><Relationship Id="rId2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itietogo.org" TargetMode="External"/><Relationship Id="rId31" Type="http://schemas.openxmlformats.org/officeDocument/2006/relationships/hyperlink" Target="http://itietogo.org" TargetMode="External"/><Relationship Id="rId32" Type="http://schemas.openxmlformats.org/officeDocument/2006/relationships/hyperlink" Target="http://itietogo.org" TargetMode="External"/><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tietogo.org" TargetMode="External"/><Relationship Id="rId34" Type="http://schemas.openxmlformats.org/officeDocument/2006/relationships/hyperlink" Target="mailto:itietogo@yahoo.fr"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1.bin"/><Relationship Id="rId12" Type="http://schemas.openxmlformats.org/officeDocument/2006/relationships/hyperlink" Target="mailto:amf@fair-links.com" TargetMode="External"/><Relationship Id="rId13" Type="http://schemas.openxmlformats.org/officeDocument/2006/relationships/hyperlink" Target="mailto:Tim.Woodward@moorestephens.com" TargetMode="External"/><Relationship Id="rId14" Type="http://schemas.openxmlformats.org/officeDocument/2006/relationships/hyperlink" Target="mailto:Ben.Toorabally@moorestephens.com" TargetMode="External"/><Relationship Id="rId15" Type="http://schemas.openxmlformats.org/officeDocument/2006/relationships/hyperlink" Target="mailto:contact@kpmg.ci" TargetMode="External"/><Relationship Id="rId16" Type="http://schemas.openxmlformats.org/officeDocument/2006/relationships/hyperlink" Target="mailto:amf@fair-links.com" TargetMode="External"/><Relationship Id="rId17" Type="http://schemas.openxmlformats.org/officeDocument/2006/relationships/hyperlink" Target="mailto:Tim.Woodward@moorestephens.com" TargetMode="External"/><Relationship Id="rId18" Type="http://schemas.openxmlformats.org/officeDocument/2006/relationships/hyperlink" Target="mailto:Ben.Toorabally@moorestephens.com" TargetMode="External"/><Relationship Id="rId19" Type="http://schemas.openxmlformats.org/officeDocument/2006/relationships/hyperlink" Target="mailto:contact@kpmg.ci"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hyperlink" Target="http://itietogo.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8D641-8CF4-C14C-9E17-CA58F5D3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24479</Words>
  <Characters>139532</Characters>
  <Application>Microsoft Macintosh Word</Application>
  <DocSecurity>4</DocSecurity>
  <Lines>1162</Lines>
  <Paragraphs>327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Desigm Impact</dc:creator>
  <cp:lastModifiedBy>Christina Berger</cp:lastModifiedBy>
  <cp:revision>2</cp:revision>
  <cp:lastPrinted>2014-06-10T15:18:00Z</cp:lastPrinted>
  <dcterms:created xsi:type="dcterms:W3CDTF">2014-06-25T11:15:00Z</dcterms:created>
  <dcterms:modified xsi:type="dcterms:W3CDTF">2014-06-25T11:15:00Z</dcterms:modified>
</cp:coreProperties>
</file>