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987"/>
        <w:gridCol w:w="3053"/>
        <w:gridCol w:w="2987"/>
      </w:tblGrid>
      <w:tr w:rsidR="00DE1211" w:rsidRPr="00B10CF5" w:rsidTr="00672D71">
        <w:tc>
          <w:tcPr>
            <w:tcW w:w="3081" w:type="dxa"/>
          </w:tcPr>
          <w:p w:rsidR="00672D71" w:rsidRPr="00B10CF5" w:rsidRDefault="00672D71" w:rsidP="005D3930">
            <w:pPr>
              <w:tabs>
                <w:tab w:val="left" w:pos="2254"/>
              </w:tabs>
              <w:rPr>
                <w:rFonts w:cs="Arial"/>
              </w:rPr>
            </w:pPr>
          </w:p>
        </w:tc>
        <w:tc>
          <w:tcPr>
            <w:tcW w:w="3081" w:type="dxa"/>
          </w:tcPr>
          <w:p w:rsidR="00672D71" w:rsidRPr="00B10CF5" w:rsidRDefault="00DE1211" w:rsidP="005D3930">
            <w:pPr>
              <w:tabs>
                <w:tab w:val="left" w:pos="2254"/>
              </w:tabs>
              <w:jc w:val="center"/>
              <w:rPr>
                <w:rFonts w:cs="Arial"/>
              </w:rPr>
            </w:pPr>
            <w:r w:rsidRPr="00B10CF5">
              <w:rPr>
                <w:rFonts w:cs="Arial"/>
                <w:noProof/>
              </w:rPr>
              <w:drawing>
                <wp:inline distT="0" distB="0" distL="0" distR="0" wp14:anchorId="15015D2B" wp14:editId="705FFF67">
                  <wp:extent cx="1271070" cy="1265615"/>
                  <wp:effectExtent l="0" t="0" r="5715" b="0"/>
                  <wp:docPr id="1" name="Picture 1" descr="D:\ADMINISTRATION\Logo\logo 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ION\Logo\logo m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468" cy="1277960"/>
                          </a:xfrm>
                          <a:prstGeom prst="rect">
                            <a:avLst/>
                          </a:prstGeom>
                          <a:noFill/>
                          <a:ln>
                            <a:noFill/>
                          </a:ln>
                        </pic:spPr>
                      </pic:pic>
                    </a:graphicData>
                  </a:graphic>
                </wp:inline>
              </w:drawing>
            </w:r>
          </w:p>
        </w:tc>
        <w:tc>
          <w:tcPr>
            <w:tcW w:w="3081" w:type="dxa"/>
          </w:tcPr>
          <w:p w:rsidR="00672D71" w:rsidRPr="00B10CF5" w:rsidRDefault="00672D71" w:rsidP="005D3930">
            <w:pPr>
              <w:tabs>
                <w:tab w:val="left" w:pos="2254"/>
              </w:tabs>
              <w:rPr>
                <w:rFonts w:cs="Arial"/>
              </w:rPr>
            </w:pPr>
          </w:p>
        </w:tc>
      </w:tr>
    </w:tbl>
    <w:p w:rsidR="00672D71" w:rsidRPr="00B10CF5" w:rsidRDefault="00672D71" w:rsidP="005D3930">
      <w:pPr>
        <w:tabs>
          <w:tab w:val="left" w:pos="2254"/>
        </w:tabs>
        <w:rPr>
          <w:rFonts w:cs="Arial"/>
        </w:rPr>
      </w:pPr>
    </w:p>
    <w:tbl>
      <w:tblPr>
        <w:tblW w:w="0" w:type="auto"/>
        <w:tblLook w:val="04A0" w:firstRow="1" w:lastRow="0" w:firstColumn="1" w:lastColumn="0" w:noHBand="0" w:noVBand="1"/>
      </w:tblPr>
      <w:tblGrid>
        <w:gridCol w:w="3009"/>
        <w:gridCol w:w="3009"/>
        <w:gridCol w:w="3009"/>
      </w:tblGrid>
      <w:tr w:rsidR="00950B8F" w:rsidRPr="00B10CF5" w:rsidTr="00950B8F">
        <w:tc>
          <w:tcPr>
            <w:tcW w:w="3081" w:type="dxa"/>
          </w:tcPr>
          <w:p w:rsidR="00950B8F" w:rsidRPr="00B10CF5" w:rsidRDefault="00950B8F" w:rsidP="005D3930">
            <w:pPr>
              <w:tabs>
                <w:tab w:val="left" w:pos="2254"/>
              </w:tabs>
              <w:ind w:right="-629"/>
              <w:jc w:val="center"/>
              <w:rPr>
                <w:rFonts w:cs="Arial"/>
                <w:color w:val="000000" w:themeColor="text1"/>
              </w:rPr>
            </w:pPr>
          </w:p>
          <w:p w:rsidR="00672D71" w:rsidRPr="00B10CF5" w:rsidRDefault="00672D71" w:rsidP="005D3930">
            <w:pPr>
              <w:tabs>
                <w:tab w:val="left" w:pos="2254"/>
              </w:tabs>
              <w:ind w:right="-629"/>
              <w:jc w:val="center"/>
              <w:rPr>
                <w:rFonts w:cs="Arial"/>
                <w:color w:val="000000" w:themeColor="text1"/>
              </w:rPr>
            </w:pPr>
          </w:p>
          <w:p w:rsidR="00672D71" w:rsidRPr="00B10CF5" w:rsidRDefault="00672D71" w:rsidP="005D3930">
            <w:pPr>
              <w:tabs>
                <w:tab w:val="left" w:pos="2254"/>
              </w:tabs>
              <w:ind w:right="-629"/>
              <w:jc w:val="center"/>
              <w:rPr>
                <w:rFonts w:cs="Arial"/>
                <w:color w:val="000000" w:themeColor="text1"/>
              </w:rPr>
            </w:pPr>
          </w:p>
          <w:p w:rsidR="00672D71" w:rsidRPr="00B10CF5" w:rsidRDefault="00672D71" w:rsidP="005D3930">
            <w:pPr>
              <w:tabs>
                <w:tab w:val="left" w:pos="2254"/>
              </w:tabs>
              <w:ind w:right="-629"/>
              <w:jc w:val="center"/>
              <w:rPr>
                <w:rFonts w:cs="Arial"/>
                <w:color w:val="000000" w:themeColor="text1"/>
              </w:rPr>
            </w:pPr>
          </w:p>
        </w:tc>
        <w:tc>
          <w:tcPr>
            <w:tcW w:w="3081" w:type="dxa"/>
          </w:tcPr>
          <w:p w:rsidR="00672D71" w:rsidRPr="00B10CF5" w:rsidRDefault="00672D71" w:rsidP="005D3930">
            <w:pPr>
              <w:tabs>
                <w:tab w:val="left" w:pos="2254"/>
              </w:tabs>
              <w:ind w:right="-629"/>
              <w:jc w:val="center"/>
              <w:rPr>
                <w:rFonts w:cs="Arial"/>
                <w:noProof/>
                <w:color w:val="000000" w:themeColor="text1"/>
              </w:rPr>
            </w:pPr>
          </w:p>
          <w:p w:rsidR="00950B8F" w:rsidRPr="00B10CF5" w:rsidRDefault="00950B8F" w:rsidP="005D3930">
            <w:pPr>
              <w:tabs>
                <w:tab w:val="left" w:pos="2254"/>
              </w:tabs>
              <w:ind w:right="-629"/>
              <w:jc w:val="center"/>
              <w:rPr>
                <w:rFonts w:cs="Arial"/>
                <w:color w:val="000000" w:themeColor="text1"/>
              </w:rPr>
            </w:pPr>
          </w:p>
        </w:tc>
        <w:tc>
          <w:tcPr>
            <w:tcW w:w="3081" w:type="dxa"/>
          </w:tcPr>
          <w:p w:rsidR="00950B8F" w:rsidRPr="00B10CF5" w:rsidRDefault="00950B8F" w:rsidP="005D3930">
            <w:pPr>
              <w:tabs>
                <w:tab w:val="left" w:pos="2254"/>
              </w:tabs>
              <w:ind w:right="-629"/>
              <w:jc w:val="center"/>
              <w:rPr>
                <w:rFonts w:cs="Arial"/>
                <w:color w:val="000000" w:themeColor="text1"/>
              </w:rPr>
            </w:pPr>
          </w:p>
        </w:tc>
        <w:bookmarkStart w:id="0" w:name="_GoBack"/>
        <w:bookmarkEnd w:id="0"/>
      </w:tr>
    </w:tbl>
    <w:p w:rsidR="003F7FB9" w:rsidRPr="00B10CF5" w:rsidRDefault="003F7FB9" w:rsidP="005D3930">
      <w:pPr>
        <w:tabs>
          <w:tab w:val="left" w:pos="2254"/>
        </w:tabs>
        <w:spacing w:after="0" w:line="240" w:lineRule="auto"/>
        <w:ind w:right="-629"/>
        <w:jc w:val="center"/>
        <w:rPr>
          <w:rFonts w:cs="Arial"/>
          <w:color w:val="000000" w:themeColor="text1"/>
        </w:rPr>
      </w:pPr>
    </w:p>
    <w:p w:rsidR="003F7FB9" w:rsidRPr="00B10CF5" w:rsidRDefault="003F7FB9" w:rsidP="005D3930">
      <w:pPr>
        <w:tabs>
          <w:tab w:val="left" w:pos="2254"/>
        </w:tabs>
        <w:spacing w:after="0" w:line="240" w:lineRule="auto"/>
        <w:ind w:right="-629"/>
        <w:jc w:val="center"/>
        <w:rPr>
          <w:rFonts w:cs="Arial"/>
          <w:color w:val="000000" w:themeColor="text1"/>
        </w:rPr>
      </w:pPr>
    </w:p>
    <w:p w:rsidR="003F7FB9" w:rsidRPr="00B10CF5" w:rsidRDefault="003F7FB9" w:rsidP="005D3930">
      <w:pPr>
        <w:tabs>
          <w:tab w:val="left" w:pos="2254"/>
        </w:tabs>
        <w:spacing w:after="0" w:line="240" w:lineRule="auto"/>
        <w:ind w:right="-629"/>
        <w:jc w:val="center"/>
        <w:rPr>
          <w:rFonts w:cs="Arial"/>
          <w:color w:val="000000" w:themeColor="text1"/>
        </w:rPr>
      </w:pPr>
    </w:p>
    <w:p w:rsidR="00D92D96" w:rsidRPr="00B10CF5" w:rsidRDefault="00C93CC7" w:rsidP="005D3930">
      <w:pPr>
        <w:tabs>
          <w:tab w:val="left" w:pos="2254"/>
        </w:tabs>
        <w:spacing w:after="0" w:line="240" w:lineRule="auto"/>
        <w:ind w:right="-629"/>
        <w:jc w:val="center"/>
        <w:rPr>
          <w:rFonts w:cs="Arial"/>
          <w:b/>
          <w:color w:val="000000" w:themeColor="text1"/>
        </w:rPr>
      </w:pPr>
      <w:r w:rsidRPr="00B10CF5">
        <w:rPr>
          <w:rFonts w:cs="Arial"/>
          <w:b/>
          <w:color w:val="000000" w:themeColor="text1"/>
        </w:rPr>
        <w:t>Mongolia EITI Annual Progress Report</w:t>
      </w:r>
    </w:p>
    <w:p w:rsidR="005D0B2F" w:rsidRPr="00B10CF5" w:rsidRDefault="005D0B2F" w:rsidP="005D3930">
      <w:pPr>
        <w:tabs>
          <w:tab w:val="left" w:pos="2254"/>
        </w:tabs>
        <w:spacing w:after="0" w:line="240" w:lineRule="auto"/>
        <w:ind w:right="-629"/>
        <w:jc w:val="center"/>
        <w:rPr>
          <w:rFonts w:cs="Arial"/>
          <w:b/>
          <w:color w:val="000000" w:themeColor="text1"/>
          <w:lang w:val="mn-MN"/>
        </w:rPr>
      </w:pPr>
    </w:p>
    <w:p w:rsidR="003F7FB9" w:rsidRPr="00B10CF5" w:rsidRDefault="003F7FB9" w:rsidP="005D3930">
      <w:pPr>
        <w:tabs>
          <w:tab w:val="left" w:pos="2254"/>
        </w:tabs>
        <w:spacing w:after="0" w:line="240" w:lineRule="auto"/>
        <w:ind w:right="-629"/>
        <w:jc w:val="center"/>
        <w:rPr>
          <w:rFonts w:cs="Arial"/>
          <w:color w:val="000000" w:themeColor="text1"/>
        </w:rPr>
      </w:pPr>
      <w:r w:rsidRPr="00B10CF5">
        <w:rPr>
          <w:rFonts w:cs="Arial"/>
          <w:b/>
          <w:color w:val="000000" w:themeColor="text1"/>
          <w:lang w:val="mn-MN"/>
        </w:rPr>
        <w:t>201</w:t>
      </w:r>
      <w:r w:rsidR="00F17906" w:rsidRPr="00B10CF5">
        <w:rPr>
          <w:rFonts w:cs="Arial"/>
          <w:b/>
          <w:color w:val="000000" w:themeColor="text1"/>
        </w:rPr>
        <w:t>9</w:t>
      </w:r>
      <w:r w:rsidRPr="00B10CF5">
        <w:rPr>
          <w:rFonts w:cs="Arial"/>
          <w:b/>
          <w:color w:val="000000" w:themeColor="text1"/>
          <w:lang w:val="mn-MN"/>
        </w:rPr>
        <w:t xml:space="preserve"> </w:t>
      </w:r>
    </w:p>
    <w:p w:rsidR="003F7FB9" w:rsidRPr="00B10CF5" w:rsidRDefault="003F7FB9" w:rsidP="005D3930">
      <w:pPr>
        <w:tabs>
          <w:tab w:val="left" w:pos="2254"/>
        </w:tabs>
        <w:spacing w:after="0" w:line="240" w:lineRule="auto"/>
        <w:ind w:right="-629"/>
        <w:jc w:val="center"/>
        <w:rPr>
          <w:rFonts w:cs="Arial"/>
          <w:color w:val="000000" w:themeColor="text1"/>
        </w:rPr>
      </w:pPr>
    </w:p>
    <w:p w:rsidR="003F7FB9" w:rsidRPr="00B10CF5" w:rsidRDefault="003F7FB9" w:rsidP="005D3930">
      <w:pPr>
        <w:tabs>
          <w:tab w:val="left" w:pos="2254"/>
        </w:tabs>
        <w:spacing w:after="0" w:line="240" w:lineRule="auto"/>
        <w:ind w:right="-629"/>
        <w:jc w:val="center"/>
        <w:rPr>
          <w:rFonts w:cs="Arial"/>
          <w:color w:val="000000" w:themeColor="text1"/>
        </w:rPr>
      </w:pPr>
    </w:p>
    <w:p w:rsidR="003F7FB9" w:rsidRPr="00B10CF5" w:rsidRDefault="003F7FB9" w:rsidP="005D3930">
      <w:pPr>
        <w:tabs>
          <w:tab w:val="left" w:pos="2254"/>
        </w:tabs>
        <w:spacing w:after="0" w:line="240" w:lineRule="auto"/>
        <w:ind w:right="-629"/>
        <w:jc w:val="center"/>
        <w:rPr>
          <w:rFonts w:cs="Arial"/>
          <w:color w:val="000000" w:themeColor="text1"/>
        </w:rPr>
      </w:pPr>
    </w:p>
    <w:p w:rsidR="003F7FB9" w:rsidRPr="00B10CF5" w:rsidRDefault="003F7FB9" w:rsidP="005D3930">
      <w:pPr>
        <w:tabs>
          <w:tab w:val="left" w:pos="2254"/>
        </w:tabs>
        <w:spacing w:after="0" w:line="240" w:lineRule="auto"/>
        <w:ind w:right="-629"/>
        <w:jc w:val="center"/>
        <w:rPr>
          <w:rFonts w:cs="Arial"/>
          <w:color w:val="000000" w:themeColor="text1"/>
        </w:rPr>
      </w:pPr>
    </w:p>
    <w:p w:rsidR="003F7FB9" w:rsidRPr="00B10CF5" w:rsidRDefault="003F7FB9" w:rsidP="005D3930">
      <w:pPr>
        <w:tabs>
          <w:tab w:val="left" w:pos="2254"/>
        </w:tabs>
        <w:spacing w:after="0" w:line="240" w:lineRule="auto"/>
        <w:ind w:right="-629"/>
        <w:jc w:val="center"/>
        <w:rPr>
          <w:rFonts w:cs="Arial"/>
          <w:color w:val="000000" w:themeColor="text1"/>
        </w:rPr>
      </w:pPr>
    </w:p>
    <w:p w:rsidR="003F7FB9" w:rsidRPr="00B10CF5" w:rsidRDefault="003F7FB9" w:rsidP="005D3930">
      <w:pPr>
        <w:tabs>
          <w:tab w:val="left" w:pos="2254"/>
        </w:tabs>
        <w:spacing w:after="0" w:line="240" w:lineRule="auto"/>
        <w:ind w:right="-629"/>
        <w:jc w:val="center"/>
        <w:rPr>
          <w:rFonts w:cs="Arial"/>
          <w:color w:val="000000" w:themeColor="text1"/>
        </w:rPr>
      </w:pPr>
    </w:p>
    <w:p w:rsidR="003F7FB9" w:rsidRPr="00B10CF5" w:rsidRDefault="00F17906" w:rsidP="005D3930">
      <w:pPr>
        <w:tabs>
          <w:tab w:val="left" w:pos="2254"/>
        </w:tabs>
        <w:spacing w:after="0" w:line="240" w:lineRule="auto"/>
        <w:ind w:right="-629"/>
        <w:jc w:val="center"/>
        <w:rPr>
          <w:rFonts w:cs="Arial"/>
          <w:b/>
          <w:color w:val="000000" w:themeColor="text1"/>
          <w:lang w:val="mn-MN"/>
        </w:rPr>
      </w:pPr>
      <w:r w:rsidRPr="00B10CF5">
        <w:rPr>
          <w:rFonts w:cs="Arial"/>
          <w:b/>
          <w:color w:val="000000" w:themeColor="text1"/>
        </w:rPr>
        <w:t xml:space="preserve">Mongolia EITI National Council, </w:t>
      </w:r>
      <w:r w:rsidR="00C93CC7" w:rsidRPr="00B10CF5">
        <w:rPr>
          <w:rFonts w:cs="Arial"/>
          <w:b/>
          <w:color w:val="000000" w:themeColor="text1"/>
        </w:rPr>
        <w:t>Working group</w:t>
      </w:r>
    </w:p>
    <w:p w:rsidR="003F7FB9" w:rsidRPr="00B10CF5" w:rsidRDefault="00F17906" w:rsidP="005D3930">
      <w:pPr>
        <w:tabs>
          <w:tab w:val="left" w:pos="2254"/>
        </w:tabs>
        <w:spacing w:after="0" w:line="240" w:lineRule="auto"/>
        <w:ind w:right="-629"/>
        <w:jc w:val="center"/>
        <w:rPr>
          <w:rFonts w:cs="Arial"/>
          <w:b/>
          <w:color w:val="000000" w:themeColor="text1"/>
        </w:rPr>
      </w:pPr>
      <w:r w:rsidRPr="00B10CF5">
        <w:rPr>
          <w:rFonts w:cs="Arial"/>
          <w:b/>
          <w:color w:val="000000" w:themeColor="text1"/>
        </w:rPr>
        <w:t xml:space="preserve">and </w:t>
      </w:r>
      <w:r w:rsidR="00C93CC7" w:rsidRPr="00B10CF5">
        <w:rPr>
          <w:rFonts w:cs="Arial"/>
          <w:b/>
          <w:color w:val="000000" w:themeColor="text1"/>
        </w:rPr>
        <w:t>Secretariat</w:t>
      </w:r>
    </w:p>
    <w:p w:rsidR="003F7FB9" w:rsidRPr="00B10CF5" w:rsidRDefault="003F7FB9" w:rsidP="005D3930">
      <w:pPr>
        <w:tabs>
          <w:tab w:val="left" w:pos="2254"/>
        </w:tabs>
        <w:rPr>
          <w:rFonts w:cs="Arial"/>
          <w:color w:val="000000" w:themeColor="text1"/>
        </w:rPr>
      </w:pPr>
    </w:p>
    <w:p w:rsidR="003F7FB9" w:rsidRPr="00B10CF5" w:rsidRDefault="003F7FB9" w:rsidP="005D3930">
      <w:pPr>
        <w:tabs>
          <w:tab w:val="left" w:pos="2254"/>
        </w:tabs>
        <w:rPr>
          <w:rFonts w:cs="Arial"/>
          <w:color w:val="000000" w:themeColor="text1"/>
          <w:lang w:val="mn-MN"/>
        </w:rPr>
      </w:pPr>
      <w:r w:rsidRPr="00B10CF5">
        <w:rPr>
          <w:rFonts w:cs="Arial"/>
          <w:color w:val="000000" w:themeColor="text1"/>
          <w:lang w:val="mn-MN"/>
        </w:rPr>
        <w:br w:type="page"/>
      </w:r>
    </w:p>
    <w:sdt>
      <w:sdtPr>
        <w:rPr>
          <w:rFonts w:ascii="Arial" w:eastAsiaTheme="minorHAnsi" w:hAnsi="Arial" w:cs="Arial"/>
          <w:color w:val="auto"/>
          <w:sz w:val="22"/>
          <w:szCs w:val="22"/>
        </w:rPr>
        <w:id w:val="-804084917"/>
        <w:docPartObj>
          <w:docPartGallery w:val="Table of Contents"/>
          <w:docPartUnique/>
        </w:docPartObj>
      </w:sdtPr>
      <w:sdtEndPr>
        <w:rPr>
          <w:b/>
          <w:bCs/>
          <w:noProof/>
        </w:rPr>
      </w:sdtEndPr>
      <w:sdtContent>
        <w:p w:rsidR="00ED48BB" w:rsidRPr="00B10CF5" w:rsidRDefault="00ED48BB" w:rsidP="005D3930">
          <w:pPr>
            <w:pStyle w:val="TOCHeading"/>
            <w:tabs>
              <w:tab w:val="left" w:pos="2254"/>
            </w:tabs>
            <w:rPr>
              <w:rFonts w:ascii="Arial" w:hAnsi="Arial" w:cs="Arial"/>
              <w:color w:val="auto"/>
              <w:sz w:val="22"/>
              <w:szCs w:val="22"/>
            </w:rPr>
          </w:pPr>
          <w:r w:rsidRPr="00B10CF5">
            <w:rPr>
              <w:rFonts w:ascii="Arial" w:hAnsi="Arial" w:cs="Arial"/>
              <w:color w:val="auto"/>
              <w:sz w:val="22"/>
              <w:szCs w:val="22"/>
            </w:rPr>
            <w:t>Table of Contents</w:t>
          </w:r>
        </w:p>
        <w:p w:rsidR="00BF38A7" w:rsidRPr="00B10CF5" w:rsidRDefault="00BF38A7" w:rsidP="00BF38A7">
          <w:pPr>
            <w:rPr>
              <w:rFonts w:cs="Arial"/>
            </w:rPr>
          </w:pPr>
        </w:p>
        <w:p w:rsidR="00817F55" w:rsidRDefault="00ED48BB">
          <w:pPr>
            <w:pStyle w:val="TOC1"/>
            <w:tabs>
              <w:tab w:val="right" w:leader="dot" w:pos="9017"/>
            </w:tabs>
            <w:rPr>
              <w:rFonts w:asciiTheme="minorHAnsi" w:eastAsiaTheme="minorEastAsia" w:hAnsiTheme="minorHAnsi"/>
              <w:noProof/>
            </w:rPr>
          </w:pPr>
          <w:r w:rsidRPr="00B10CF5">
            <w:rPr>
              <w:rFonts w:cs="Arial"/>
            </w:rPr>
            <w:fldChar w:fldCharType="begin"/>
          </w:r>
          <w:r w:rsidRPr="00B10CF5">
            <w:rPr>
              <w:rFonts w:cs="Arial"/>
            </w:rPr>
            <w:instrText xml:space="preserve"> TOC \o "1-3" \h \z \u </w:instrText>
          </w:r>
          <w:r w:rsidRPr="00B10CF5">
            <w:rPr>
              <w:rFonts w:cs="Arial"/>
            </w:rPr>
            <w:fldChar w:fldCharType="separate"/>
          </w:r>
          <w:hyperlink w:anchor="_Toc28686580" w:history="1">
            <w:r w:rsidR="00817F55" w:rsidRPr="0028737B">
              <w:rPr>
                <w:rStyle w:val="Hyperlink"/>
                <w:noProof/>
              </w:rPr>
              <w:t>Content</w:t>
            </w:r>
            <w:r w:rsidR="00817F55">
              <w:rPr>
                <w:noProof/>
                <w:webHidden/>
              </w:rPr>
              <w:tab/>
            </w:r>
            <w:r w:rsidR="00817F55">
              <w:rPr>
                <w:noProof/>
                <w:webHidden/>
              </w:rPr>
              <w:fldChar w:fldCharType="begin"/>
            </w:r>
            <w:r w:rsidR="00817F55">
              <w:rPr>
                <w:noProof/>
                <w:webHidden/>
              </w:rPr>
              <w:instrText xml:space="preserve"> PAGEREF _Toc28686580 \h </w:instrText>
            </w:r>
            <w:r w:rsidR="00817F55">
              <w:rPr>
                <w:noProof/>
                <w:webHidden/>
              </w:rPr>
            </w:r>
            <w:r w:rsidR="00817F55">
              <w:rPr>
                <w:noProof/>
                <w:webHidden/>
              </w:rPr>
              <w:fldChar w:fldCharType="separate"/>
            </w:r>
            <w:r w:rsidR="00817F55">
              <w:rPr>
                <w:noProof/>
                <w:webHidden/>
              </w:rPr>
              <w:t>3</w:t>
            </w:r>
            <w:r w:rsidR="00817F55">
              <w:rPr>
                <w:noProof/>
                <w:webHidden/>
              </w:rPr>
              <w:fldChar w:fldCharType="end"/>
            </w:r>
          </w:hyperlink>
        </w:p>
        <w:p w:rsidR="00817F55" w:rsidRDefault="008E36F9">
          <w:pPr>
            <w:pStyle w:val="TOC1"/>
            <w:tabs>
              <w:tab w:val="right" w:leader="dot" w:pos="9017"/>
            </w:tabs>
            <w:rPr>
              <w:rFonts w:asciiTheme="minorHAnsi" w:eastAsiaTheme="minorEastAsia" w:hAnsiTheme="minorHAnsi"/>
              <w:noProof/>
            </w:rPr>
          </w:pPr>
          <w:hyperlink w:anchor="_Toc28686581" w:history="1">
            <w:r w:rsidR="00817F55" w:rsidRPr="0028737B">
              <w:rPr>
                <w:rStyle w:val="Hyperlink"/>
                <w:noProof/>
              </w:rPr>
              <w:t>One</w:t>
            </w:r>
            <w:r w:rsidR="00817F55" w:rsidRPr="0028737B">
              <w:rPr>
                <w:rStyle w:val="Hyperlink"/>
                <w:noProof/>
                <w:lang w:val="mn-MN"/>
              </w:rPr>
              <w:t xml:space="preserve">. </w:t>
            </w:r>
            <w:r w:rsidR="00817F55" w:rsidRPr="0028737B">
              <w:rPr>
                <w:rStyle w:val="Hyperlink"/>
                <w:noProof/>
              </w:rPr>
              <w:t>General assessment of activities</w:t>
            </w:r>
            <w:r w:rsidR="00817F55">
              <w:rPr>
                <w:noProof/>
                <w:webHidden/>
              </w:rPr>
              <w:tab/>
            </w:r>
            <w:r w:rsidR="00817F55">
              <w:rPr>
                <w:noProof/>
                <w:webHidden/>
              </w:rPr>
              <w:fldChar w:fldCharType="begin"/>
            </w:r>
            <w:r w:rsidR="00817F55">
              <w:rPr>
                <w:noProof/>
                <w:webHidden/>
              </w:rPr>
              <w:instrText xml:space="preserve"> PAGEREF _Toc28686581 \h </w:instrText>
            </w:r>
            <w:r w:rsidR="00817F55">
              <w:rPr>
                <w:noProof/>
                <w:webHidden/>
              </w:rPr>
            </w:r>
            <w:r w:rsidR="00817F55">
              <w:rPr>
                <w:noProof/>
                <w:webHidden/>
              </w:rPr>
              <w:fldChar w:fldCharType="separate"/>
            </w:r>
            <w:r w:rsidR="00817F55">
              <w:rPr>
                <w:noProof/>
                <w:webHidden/>
              </w:rPr>
              <w:t>3</w:t>
            </w:r>
            <w:r w:rsidR="00817F55">
              <w:rPr>
                <w:noProof/>
                <w:webHidden/>
              </w:rPr>
              <w:fldChar w:fldCharType="end"/>
            </w:r>
          </w:hyperlink>
        </w:p>
        <w:p w:rsidR="00817F55" w:rsidRDefault="008E36F9">
          <w:pPr>
            <w:pStyle w:val="TOC2"/>
            <w:tabs>
              <w:tab w:val="left" w:pos="880"/>
              <w:tab w:val="right" w:leader="dot" w:pos="9017"/>
            </w:tabs>
            <w:rPr>
              <w:rFonts w:asciiTheme="minorHAnsi" w:eastAsiaTheme="minorEastAsia" w:hAnsiTheme="minorHAnsi"/>
              <w:noProof/>
            </w:rPr>
          </w:pPr>
          <w:hyperlink w:anchor="_Toc28686582" w:history="1">
            <w:r w:rsidR="00817F55" w:rsidRPr="0028737B">
              <w:rPr>
                <w:rStyle w:val="Hyperlink"/>
                <w:rFonts w:cs="Arial"/>
                <w:noProof/>
              </w:rPr>
              <w:t>1.1.</w:t>
            </w:r>
            <w:r w:rsidR="00817F55">
              <w:rPr>
                <w:rFonts w:asciiTheme="minorHAnsi" w:eastAsiaTheme="minorEastAsia" w:hAnsiTheme="minorHAnsi"/>
                <w:noProof/>
              </w:rPr>
              <w:tab/>
            </w:r>
            <w:r w:rsidR="00817F55" w:rsidRPr="0028737B">
              <w:rPr>
                <w:rStyle w:val="Hyperlink"/>
                <w:rFonts w:cs="Arial"/>
                <w:noProof/>
              </w:rPr>
              <w:t>Result, impact and progress of EITI in Mongolia</w:t>
            </w:r>
            <w:r w:rsidR="00817F55">
              <w:rPr>
                <w:noProof/>
                <w:webHidden/>
              </w:rPr>
              <w:tab/>
            </w:r>
            <w:r w:rsidR="00817F55">
              <w:rPr>
                <w:noProof/>
                <w:webHidden/>
              </w:rPr>
              <w:fldChar w:fldCharType="begin"/>
            </w:r>
            <w:r w:rsidR="00817F55">
              <w:rPr>
                <w:noProof/>
                <w:webHidden/>
              </w:rPr>
              <w:instrText xml:space="preserve"> PAGEREF _Toc28686582 \h </w:instrText>
            </w:r>
            <w:r w:rsidR="00817F55">
              <w:rPr>
                <w:noProof/>
                <w:webHidden/>
              </w:rPr>
            </w:r>
            <w:r w:rsidR="00817F55">
              <w:rPr>
                <w:noProof/>
                <w:webHidden/>
              </w:rPr>
              <w:fldChar w:fldCharType="separate"/>
            </w:r>
            <w:r w:rsidR="00817F55">
              <w:rPr>
                <w:noProof/>
                <w:webHidden/>
              </w:rPr>
              <w:t>4</w:t>
            </w:r>
            <w:r w:rsidR="00817F55">
              <w:rPr>
                <w:noProof/>
                <w:webHidden/>
              </w:rPr>
              <w:fldChar w:fldCharType="end"/>
            </w:r>
          </w:hyperlink>
        </w:p>
        <w:p w:rsidR="00817F55" w:rsidRDefault="008E36F9">
          <w:pPr>
            <w:pStyle w:val="TOC2"/>
            <w:tabs>
              <w:tab w:val="right" w:leader="dot" w:pos="9017"/>
            </w:tabs>
            <w:rPr>
              <w:rFonts w:asciiTheme="minorHAnsi" w:eastAsiaTheme="minorEastAsia" w:hAnsiTheme="minorHAnsi"/>
              <w:noProof/>
            </w:rPr>
          </w:pPr>
          <w:hyperlink w:anchor="_Toc28686583" w:history="1">
            <w:r w:rsidR="00817F55" w:rsidRPr="0028737B">
              <w:rPr>
                <w:rStyle w:val="Hyperlink"/>
                <w:rFonts w:cs="Arial"/>
                <w:noProof/>
              </w:rPr>
              <w:t>1.2 Core activities in 2019</w:t>
            </w:r>
            <w:r w:rsidR="00817F55">
              <w:rPr>
                <w:noProof/>
                <w:webHidden/>
              </w:rPr>
              <w:tab/>
            </w:r>
            <w:r w:rsidR="00817F55">
              <w:rPr>
                <w:noProof/>
                <w:webHidden/>
              </w:rPr>
              <w:fldChar w:fldCharType="begin"/>
            </w:r>
            <w:r w:rsidR="00817F55">
              <w:rPr>
                <w:noProof/>
                <w:webHidden/>
              </w:rPr>
              <w:instrText xml:space="preserve"> PAGEREF _Toc28686583 \h </w:instrText>
            </w:r>
            <w:r w:rsidR="00817F55">
              <w:rPr>
                <w:noProof/>
                <w:webHidden/>
              </w:rPr>
            </w:r>
            <w:r w:rsidR="00817F55">
              <w:rPr>
                <w:noProof/>
                <w:webHidden/>
              </w:rPr>
              <w:fldChar w:fldCharType="separate"/>
            </w:r>
            <w:r w:rsidR="00817F55">
              <w:rPr>
                <w:noProof/>
                <w:webHidden/>
              </w:rPr>
              <w:t>6</w:t>
            </w:r>
            <w:r w:rsidR="00817F55">
              <w:rPr>
                <w:noProof/>
                <w:webHidden/>
              </w:rPr>
              <w:fldChar w:fldCharType="end"/>
            </w:r>
          </w:hyperlink>
        </w:p>
        <w:p w:rsidR="00817F55" w:rsidRDefault="008E36F9">
          <w:pPr>
            <w:pStyle w:val="TOC1"/>
            <w:tabs>
              <w:tab w:val="right" w:leader="dot" w:pos="9017"/>
            </w:tabs>
            <w:rPr>
              <w:rFonts w:asciiTheme="minorHAnsi" w:eastAsiaTheme="minorEastAsia" w:hAnsiTheme="minorHAnsi"/>
              <w:noProof/>
            </w:rPr>
          </w:pPr>
          <w:hyperlink w:anchor="_Toc28686584" w:history="1">
            <w:r w:rsidR="00817F55" w:rsidRPr="0028737B">
              <w:rPr>
                <w:rStyle w:val="Hyperlink"/>
                <w:noProof/>
              </w:rPr>
              <w:t xml:space="preserve">Two. Implementation of </w:t>
            </w:r>
            <w:r w:rsidR="00817F55" w:rsidRPr="0028737B">
              <w:rPr>
                <w:rStyle w:val="Hyperlink"/>
                <w:noProof/>
                <w:lang w:val="mn-MN"/>
              </w:rPr>
              <w:t>201</w:t>
            </w:r>
            <w:r w:rsidR="00817F55" w:rsidRPr="0028737B">
              <w:rPr>
                <w:rStyle w:val="Hyperlink"/>
                <w:noProof/>
              </w:rPr>
              <w:t>9</w:t>
            </w:r>
            <w:r w:rsidR="00817F55" w:rsidRPr="0028737B">
              <w:rPr>
                <w:rStyle w:val="Hyperlink"/>
                <w:noProof/>
                <w:lang w:val="mn-MN"/>
              </w:rPr>
              <w:t xml:space="preserve"> </w:t>
            </w:r>
            <w:r w:rsidR="00817F55" w:rsidRPr="0028737B">
              <w:rPr>
                <w:rStyle w:val="Hyperlink"/>
                <w:noProof/>
              </w:rPr>
              <w:t>Work plan, status of achievement of objectives and results</w:t>
            </w:r>
            <w:r w:rsidR="00817F55">
              <w:rPr>
                <w:noProof/>
                <w:webHidden/>
              </w:rPr>
              <w:tab/>
            </w:r>
            <w:r w:rsidR="00817F55">
              <w:rPr>
                <w:noProof/>
                <w:webHidden/>
              </w:rPr>
              <w:fldChar w:fldCharType="begin"/>
            </w:r>
            <w:r w:rsidR="00817F55">
              <w:rPr>
                <w:noProof/>
                <w:webHidden/>
              </w:rPr>
              <w:instrText xml:space="preserve"> PAGEREF _Toc28686584 \h </w:instrText>
            </w:r>
            <w:r w:rsidR="00817F55">
              <w:rPr>
                <w:noProof/>
                <w:webHidden/>
              </w:rPr>
            </w:r>
            <w:r w:rsidR="00817F55">
              <w:rPr>
                <w:noProof/>
                <w:webHidden/>
              </w:rPr>
              <w:fldChar w:fldCharType="separate"/>
            </w:r>
            <w:r w:rsidR="00817F55">
              <w:rPr>
                <w:noProof/>
                <w:webHidden/>
              </w:rPr>
              <w:t>9</w:t>
            </w:r>
            <w:r w:rsidR="00817F55">
              <w:rPr>
                <w:noProof/>
                <w:webHidden/>
              </w:rPr>
              <w:fldChar w:fldCharType="end"/>
            </w:r>
          </w:hyperlink>
        </w:p>
        <w:p w:rsidR="00817F55" w:rsidRDefault="008E36F9">
          <w:pPr>
            <w:pStyle w:val="TOC1"/>
            <w:tabs>
              <w:tab w:val="right" w:leader="dot" w:pos="9017"/>
            </w:tabs>
            <w:rPr>
              <w:rFonts w:asciiTheme="minorHAnsi" w:eastAsiaTheme="minorEastAsia" w:hAnsiTheme="minorHAnsi"/>
              <w:noProof/>
            </w:rPr>
          </w:pPr>
          <w:hyperlink w:anchor="_Toc28686585" w:history="1">
            <w:r w:rsidR="00817F55" w:rsidRPr="0028737B">
              <w:rPr>
                <w:rStyle w:val="Hyperlink"/>
                <w:noProof/>
              </w:rPr>
              <w:t>Three</w:t>
            </w:r>
            <w:r w:rsidR="00817F55" w:rsidRPr="0028737B">
              <w:rPr>
                <w:rStyle w:val="Hyperlink"/>
                <w:noProof/>
                <w:lang w:val="mn-MN"/>
              </w:rPr>
              <w:t xml:space="preserve">. </w:t>
            </w:r>
            <w:r w:rsidR="00817F55" w:rsidRPr="0028737B">
              <w:rPr>
                <w:rStyle w:val="Hyperlink"/>
                <w:noProof/>
              </w:rPr>
              <w:t>Status of meeting of each EITI Standard requirements</w:t>
            </w:r>
            <w:r w:rsidR="00817F55">
              <w:rPr>
                <w:noProof/>
                <w:webHidden/>
              </w:rPr>
              <w:tab/>
            </w:r>
            <w:r w:rsidR="00817F55">
              <w:rPr>
                <w:noProof/>
                <w:webHidden/>
              </w:rPr>
              <w:fldChar w:fldCharType="begin"/>
            </w:r>
            <w:r w:rsidR="00817F55">
              <w:rPr>
                <w:noProof/>
                <w:webHidden/>
              </w:rPr>
              <w:instrText xml:space="preserve"> PAGEREF _Toc28686585 \h </w:instrText>
            </w:r>
            <w:r w:rsidR="00817F55">
              <w:rPr>
                <w:noProof/>
                <w:webHidden/>
              </w:rPr>
            </w:r>
            <w:r w:rsidR="00817F55">
              <w:rPr>
                <w:noProof/>
                <w:webHidden/>
              </w:rPr>
              <w:fldChar w:fldCharType="separate"/>
            </w:r>
            <w:r w:rsidR="00817F55">
              <w:rPr>
                <w:noProof/>
                <w:webHidden/>
              </w:rPr>
              <w:t>9</w:t>
            </w:r>
            <w:r w:rsidR="00817F55">
              <w:rPr>
                <w:noProof/>
                <w:webHidden/>
              </w:rPr>
              <w:fldChar w:fldCharType="end"/>
            </w:r>
          </w:hyperlink>
        </w:p>
        <w:p w:rsidR="00817F55" w:rsidRDefault="008E36F9">
          <w:pPr>
            <w:pStyle w:val="TOC1"/>
            <w:tabs>
              <w:tab w:val="right" w:leader="dot" w:pos="9017"/>
            </w:tabs>
            <w:rPr>
              <w:rFonts w:asciiTheme="minorHAnsi" w:eastAsiaTheme="minorEastAsia" w:hAnsiTheme="minorHAnsi"/>
              <w:noProof/>
            </w:rPr>
          </w:pPr>
          <w:hyperlink w:anchor="_Toc28686587" w:history="1">
            <w:r w:rsidR="00817F55" w:rsidRPr="0028737B">
              <w:rPr>
                <w:rStyle w:val="Hyperlink"/>
                <w:noProof/>
              </w:rPr>
              <w:t>Four</w:t>
            </w:r>
            <w:r w:rsidR="00817F55" w:rsidRPr="0028737B">
              <w:rPr>
                <w:rStyle w:val="Hyperlink"/>
                <w:noProof/>
                <w:lang w:val="mn-MN"/>
              </w:rPr>
              <w:t xml:space="preserve">. </w:t>
            </w:r>
            <w:r w:rsidR="00817F55" w:rsidRPr="0028737B">
              <w:rPr>
                <w:rStyle w:val="Hyperlink"/>
                <w:noProof/>
              </w:rPr>
              <w:t>Status of implementation recommendations under Mongolia EITI Report 2017</w:t>
            </w:r>
            <w:r w:rsidR="00817F55">
              <w:rPr>
                <w:noProof/>
                <w:webHidden/>
              </w:rPr>
              <w:tab/>
            </w:r>
            <w:r w:rsidR="00817F55">
              <w:rPr>
                <w:noProof/>
                <w:webHidden/>
              </w:rPr>
              <w:fldChar w:fldCharType="begin"/>
            </w:r>
            <w:r w:rsidR="00817F55">
              <w:rPr>
                <w:noProof/>
                <w:webHidden/>
              </w:rPr>
              <w:instrText xml:space="preserve"> PAGEREF _Toc28686587 \h </w:instrText>
            </w:r>
            <w:r w:rsidR="00817F55">
              <w:rPr>
                <w:noProof/>
                <w:webHidden/>
              </w:rPr>
            </w:r>
            <w:r w:rsidR="00817F55">
              <w:rPr>
                <w:noProof/>
                <w:webHidden/>
              </w:rPr>
              <w:fldChar w:fldCharType="separate"/>
            </w:r>
            <w:r w:rsidR="00817F55">
              <w:rPr>
                <w:noProof/>
                <w:webHidden/>
              </w:rPr>
              <w:t>9</w:t>
            </w:r>
            <w:r w:rsidR="00817F55">
              <w:rPr>
                <w:noProof/>
                <w:webHidden/>
              </w:rPr>
              <w:fldChar w:fldCharType="end"/>
            </w:r>
          </w:hyperlink>
        </w:p>
        <w:p w:rsidR="00817F55" w:rsidRDefault="008E36F9">
          <w:pPr>
            <w:pStyle w:val="TOC1"/>
            <w:tabs>
              <w:tab w:val="right" w:leader="dot" w:pos="9017"/>
            </w:tabs>
            <w:rPr>
              <w:rFonts w:asciiTheme="minorHAnsi" w:eastAsiaTheme="minorEastAsia" w:hAnsiTheme="minorHAnsi"/>
              <w:noProof/>
            </w:rPr>
          </w:pPr>
          <w:hyperlink w:anchor="_Toc28686588" w:history="1">
            <w:r w:rsidR="00817F55" w:rsidRPr="0028737B">
              <w:rPr>
                <w:rStyle w:val="Hyperlink"/>
                <w:noProof/>
              </w:rPr>
              <w:t>Five</w:t>
            </w:r>
            <w:r w:rsidR="00817F55" w:rsidRPr="0028737B">
              <w:rPr>
                <w:rStyle w:val="Hyperlink"/>
                <w:noProof/>
                <w:lang w:val="mn-MN"/>
              </w:rPr>
              <w:t>.</w:t>
            </w:r>
            <w:r w:rsidR="00817F55" w:rsidRPr="0028737B">
              <w:rPr>
                <w:rStyle w:val="Hyperlink"/>
                <w:noProof/>
              </w:rPr>
              <w:t xml:space="preserve"> Specific weaknesses, identified in the Mongolia EITI process, responses and lessons learnt</w:t>
            </w:r>
            <w:r w:rsidR="00817F55">
              <w:rPr>
                <w:noProof/>
                <w:webHidden/>
              </w:rPr>
              <w:tab/>
            </w:r>
            <w:r w:rsidR="00817F55">
              <w:rPr>
                <w:noProof/>
                <w:webHidden/>
              </w:rPr>
              <w:fldChar w:fldCharType="begin"/>
            </w:r>
            <w:r w:rsidR="00817F55">
              <w:rPr>
                <w:noProof/>
                <w:webHidden/>
              </w:rPr>
              <w:instrText xml:space="preserve"> PAGEREF _Toc28686588 \h </w:instrText>
            </w:r>
            <w:r w:rsidR="00817F55">
              <w:rPr>
                <w:noProof/>
                <w:webHidden/>
              </w:rPr>
            </w:r>
            <w:r w:rsidR="00817F55">
              <w:rPr>
                <w:noProof/>
                <w:webHidden/>
              </w:rPr>
              <w:fldChar w:fldCharType="separate"/>
            </w:r>
            <w:r w:rsidR="00817F55">
              <w:rPr>
                <w:noProof/>
                <w:webHidden/>
              </w:rPr>
              <w:t>11</w:t>
            </w:r>
            <w:r w:rsidR="00817F55">
              <w:rPr>
                <w:noProof/>
                <w:webHidden/>
              </w:rPr>
              <w:fldChar w:fldCharType="end"/>
            </w:r>
          </w:hyperlink>
        </w:p>
        <w:p w:rsidR="00817F55" w:rsidRDefault="008E36F9">
          <w:pPr>
            <w:pStyle w:val="TOC1"/>
            <w:tabs>
              <w:tab w:val="right" w:leader="dot" w:pos="9017"/>
            </w:tabs>
            <w:rPr>
              <w:rFonts w:asciiTheme="minorHAnsi" w:eastAsiaTheme="minorEastAsia" w:hAnsiTheme="minorHAnsi"/>
              <w:noProof/>
            </w:rPr>
          </w:pPr>
          <w:hyperlink w:anchor="_Toc28686589" w:history="1">
            <w:r w:rsidR="00817F55" w:rsidRPr="0028737B">
              <w:rPr>
                <w:rStyle w:val="Hyperlink"/>
                <w:noProof/>
              </w:rPr>
              <w:t>Six</w:t>
            </w:r>
            <w:r w:rsidR="00817F55" w:rsidRPr="0028737B">
              <w:rPr>
                <w:rStyle w:val="Hyperlink"/>
                <w:noProof/>
                <w:lang w:val="mn-MN"/>
              </w:rPr>
              <w:t xml:space="preserve">. </w:t>
            </w:r>
            <w:r w:rsidR="00817F55" w:rsidRPr="0028737B">
              <w:rPr>
                <w:rStyle w:val="Hyperlink"/>
                <w:noProof/>
              </w:rPr>
              <w:t>Cost of implementation in 2019</w:t>
            </w:r>
            <w:r w:rsidR="00817F55">
              <w:rPr>
                <w:noProof/>
                <w:webHidden/>
              </w:rPr>
              <w:tab/>
            </w:r>
            <w:r w:rsidR="00817F55">
              <w:rPr>
                <w:noProof/>
                <w:webHidden/>
              </w:rPr>
              <w:fldChar w:fldCharType="begin"/>
            </w:r>
            <w:r w:rsidR="00817F55">
              <w:rPr>
                <w:noProof/>
                <w:webHidden/>
              </w:rPr>
              <w:instrText xml:space="preserve"> PAGEREF _Toc28686589 \h </w:instrText>
            </w:r>
            <w:r w:rsidR="00817F55">
              <w:rPr>
                <w:noProof/>
                <w:webHidden/>
              </w:rPr>
            </w:r>
            <w:r w:rsidR="00817F55">
              <w:rPr>
                <w:noProof/>
                <w:webHidden/>
              </w:rPr>
              <w:fldChar w:fldCharType="separate"/>
            </w:r>
            <w:r w:rsidR="00817F55">
              <w:rPr>
                <w:noProof/>
                <w:webHidden/>
              </w:rPr>
              <w:t>12</w:t>
            </w:r>
            <w:r w:rsidR="00817F55">
              <w:rPr>
                <w:noProof/>
                <w:webHidden/>
              </w:rPr>
              <w:fldChar w:fldCharType="end"/>
            </w:r>
          </w:hyperlink>
        </w:p>
        <w:p w:rsidR="00817F55" w:rsidRDefault="008E36F9">
          <w:pPr>
            <w:pStyle w:val="TOC1"/>
            <w:tabs>
              <w:tab w:val="right" w:leader="dot" w:pos="9017"/>
            </w:tabs>
            <w:rPr>
              <w:rFonts w:asciiTheme="minorHAnsi" w:eastAsiaTheme="minorEastAsia" w:hAnsiTheme="minorHAnsi"/>
              <w:noProof/>
            </w:rPr>
          </w:pPr>
          <w:hyperlink w:anchor="_Toc28686590" w:history="1">
            <w:r w:rsidR="00817F55" w:rsidRPr="0028737B">
              <w:rPr>
                <w:rStyle w:val="Hyperlink"/>
                <w:noProof/>
              </w:rPr>
              <w:t>Seven. Meetings, decisions and experience sharing, attendance</w:t>
            </w:r>
            <w:r w:rsidR="00817F55">
              <w:rPr>
                <w:noProof/>
                <w:webHidden/>
              </w:rPr>
              <w:tab/>
            </w:r>
            <w:r w:rsidR="00817F55">
              <w:rPr>
                <w:noProof/>
                <w:webHidden/>
              </w:rPr>
              <w:fldChar w:fldCharType="begin"/>
            </w:r>
            <w:r w:rsidR="00817F55">
              <w:rPr>
                <w:noProof/>
                <w:webHidden/>
              </w:rPr>
              <w:instrText xml:space="preserve"> PAGEREF _Toc28686590 \h </w:instrText>
            </w:r>
            <w:r w:rsidR="00817F55">
              <w:rPr>
                <w:noProof/>
                <w:webHidden/>
              </w:rPr>
            </w:r>
            <w:r w:rsidR="00817F55">
              <w:rPr>
                <w:noProof/>
                <w:webHidden/>
              </w:rPr>
              <w:fldChar w:fldCharType="separate"/>
            </w:r>
            <w:r w:rsidR="00817F55">
              <w:rPr>
                <w:noProof/>
                <w:webHidden/>
              </w:rPr>
              <w:t>13</w:t>
            </w:r>
            <w:r w:rsidR="00817F55">
              <w:rPr>
                <w:noProof/>
                <w:webHidden/>
              </w:rPr>
              <w:fldChar w:fldCharType="end"/>
            </w:r>
          </w:hyperlink>
        </w:p>
        <w:p w:rsidR="00817F55" w:rsidRDefault="008E36F9">
          <w:pPr>
            <w:pStyle w:val="TOC2"/>
            <w:tabs>
              <w:tab w:val="left" w:pos="880"/>
              <w:tab w:val="right" w:leader="dot" w:pos="9017"/>
            </w:tabs>
            <w:rPr>
              <w:rFonts w:asciiTheme="minorHAnsi" w:eastAsiaTheme="minorEastAsia" w:hAnsiTheme="minorHAnsi"/>
              <w:noProof/>
            </w:rPr>
          </w:pPr>
          <w:hyperlink w:anchor="_Toc28686594" w:history="1">
            <w:r w:rsidR="00817F55" w:rsidRPr="0028737B">
              <w:rPr>
                <w:rStyle w:val="Hyperlink"/>
                <w:rFonts w:cs="Arial"/>
                <w:noProof/>
              </w:rPr>
              <w:t>7.1</w:t>
            </w:r>
            <w:r w:rsidR="00817F55">
              <w:rPr>
                <w:rFonts w:asciiTheme="minorHAnsi" w:eastAsiaTheme="minorEastAsia" w:hAnsiTheme="minorHAnsi"/>
                <w:noProof/>
              </w:rPr>
              <w:tab/>
            </w:r>
            <w:r w:rsidR="00817F55" w:rsidRPr="0028737B">
              <w:rPr>
                <w:rStyle w:val="Hyperlink"/>
                <w:rFonts w:cs="Arial"/>
                <w:noProof/>
              </w:rPr>
              <w:t>Meetings of Mongolia EITI National Council</w:t>
            </w:r>
            <w:r w:rsidR="00817F55">
              <w:rPr>
                <w:noProof/>
                <w:webHidden/>
              </w:rPr>
              <w:tab/>
            </w:r>
            <w:r w:rsidR="00817F55">
              <w:rPr>
                <w:noProof/>
                <w:webHidden/>
              </w:rPr>
              <w:fldChar w:fldCharType="begin"/>
            </w:r>
            <w:r w:rsidR="00817F55">
              <w:rPr>
                <w:noProof/>
                <w:webHidden/>
              </w:rPr>
              <w:instrText xml:space="preserve"> PAGEREF _Toc28686594 \h </w:instrText>
            </w:r>
            <w:r w:rsidR="00817F55">
              <w:rPr>
                <w:noProof/>
                <w:webHidden/>
              </w:rPr>
            </w:r>
            <w:r w:rsidR="00817F55">
              <w:rPr>
                <w:noProof/>
                <w:webHidden/>
              </w:rPr>
              <w:fldChar w:fldCharType="separate"/>
            </w:r>
            <w:r w:rsidR="00817F55">
              <w:rPr>
                <w:noProof/>
                <w:webHidden/>
              </w:rPr>
              <w:t>13</w:t>
            </w:r>
            <w:r w:rsidR="00817F55">
              <w:rPr>
                <w:noProof/>
                <w:webHidden/>
              </w:rPr>
              <w:fldChar w:fldCharType="end"/>
            </w:r>
          </w:hyperlink>
        </w:p>
        <w:p w:rsidR="00817F55" w:rsidRDefault="008E36F9">
          <w:pPr>
            <w:pStyle w:val="TOC2"/>
            <w:tabs>
              <w:tab w:val="left" w:pos="880"/>
              <w:tab w:val="right" w:leader="dot" w:pos="9017"/>
            </w:tabs>
            <w:rPr>
              <w:rFonts w:asciiTheme="minorHAnsi" w:eastAsiaTheme="minorEastAsia" w:hAnsiTheme="minorHAnsi"/>
              <w:noProof/>
            </w:rPr>
          </w:pPr>
          <w:hyperlink w:anchor="_Toc28686595" w:history="1">
            <w:r w:rsidR="00817F55" w:rsidRPr="0028737B">
              <w:rPr>
                <w:rStyle w:val="Hyperlink"/>
                <w:rFonts w:cs="Arial"/>
                <w:noProof/>
              </w:rPr>
              <w:t>7.2</w:t>
            </w:r>
            <w:r w:rsidR="00817F55">
              <w:rPr>
                <w:rFonts w:asciiTheme="minorHAnsi" w:eastAsiaTheme="minorEastAsia" w:hAnsiTheme="minorHAnsi"/>
                <w:noProof/>
              </w:rPr>
              <w:tab/>
            </w:r>
            <w:r w:rsidR="00817F55" w:rsidRPr="0028737B">
              <w:rPr>
                <w:rStyle w:val="Hyperlink"/>
                <w:rFonts w:cs="Arial"/>
                <w:noProof/>
              </w:rPr>
              <w:t>Meetings of Mongolia EITI Working Group</w:t>
            </w:r>
            <w:r w:rsidR="00817F55">
              <w:rPr>
                <w:noProof/>
                <w:webHidden/>
              </w:rPr>
              <w:tab/>
            </w:r>
            <w:r w:rsidR="00817F55">
              <w:rPr>
                <w:noProof/>
                <w:webHidden/>
              </w:rPr>
              <w:fldChar w:fldCharType="begin"/>
            </w:r>
            <w:r w:rsidR="00817F55">
              <w:rPr>
                <w:noProof/>
                <w:webHidden/>
              </w:rPr>
              <w:instrText xml:space="preserve"> PAGEREF _Toc28686595 \h </w:instrText>
            </w:r>
            <w:r w:rsidR="00817F55">
              <w:rPr>
                <w:noProof/>
                <w:webHidden/>
              </w:rPr>
            </w:r>
            <w:r w:rsidR="00817F55">
              <w:rPr>
                <w:noProof/>
                <w:webHidden/>
              </w:rPr>
              <w:fldChar w:fldCharType="separate"/>
            </w:r>
            <w:r w:rsidR="00817F55">
              <w:rPr>
                <w:noProof/>
                <w:webHidden/>
              </w:rPr>
              <w:t>13</w:t>
            </w:r>
            <w:r w:rsidR="00817F55">
              <w:rPr>
                <w:noProof/>
                <w:webHidden/>
              </w:rPr>
              <w:fldChar w:fldCharType="end"/>
            </w:r>
          </w:hyperlink>
        </w:p>
        <w:p w:rsidR="00817F55" w:rsidRDefault="008E36F9">
          <w:pPr>
            <w:pStyle w:val="TOC1"/>
            <w:tabs>
              <w:tab w:val="right" w:leader="dot" w:pos="9017"/>
            </w:tabs>
            <w:rPr>
              <w:rFonts w:asciiTheme="minorHAnsi" w:eastAsiaTheme="minorEastAsia" w:hAnsiTheme="minorHAnsi"/>
              <w:noProof/>
            </w:rPr>
          </w:pPr>
          <w:hyperlink w:anchor="_Toc28686596" w:history="1">
            <w:r w:rsidR="00817F55" w:rsidRPr="0028737B">
              <w:rPr>
                <w:rStyle w:val="Hyperlink"/>
                <w:noProof/>
              </w:rPr>
              <w:t>Eight</w:t>
            </w:r>
            <w:r w:rsidR="00817F55" w:rsidRPr="0028737B">
              <w:rPr>
                <w:rStyle w:val="Hyperlink"/>
                <w:noProof/>
                <w:lang w:val="mn-MN"/>
              </w:rPr>
              <w:t xml:space="preserve">.  </w:t>
            </w:r>
            <w:r w:rsidR="00817F55" w:rsidRPr="0028737B">
              <w:rPr>
                <w:rStyle w:val="Hyperlink"/>
                <w:noProof/>
              </w:rPr>
              <w:t>Attachments:</w:t>
            </w:r>
            <w:r w:rsidR="00817F55">
              <w:rPr>
                <w:noProof/>
                <w:webHidden/>
              </w:rPr>
              <w:tab/>
            </w:r>
            <w:r w:rsidR="00817F55">
              <w:rPr>
                <w:noProof/>
                <w:webHidden/>
              </w:rPr>
              <w:fldChar w:fldCharType="begin"/>
            </w:r>
            <w:r w:rsidR="00817F55">
              <w:rPr>
                <w:noProof/>
                <w:webHidden/>
              </w:rPr>
              <w:instrText xml:space="preserve"> PAGEREF _Toc28686596 \h </w:instrText>
            </w:r>
            <w:r w:rsidR="00817F55">
              <w:rPr>
                <w:noProof/>
                <w:webHidden/>
              </w:rPr>
            </w:r>
            <w:r w:rsidR="00817F55">
              <w:rPr>
                <w:noProof/>
                <w:webHidden/>
              </w:rPr>
              <w:fldChar w:fldCharType="separate"/>
            </w:r>
            <w:r w:rsidR="00817F55">
              <w:rPr>
                <w:noProof/>
                <w:webHidden/>
              </w:rPr>
              <w:t>14</w:t>
            </w:r>
            <w:r w:rsidR="00817F55">
              <w:rPr>
                <w:noProof/>
                <w:webHidden/>
              </w:rPr>
              <w:fldChar w:fldCharType="end"/>
            </w:r>
          </w:hyperlink>
        </w:p>
        <w:p w:rsidR="00ED48BB" w:rsidRPr="00B10CF5" w:rsidRDefault="00ED48BB" w:rsidP="005D3930">
          <w:pPr>
            <w:tabs>
              <w:tab w:val="left" w:pos="2254"/>
            </w:tabs>
            <w:rPr>
              <w:rFonts w:cs="Arial"/>
            </w:rPr>
          </w:pPr>
          <w:r w:rsidRPr="00B10CF5">
            <w:rPr>
              <w:rFonts w:cs="Arial"/>
              <w:b/>
              <w:bCs/>
              <w:noProof/>
            </w:rPr>
            <w:fldChar w:fldCharType="end"/>
          </w:r>
        </w:p>
      </w:sdtContent>
    </w:sdt>
    <w:p w:rsidR="00BF38A7" w:rsidRPr="00B10CF5" w:rsidRDefault="00BF38A7">
      <w:pPr>
        <w:rPr>
          <w:rFonts w:eastAsiaTheme="minorEastAsia" w:cs="Arial"/>
          <w:b/>
          <w:bCs/>
          <w:kern w:val="32"/>
          <w:lang w:val="en-GB"/>
        </w:rPr>
      </w:pPr>
      <w:r w:rsidRPr="00B10CF5">
        <w:rPr>
          <w:rFonts w:cs="Arial"/>
        </w:rPr>
        <w:br w:type="page"/>
      </w:r>
    </w:p>
    <w:p w:rsidR="00F17906" w:rsidRPr="00B10CF5" w:rsidRDefault="00F17906" w:rsidP="00F17906">
      <w:pPr>
        <w:pStyle w:val="Heading1"/>
        <w:tabs>
          <w:tab w:val="left" w:pos="2254"/>
        </w:tabs>
        <w:rPr>
          <w:sz w:val="22"/>
          <w:szCs w:val="22"/>
        </w:rPr>
      </w:pPr>
      <w:bookmarkStart w:id="1" w:name="_Toc28686580"/>
      <w:r w:rsidRPr="00B10CF5">
        <w:rPr>
          <w:sz w:val="22"/>
          <w:szCs w:val="22"/>
        </w:rPr>
        <w:lastRenderedPageBreak/>
        <w:t>Content</w:t>
      </w:r>
      <w:bookmarkEnd w:id="1"/>
      <w:r w:rsidRPr="00B10CF5">
        <w:rPr>
          <w:sz w:val="22"/>
          <w:szCs w:val="22"/>
        </w:rPr>
        <w:t xml:space="preserve"> </w:t>
      </w:r>
    </w:p>
    <w:p w:rsidR="00F17906" w:rsidRPr="00B10CF5" w:rsidRDefault="00C93CC7" w:rsidP="00F17906">
      <w:pPr>
        <w:pStyle w:val="Heading1"/>
        <w:tabs>
          <w:tab w:val="left" w:pos="2254"/>
        </w:tabs>
        <w:rPr>
          <w:sz w:val="22"/>
          <w:szCs w:val="22"/>
        </w:rPr>
      </w:pPr>
      <w:bookmarkStart w:id="2" w:name="_Toc28686581"/>
      <w:r w:rsidRPr="00B10CF5">
        <w:rPr>
          <w:sz w:val="22"/>
          <w:szCs w:val="22"/>
        </w:rPr>
        <w:t>One</w:t>
      </w:r>
      <w:r w:rsidR="00966375" w:rsidRPr="00B10CF5">
        <w:rPr>
          <w:sz w:val="22"/>
          <w:szCs w:val="22"/>
          <w:lang w:val="mn-MN"/>
        </w:rPr>
        <w:t>.</w:t>
      </w:r>
      <w:r w:rsidR="00312EB9" w:rsidRPr="00B10CF5">
        <w:rPr>
          <w:sz w:val="22"/>
          <w:szCs w:val="22"/>
          <w:lang w:val="mn-MN"/>
        </w:rPr>
        <w:t xml:space="preserve"> </w:t>
      </w:r>
      <w:r w:rsidRPr="00B10CF5">
        <w:rPr>
          <w:sz w:val="22"/>
          <w:szCs w:val="22"/>
        </w:rPr>
        <w:t xml:space="preserve">General </w:t>
      </w:r>
      <w:r w:rsidR="005D3930" w:rsidRPr="00B10CF5">
        <w:rPr>
          <w:sz w:val="22"/>
          <w:szCs w:val="22"/>
        </w:rPr>
        <w:t>assessment</w:t>
      </w:r>
      <w:r w:rsidRPr="00B10CF5">
        <w:rPr>
          <w:sz w:val="22"/>
          <w:szCs w:val="22"/>
        </w:rPr>
        <w:t xml:space="preserve"> of activities</w:t>
      </w:r>
      <w:bookmarkEnd w:id="2"/>
      <w:r w:rsidRPr="00B10CF5">
        <w:rPr>
          <w:sz w:val="22"/>
          <w:szCs w:val="22"/>
        </w:rPr>
        <w:t xml:space="preserve"> </w:t>
      </w:r>
    </w:p>
    <w:p w:rsidR="00C37EBC" w:rsidRPr="00B10CF5" w:rsidRDefault="00C37EBC" w:rsidP="005D3930">
      <w:pPr>
        <w:tabs>
          <w:tab w:val="left" w:pos="2254"/>
        </w:tabs>
        <w:spacing w:after="0" w:line="240" w:lineRule="auto"/>
        <w:ind w:right="-629"/>
        <w:jc w:val="both"/>
        <w:rPr>
          <w:rFonts w:cs="Arial"/>
          <w:color w:val="000000" w:themeColor="text1"/>
        </w:rPr>
      </w:pPr>
      <w:r w:rsidRPr="00B10CF5">
        <w:rPr>
          <w:rFonts w:cs="Arial"/>
          <w:color w:val="000000" w:themeColor="text1"/>
        </w:rPr>
        <w:t>The major highlight of 2018 was the fact that Mongolia EITI was recognized as country, which made satisfactory progress of EITI standard.</w:t>
      </w:r>
      <w:r w:rsidR="00F17906" w:rsidRPr="00B10CF5">
        <w:rPr>
          <w:rFonts w:cs="Arial"/>
          <w:color w:val="000000" w:themeColor="text1"/>
        </w:rPr>
        <w:t xml:space="preserve"> The main objective of 2019 has been a consolidation of achieved level, for which it was focused on laying down relevant legal foundation.</w:t>
      </w:r>
    </w:p>
    <w:p w:rsidR="00C37EBC" w:rsidRPr="00B10CF5" w:rsidRDefault="00C37EBC" w:rsidP="005D3930">
      <w:pPr>
        <w:tabs>
          <w:tab w:val="left" w:pos="2254"/>
        </w:tabs>
        <w:spacing w:after="0" w:line="240" w:lineRule="auto"/>
        <w:ind w:right="-629"/>
        <w:jc w:val="both"/>
        <w:rPr>
          <w:rFonts w:cs="Arial"/>
          <w:color w:val="000000" w:themeColor="text1"/>
        </w:rPr>
      </w:pPr>
    </w:p>
    <w:p w:rsidR="00AE2BC3" w:rsidRPr="00B10CF5" w:rsidRDefault="00AE2BC3" w:rsidP="005D3930">
      <w:pPr>
        <w:tabs>
          <w:tab w:val="left" w:pos="2254"/>
        </w:tabs>
        <w:spacing w:after="0" w:line="240" w:lineRule="auto"/>
        <w:ind w:right="-629"/>
        <w:jc w:val="both"/>
        <w:rPr>
          <w:rFonts w:cs="Arial"/>
          <w:color w:val="000000" w:themeColor="text1"/>
        </w:rPr>
      </w:pPr>
      <w:proofErr w:type="spellStart"/>
      <w:r w:rsidRPr="00B10CF5">
        <w:rPr>
          <w:rFonts w:cs="Arial"/>
          <w:color w:val="000000" w:themeColor="text1"/>
        </w:rPr>
        <w:t>Mr.</w:t>
      </w:r>
      <w:r w:rsidR="00817F55" w:rsidRPr="00B10CF5">
        <w:rPr>
          <w:rFonts w:cs="Arial"/>
          <w:color w:val="000000" w:themeColor="text1"/>
        </w:rPr>
        <w:t>M</w:t>
      </w:r>
      <w:proofErr w:type="spellEnd"/>
      <w:r w:rsidR="00817F55" w:rsidRPr="00B10CF5">
        <w:rPr>
          <w:rFonts w:cs="Arial"/>
          <w:color w:val="000000" w:themeColor="text1"/>
        </w:rPr>
        <w:t>. Robinson</w:t>
      </w:r>
      <w:r w:rsidR="00F17906" w:rsidRPr="00B10CF5">
        <w:rPr>
          <w:rFonts w:cs="Arial"/>
          <w:color w:val="000000" w:themeColor="text1"/>
        </w:rPr>
        <w:t xml:space="preserve">, newly appointed </w:t>
      </w:r>
      <w:r w:rsidRPr="00B10CF5">
        <w:rPr>
          <w:rFonts w:cs="Arial"/>
          <w:color w:val="000000" w:themeColor="text1"/>
        </w:rPr>
        <w:t>executive director of EITI International Secretariat paid visit to Mongolia</w:t>
      </w:r>
      <w:r w:rsidR="00F17906" w:rsidRPr="00B10CF5">
        <w:rPr>
          <w:rFonts w:cs="Arial"/>
          <w:color w:val="000000" w:themeColor="text1"/>
        </w:rPr>
        <w:t xml:space="preserve"> in May</w:t>
      </w:r>
      <w:r w:rsidRPr="00B10CF5">
        <w:rPr>
          <w:rFonts w:cs="Arial"/>
          <w:color w:val="000000" w:themeColor="text1"/>
        </w:rPr>
        <w:t xml:space="preserve">, </w:t>
      </w:r>
      <w:r w:rsidR="00F17906" w:rsidRPr="00B10CF5">
        <w:rPr>
          <w:rFonts w:cs="Arial"/>
          <w:color w:val="000000" w:themeColor="text1"/>
        </w:rPr>
        <w:t xml:space="preserve">met all representatives of Stakeholders, </w:t>
      </w:r>
      <w:proofErr w:type="spellStart"/>
      <w:r w:rsidR="00F17906" w:rsidRPr="00B10CF5">
        <w:rPr>
          <w:rFonts w:cs="Arial"/>
          <w:color w:val="000000" w:themeColor="text1"/>
        </w:rPr>
        <w:t>aquinted</w:t>
      </w:r>
      <w:proofErr w:type="spellEnd"/>
      <w:r w:rsidR="00F17906" w:rsidRPr="00B10CF5">
        <w:rPr>
          <w:rFonts w:cs="Arial"/>
          <w:color w:val="000000" w:themeColor="text1"/>
        </w:rPr>
        <w:t xml:space="preserve"> with achievements in the field, and </w:t>
      </w:r>
      <w:r w:rsidR="0071011E" w:rsidRPr="00B10CF5">
        <w:rPr>
          <w:rFonts w:cs="Arial"/>
          <w:color w:val="000000" w:themeColor="text1"/>
        </w:rPr>
        <w:t>defined directions of further cooperation.</w:t>
      </w:r>
      <w:r w:rsidRPr="00B10CF5">
        <w:rPr>
          <w:rFonts w:cs="Arial"/>
          <w:color w:val="000000" w:themeColor="text1"/>
        </w:rPr>
        <w:t xml:space="preserve"> </w:t>
      </w:r>
    </w:p>
    <w:p w:rsidR="00AE2BC3" w:rsidRPr="00B10CF5" w:rsidRDefault="00AE2BC3" w:rsidP="005D3930">
      <w:pPr>
        <w:tabs>
          <w:tab w:val="left" w:pos="2254"/>
        </w:tabs>
        <w:spacing w:after="0" w:line="240" w:lineRule="auto"/>
        <w:ind w:right="-629"/>
        <w:jc w:val="both"/>
        <w:rPr>
          <w:rFonts w:cs="Arial"/>
          <w:color w:val="000000" w:themeColor="text1"/>
        </w:rPr>
      </w:pPr>
    </w:p>
    <w:p w:rsidR="00EF7327" w:rsidRPr="00B10CF5" w:rsidRDefault="00EF7327" w:rsidP="005D3930">
      <w:pPr>
        <w:tabs>
          <w:tab w:val="left" w:pos="2254"/>
        </w:tabs>
        <w:spacing w:after="0" w:line="240" w:lineRule="auto"/>
        <w:ind w:right="-629"/>
        <w:jc w:val="both"/>
        <w:rPr>
          <w:rFonts w:cs="Arial"/>
          <w:color w:val="000000" w:themeColor="text1"/>
        </w:rPr>
      </w:pPr>
      <w:r w:rsidRPr="00B10CF5">
        <w:rPr>
          <w:rFonts w:cs="Arial"/>
          <w:color w:val="000000" w:themeColor="text1"/>
        </w:rPr>
        <w:t>The main product of transparency, which is Mongolia EITI 201</w:t>
      </w:r>
      <w:r w:rsidR="0071011E" w:rsidRPr="00B10CF5">
        <w:rPr>
          <w:rFonts w:cs="Arial"/>
          <w:color w:val="000000" w:themeColor="text1"/>
        </w:rPr>
        <w:t>8</w:t>
      </w:r>
      <w:r w:rsidRPr="00B10CF5">
        <w:rPr>
          <w:rFonts w:cs="Arial"/>
          <w:color w:val="000000" w:themeColor="text1"/>
        </w:rPr>
        <w:t xml:space="preserve"> Report was produced in timely manner, has become a public </w:t>
      </w:r>
      <w:r w:rsidR="00B459B8" w:rsidRPr="00B10CF5">
        <w:rPr>
          <w:rFonts w:cs="Arial"/>
          <w:color w:val="000000" w:themeColor="text1"/>
        </w:rPr>
        <w:t>domain</w:t>
      </w:r>
      <w:r w:rsidRPr="00B10CF5">
        <w:rPr>
          <w:rFonts w:cs="Arial"/>
          <w:color w:val="000000" w:themeColor="text1"/>
        </w:rPr>
        <w:t>.</w:t>
      </w:r>
    </w:p>
    <w:p w:rsidR="00243A3B" w:rsidRPr="00B10CF5" w:rsidRDefault="00EF7327" w:rsidP="005D3930">
      <w:pPr>
        <w:tabs>
          <w:tab w:val="left" w:pos="2254"/>
        </w:tabs>
        <w:spacing w:after="0" w:line="240" w:lineRule="auto"/>
        <w:ind w:right="-629"/>
        <w:jc w:val="both"/>
        <w:rPr>
          <w:rFonts w:cs="Arial"/>
          <w:color w:val="000000" w:themeColor="text1"/>
          <w:lang w:val="mn-MN"/>
        </w:rPr>
      </w:pPr>
      <w:r w:rsidRPr="00B10CF5">
        <w:rPr>
          <w:rFonts w:cs="Arial"/>
          <w:color w:val="000000" w:themeColor="text1"/>
          <w:lang w:val="mn-MN"/>
        </w:rPr>
        <w:t xml:space="preserve"> </w:t>
      </w:r>
    </w:p>
    <w:p w:rsidR="00195A14" w:rsidRPr="00B10CF5" w:rsidRDefault="00195A14" w:rsidP="005D3930">
      <w:pPr>
        <w:tabs>
          <w:tab w:val="left" w:pos="2254"/>
        </w:tabs>
        <w:spacing w:after="0" w:line="240" w:lineRule="auto"/>
        <w:ind w:right="-629"/>
        <w:jc w:val="both"/>
        <w:rPr>
          <w:rFonts w:cs="Arial"/>
          <w:color w:val="000000" w:themeColor="text1"/>
        </w:rPr>
      </w:pPr>
      <w:r w:rsidRPr="00B10CF5">
        <w:rPr>
          <w:rFonts w:cs="Arial"/>
          <w:color w:val="000000" w:themeColor="text1"/>
        </w:rPr>
        <w:t>1</w:t>
      </w:r>
      <w:r w:rsidR="00B459B8" w:rsidRPr="00B10CF5">
        <w:rPr>
          <w:rFonts w:cs="Arial"/>
          <w:color w:val="000000" w:themeColor="text1"/>
        </w:rPr>
        <w:t>4</w:t>
      </w:r>
      <w:r w:rsidR="0071011E" w:rsidRPr="00B10CF5">
        <w:rPr>
          <w:rFonts w:cs="Arial"/>
          <w:color w:val="000000" w:themeColor="text1"/>
        </w:rPr>
        <w:t>90</w:t>
      </w:r>
      <w:r w:rsidRPr="00B10CF5">
        <w:rPr>
          <w:rFonts w:cs="Arial"/>
          <w:color w:val="000000" w:themeColor="text1"/>
        </w:rPr>
        <w:t xml:space="preserve"> mineral license and </w:t>
      </w:r>
      <w:r w:rsidR="005D3930" w:rsidRPr="00B10CF5">
        <w:rPr>
          <w:rFonts w:cs="Arial"/>
          <w:color w:val="000000" w:themeColor="text1"/>
        </w:rPr>
        <w:t>petroleum</w:t>
      </w:r>
      <w:r w:rsidRPr="00B10CF5">
        <w:rPr>
          <w:rFonts w:cs="Arial"/>
          <w:color w:val="000000" w:themeColor="text1"/>
        </w:rPr>
        <w:t xml:space="preserve"> contract holding companies and Government on receipt from 20</w:t>
      </w:r>
      <w:r w:rsidR="00A630DC" w:rsidRPr="00B10CF5">
        <w:rPr>
          <w:rFonts w:cs="Arial"/>
          <w:color w:val="000000" w:themeColor="text1"/>
        </w:rPr>
        <w:t>89</w:t>
      </w:r>
      <w:r w:rsidRPr="00B10CF5">
        <w:rPr>
          <w:rFonts w:cs="Arial"/>
          <w:color w:val="000000" w:themeColor="text1"/>
        </w:rPr>
        <w:t xml:space="preserve"> companies reported for EITI electronically, Mongolia EITI 201</w:t>
      </w:r>
      <w:r w:rsidR="0071011E" w:rsidRPr="00B10CF5">
        <w:rPr>
          <w:rFonts w:cs="Arial"/>
          <w:color w:val="000000" w:themeColor="text1"/>
        </w:rPr>
        <w:t>8</w:t>
      </w:r>
      <w:r w:rsidRPr="00B10CF5">
        <w:rPr>
          <w:rFonts w:cs="Arial"/>
          <w:color w:val="000000" w:themeColor="text1"/>
        </w:rPr>
        <w:t xml:space="preserve"> Report was produced covering 2</w:t>
      </w:r>
      <w:r w:rsidR="0071011E" w:rsidRPr="00B10CF5">
        <w:rPr>
          <w:rFonts w:cs="Arial"/>
          <w:color w:val="000000" w:themeColor="text1"/>
        </w:rPr>
        <w:t>02</w:t>
      </w:r>
      <w:r w:rsidRPr="00B10CF5">
        <w:rPr>
          <w:rFonts w:cs="Arial"/>
          <w:color w:val="000000" w:themeColor="text1"/>
        </w:rPr>
        <w:t xml:space="preserve"> leading companies of Mongolia in the sector.</w:t>
      </w:r>
      <w:r w:rsidR="00B459B8" w:rsidRPr="00B10CF5">
        <w:rPr>
          <w:rFonts w:cs="Arial"/>
          <w:color w:val="000000" w:themeColor="text1"/>
        </w:rPr>
        <w:t xml:space="preserve"> Companies engaged in extractive industries disclosed </w:t>
      </w:r>
      <w:r w:rsidR="0071011E" w:rsidRPr="00B10CF5">
        <w:rPr>
          <w:rFonts w:cs="Arial"/>
          <w:color w:val="000000" w:themeColor="text1"/>
        </w:rPr>
        <w:t xml:space="preserve">again </w:t>
      </w:r>
      <w:r w:rsidR="00B459B8" w:rsidRPr="00B10CF5">
        <w:rPr>
          <w:rFonts w:cs="Arial"/>
          <w:color w:val="000000" w:themeColor="text1"/>
        </w:rPr>
        <w:t>new data about used water and disposal of wastes.</w:t>
      </w:r>
    </w:p>
    <w:p w:rsidR="003B1429" w:rsidRPr="00B10CF5" w:rsidRDefault="00195A14" w:rsidP="005D3930">
      <w:pPr>
        <w:tabs>
          <w:tab w:val="left" w:pos="2254"/>
        </w:tabs>
        <w:spacing w:after="0" w:line="240" w:lineRule="auto"/>
        <w:ind w:right="-629"/>
        <w:jc w:val="both"/>
        <w:rPr>
          <w:rFonts w:cs="Arial"/>
          <w:color w:val="000000" w:themeColor="text1"/>
          <w:lang w:val="mn-MN"/>
        </w:rPr>
      </w:pPr>
      <w:r w:rsidRPr="00B10CF5">
        <w:rPr>
          <w:rFonts w:cs="Arial"/>
          <w:color w:val="000000" w:themeColor="text1"/>
          <w:lang w:val="mn-MN"/>
        </w:rPr>
        <w:t xml:space="preserve"> </w:t>
      </w:r>
    </w:p>
    <w:p w:rsidR="00672D55" w:rsidRPr="00B10CF5" w:rsidRDefault="00857C92" w:rsidP="00DA0B8D">
      <w:pPr>
        <w:tabs>
          <w:tab w:val="left" w:pos="2254"/>
        </w:tabs>
        <w:spacing w:after="0" w:line="240" w:lineRule="auto"/>
        <w:ind w:right="-629"/>
        <w:jc w:val="both"/>
        <w:rPr>
          <w:rFonts w:cs="Arial"/>
          <w:color w:val="000000" w:themeColor="text1"/>
        </w:rPr>
      </w:pPr>
      <w:r w:rsidRPr="00B10CF5">
        <w:rPr>
          <w:rFonts w:cs="Arial"/>
          <w:color w:val="000000" w:themeColor="text1"/>
        </w:rPr>
        <w:t>The majority of planned activities for 201</w:t>
      </w:r>
      <w:r w:rsidR="0071011E" w:rsidRPr="00B10CF5">
        <w:rPr>
          <w:rFonts w:cs="Arial"/>
          <w:color w:val="000000" w:themeColor="text1"/>
        </w:rPr>
        <w:t>9</w:t>
      </w:r>
      <w:r w:rsidRPr="00B10CF5">
        <w:rPr>
          <w:rFonts w:cs="Arial"/>
          <w:color w:val="000000" w:themeColor="text1"/>
        </w:rPr>
        <w:t xml:space="preserve"> in Mongolia EITI Beneficial ownership transparency Road Map 2020 have been implemented </w:t>
      </w:r>
      <w:r w:rsidR="00EA7DCC" w:rsidRPr="00B10CF5">
        <w:rPr>
          <w:rFonts w:cs="Arial"/>
          <w:color w:val="000000" w:themeColor="text1"/>
        </w:rPr>
        <w:t xml:space="preserve">together with EITI </w:t>
      </w:r>
      <w:r w:rsidR="005D3930" w:rsidRPr="00B10CF5">
        <w:rPr>
          <w:rFonts w:cs="Arial"/>
          <w:color w:val="000000" w:themeColor="text1"/>
        </w:rPr>
        <w:t>International</w:t>
      </w:r>
      <w:r w:rsidR="00EA7DCC" w:rsidRPr="00B10CF5">
        <w:rPr>
          <w:rFonts w:cs="Arial"/>
          <w:color w:val="000000" w:themeColor="text1"/>
        </w:rPr>
        <w:t xml:space="preserve"> Secretariat</w:t>
      </w:r>
      <w:r w:rsidR="0071011E" w:rsidRPr="00B10CF5">
        <w:rPr>
          <w:rFonts w:cs="Arial"/>
          <w:color w:val="000000" w:themeColor="text1"/>
        </w:rPr>
        <w:t xml:space="preserve">, another </w:t>
      </w:r>
      <w:r w:rsidR="00DA0B8D" w:rsidRPr="00B10CF5">
        <w:rPr>
          <w:rFonts w:cs="Arial"/>
          <w:color w:val="000000" w:themeColor="text1"/>
        </w:rPr>
        <w:t xml:space="preserve">round table of Government relevant officials and High ranking Parliament and Government consultation of Beneficial ownership, </w:t>
      </w:r>
      <w:r w:rsidR="0071011E" w:rsidRPr="00B10CF5">
        <w:rPr>
          <w:rFonts w:cs="Arial"/>
          <w:color w:val="000000" w:themeColor="text1"/>
        </w:rPr>
        <w:t xml:space="preserve">and relevant introduction materials were </w:t>
      </w:r>
      <w:proofErr w:type="spellStart"/>
      <w:r w:rsidR="0071011E" w:rsidRPr="00B10CF5">
        <w:rPr>
          <w:rFonts w:cs="Arial"/>
          <w:color w:val="000000" w:themeColor="text1"/>
        </w:rPr>
        <w:t>convered</w:t>
      </w:r>
      <w:proofErr w:type="spellEnd"/>
      <w:r w:rsidR="0071011E" w:rsidRPr="00B10CF5">
        <w:rPr>
          <w:rFonts w:cs="Arial"/>
          <w:color w:val="000000" w:themeColor="text1"/>
        </w:rPr>
        <w:t xml:space="preserve"> to </w:t>
      </w:r>
      <w:proofErr w:type="spellStart"/>
      <w:r w:rsidR="0071011E" w:rsidRPr="00B10CF5">
        <w:rPr>
          <w:rFonts w:cs="Arial"/>
          <w:color w:val="000000" w:themeColor="text1"/>
        </w:rPr>
        <w:t>memers</w:t>
      </w:r>
      <w:proofErr w:type="spellEnd"/>
      <w:r w:rsidR="0071011E" w:rsidRPr="00B10CF5">
        <w:rPr>
          <w:rFonts w:cs="Arial"/>
          <w:color w:val="000000" w:themeColor="text1"/>
        </w:rPr>
        <w:t xml:space="preserve"> of Parliament.</w:t>
      </w:r>
    </w:p>
    <w:p w:rsidR="00DA0B8D" w:rsidRPr="00B10CF5" w:rsidRDefault="00DA0B8D" w:rsidP="00DA0B8D">
      <w:pPr>
        <w:tabs>
          <w:tab w:val="left" w:pos="2254"/>
        </w:tabs>
        <w:spacing w:after="0" w:line="240" w:lineRule="auto"/>
        <w:ind w:right="-629"/>
        <w:jc w:val="both"/>
        <w:rPr>
          <w:rFonts w:cs="Arial"/>
          <w:color w:val="000000" w:themeColor="text1"/>
        </w:rPr>
      </w:pPr>
    </w:p>
    <w:p w:rsidR="00DA0B8D" w:rsidRPr="00B10CF5" w:rsidRDefault="001847CA" w:rsidP="00DA0B8D">
      <w:pPr>
        <w:spacing w:after="0" w:line="240" w:lineRule="auto"/>
        <w:ind w:right="-629"/>
        <w:jc w:val="both"/>
        <w:rPr>
          <w:rFonts w:cs="Arial"/>
          <w:color w:val="000000" w:themeColor="text1"/>
          <w:lang w:val="mn-MN"/>
        </w:rPr>
      </w:pPr>
      <w:r w:rsidRPr="00B10CF5">
        <w:rPr>
          <w:rFonts w:cs="Arial"/>
          <w:color w:val="000000" w:themeColor="text1"/>
        </w:rPr>
        <w:t>In order to insure updating Open Contract portal, which was created by funds of Open Society forum, activities were taken by stakeholders like Ministry of Mining and Heavy industries, as result more 280 Contracts have been supplemented with original PDF and converted text</w:t>
      </w:r>
      <w:r w:rsidR="0071011E" w:rsidRPr="00B10CF5">
        <w:rPr>
          <w:rFonts w:cs="Arial"/>
          <w:color w:val="000000" w:themeColor="text1"/>
        </w:rPr>
        <w:t xml:space="preserve">, official launch of the site had been organized, a training for local </w:t>
      </w:r>
      <w:proofErr w:type="spellStart"/>
      <w:r w:rsidR="0071011E" w:rsidRPr="00B10CF5">
        <w:rPr>
          <w:rFonts w:cs="Arial"/>
          <w:color w:val="000000" w:themeColor="text1"/>
        </w:rPr>
        <w:t>authourities</w:t>
      </w:r>
      <w:proofErr w:type="spellEnd"/>
      <w:r w:rsidR="0071011E" w:rsidRPr="00B10CF5">
        <w:rPr>
          <w:rFonts w:cs="Arial"/>
          <w:color w:val="000000" w:themeColor="text1"/>
        </w:rPr>
        <w:t xml:space="preserve"> how to upload signed contracts had been organized </w:t>
      </w:r>
      <w:proofErr w:type="spellStart"/>
      <w:r w:rsidR="0071011E" w:rsidRPr="00B10CF5">
        <w:rPr>
          <w:rFonts w:cs="Arial"/>
          <w:color w:val="000000" w:themeColor="text1"/>
        </w:rPr>
        <w:t>ath</w:t>
      </w:r>
      <w:proofErr w:type="spellEnd"/>
      <w:r w:rsidR="0071011E" w:rsidRPr="00B10CF5">
        <w:rPr>
          <w:rFonts w:cs="Arial"/>
          <w:color w:val="000000" w:themeColor="text1"/>
        </w:rPr>
        <w:t xml:space="preserve"> the same time.</w:t>
      </w:r>
    </w:p>
    <w:p w:rsidR="00DA0B8D" w:rsidRPr="00B10CF5" w:rsidRDefault="00DA0B8D" w:rsidP="00DA0B8D">
      <w:pPr>
        <w:spacing w:after="0" w:line="240" w:lineRule="auto"/>
        <w:ind w:right="-629"/>
        <w:jc w:val="both"/>
        <w:rPr>
          <w:rFonts w:cs="Arial"/>
          <w:color w:val="000000" w:themeColor="text1"/>
          <w:lang w:val="mn-MN"/>
        </w:rPr>
      </w:pPr>
    </w:p>
    <w:p w:rsidR="005514BD" w:rsidRPr="00B10CF5" w:rsidRDefault="0071011E" w:rsidP="00A630DC">
      <w:pPr>
        <w:spacing w:after="0" w:line="240" w:lineRule="auto"/>
        <w:ind w:right="-629"/>
        <w:jc w:val="both"/>
        <w:rPr>
          <w:rFonts w:cs="Arial"/>
          <w:color w:val="000000" w:themeColor="text1"/>
        </w:rPr>
      </w:pPr>
      <w:r w:rsidRPr="00B10CF5">
        <w:rPr>
          <w:rFonts w:cs="Arial"/>
          <w:color w:val="000000" w:themeColor="text1"/>
        </w:rPr>
        <w:t xml:space="preserve">A legal working group to develop a bill on transparency in mineral </w:t>
      </w:r>
      <w:proofErr w:type="spellStart"/>
      <w:r w:rsidRPr="00B10CF5">
        <w:rPr>
          <w:rFonts w:cs="Arial"/>
          <w:color w:val="000000" w:themeColor="text1"/>
        </w:rPr>
        <w:t>resourses</w:t>
      </w:r>
      <w:proofErr w:type="spellEnd"/>
      <w:r w:rsidRPr="00B10CF5">
        <w:rPr>
          <w:rFonts w:cs="Arial"/>
          <w:color w:val="000000" w:themeColor="text1"/>
        </w:rPr>
        <w:t xml:space="preserve"> sector was established at the Ministry of Mining and Heavy Industries, representatives of Government, Civil Society and Company have worked together, and main objective of 2020 remains </w:t>
      </w:r>
      <w:r w:rsidR="00A630DC" w:rsidRPr="00B10CF5">
        <w:rPr>
          <w:rFonts w:cs="Arial"/>
          <w:color w:val="000000" w:themeColor="text1"/>
        </w:rPr>
        <w:t xml:space="preserve">passing this bill. </w:t>
      </w:r>
    </w:p>
    <w:p w:rsidR="00DA0B8D" w:rsidRPr="00B10CF5" w:rsidRDefault="00DA0B8D" w:rsidP="00DA0B8D">
      <w:pPr>
        <w:tabs>
          <w:tab w:val="left" w:pos="2254"/>
        </w:tabs>
        <w:spacing w:after="0" w:line="240" w:lineRule="auto"/>
        <w:ind w:right="-629"/>
        <w:jc w:val="both"/>
        <w:rPr>
          <w:rFonts w:cs="Arial"/>
          <w:color w:val="000000" w:themeColor="text1"/>
          <w:lang w:val="mn-MN"/>
        </w:rPr>
      </w:pPr>
    </w:p>
    <w:p w:rsidR="00672D55" w:rsidRPr="00B10CF5" w:rsidRDefault="00672D55" w:rsidP="005D3930">
      <w:pPr>
        <w:tabs>
          <w:tab w:val="left" w:pos="2254"/>
        </w:tabs>
        <w:spacing w:after="0" w:line="240" w:lineRule="auto"/>
        <w:ind w:right="-629"/>
        <w:jc w:val="both"/>
        <w:rPr>
          <w:rFonts w:cs="Arial"/>
          <w:color w:val="000000" w:themeColor="text1"/>
          <w:lang w:val="mn-MN"/>
        </w:rPr>
      </w:pPr>
    </w:p>
    <w:p w:rsidR="00313B9A" w:rsidRPr="00B10CF5" w:rsidRDefault="00313B9A" w:rsidP="005D3930">
      <w:pPr>
        <w:tabs>
          <w:tab w:val="left" w:pos="2254"/>
        </w:tabs>
        <w:rPr>
          <w:rFonts w:cs="Arial"/>
          <w:lang w:val="mn-MN"/>
        </w:rPr>
      </w:pPr>
      <w:r w:rsidRPr="00B10CF5">
        <w:rPr>
          <w:rFonts w:cs="Arial"/>
          <w:lang w:val="mn-MN"/>
        </w:rPr>
        <w:br w:type="page"/>
      </w:r>
    </w:p>
    <w:p w:rsidR="00313B9A" w:rsidRPr="00B10CF5" w:rsidRDefault="006B55D4" w:rsidP="005D3930">
      <w:pPr>
        <w:pStyle w:val="Heading2"/>
        <w:numPr>
          <w:ilvl w:val="1"/>
          <w:numId w:val="18"/>
        </w:numPr>
        <w:tabs>
          <w:tab w:val="left" w:pos="2254"/>
        </w:tabs>
        <w:ind w:left="426"/>
        <w:rPr>
          <w:rFonts w:cs="Arial"/>
          <w:sz w:val="22"/>
        </w:rPr>
      </w:pPr>
      <w:bookmarkStart w:id="3" w:name="_Toc28686582"/>
      <w:r w:rsidRPr="00B10CF5">
        <w:rPr>
          <w:rFonts w:cs="Arial"/>
          <w:sz w:val="22"/>
        </w:rPr>
        <w:lastRenderedPageBreak/>
        <w:t>Result, impact and progress of EITI in Mongolia</w:t>
      </w:r>
      <w:bookmarkEnd w:id="3"/>
    </w:p>
    <w:p w:rsidR="00313B9A" w:rsidRPr="00B10CF5" w:rsidRDefault="00313B9A" w:rsidP="005D3930">
      <w:pPr>
        <w:pStyle w:val="ListParagraph"/>
        <w:tabs>
          <w:tab w:val="left" w:pos="2254"/>
        </w:tabs>
        <w:spacing w:after="0" w:line="240" w:lineRule="auto"/>
        <w:ind w:right="-629"/>
        <w:jc w:val="both"/>
        <w:rPr>
          <w:rFonts w:cs="Arial"/>
          <w:b/>
          <w:color w:val="000000" w:themeColor="text1"/>
          <w:lang w:val="mn-MN"/>
        </w:rPr>
      </w:pPr>
    </w:p>
    <w:p w:rsidR="0025679C" w:rsidRPr="00B10CF5" w:rsidRDefault="00510A52" w:rsidP="005D3930">
      <w:pPr>
        <w:pStyle w:val="ListParagraph"/>
        <w:numPr>
          <w:ilvl w:val="0"/>
          <w:numId w:val="5"/>
        </w:numPr>
        <w:tabs>
          <w:tab w:val="left" w:pos="2254"/>
        </w:tabs>
        <w:spacing w:after="0" w:line="240" w:lineRule="auto"/>
        <w:ind w:right="-629"/>
        <w:jc w:val="both"/>
        <w:rPr>
          <w:rFonts w:cs="Arial"/>
          <w:color w:val="000000" w:themeColor="text1"/>
          <w:lang w:val="mn-MN"/>
        </w:rPr>
      </w:pPr>
      <w:r w:rsidRPr="00B10CF5">
        <w:rPr>
          <w:rFonts w:cs="Arial"/>
        </w:rPr>
        <w:t xml:space="preserve">EITI reporting </w:t>
      </w:r>
      <w:r w:rsidR="00A630DC" w:rsidRPr="00B10CF5">
        <w:rPr>
          <w:rFonts w:cs="Arial"/>
        </w:rPr>
        <w:t xml:space="preserve">remains as a </w:t>
      </w:r>
      <w:r w:rsidRPr="00B10CF5">
        <w:rPr>
          <w:rFonts w:cs="Arial"/>
        </w:rPr>
        <w:t xml:space="preserve">real </w:t>
      </w:r>
      <w:r w:rsidR="00634E1E" w:rsidRPr="00B10CF5">
        <w:rPr>
          <w:rFonts w:cs="Arial"/>
        </w:rPr>
        <w:t>illustration</w:t>
      </w:r>
      <w:r w:rsidRPr="00B10CF5">
        <w:rPr>
          <w:rFonts w:cs="Arial"/>
        </w:rPr>
        <w:t xml:space="preserve"> of accountability of Companies is increasing.</w:t>
      </w:r>
      <w:r w:rsidR="00313B9A" w:rsidRPr="00B10CF5">
        <w:rPr>
          <w:rFonts w:cs="Arial"/>
          <w:lang w:val="mn-MN"/>
        </w:rPr>
        <w:t xml:space="preserve"> </w:t>
      </w:r>
    </w:p>
    <w:p w:rsidR="0025679C" w:rsidRPr="00B10CF5" w:rsidRDefault="0025679C" w:rsidP="005D3930">
      <w:pPr>
        <w:pStyle w:val="ListParagraph"/>
        <w:tabs>
          <w:tab w:val="left" w:pos="2254"/>
        </w:tabs>
        <w:spacing w:after="0" w:line="240" w:lineRule="auto"/>
        <w:ind w:right="-629"/>
        <w:jc w:val="both"/>
        <w:rPr>
          <w:rFonts w:cs="Arial"/>
          <w:lang w:val="mn-MN"/>
        </w:rPr>
      </w:pPr>
    </w:p>
    <w:p w:rsidR="00313B9A" w:rsidRPr="00B10CF5" w:rsidRDefault="00510A52" w:rsidP="005D3930">
      <w:pPr>
        <w:pStyle w:val="ListParagraph"/>
        <w:tabs>
          <w:tab w:val="left" w:pos="2254"/>
        </w:tabs>
        <w:spacing w:after="0" w:line="240" w:lineRule="auto"/>
        <w:ind w:right="-629"/>
        <w:jc w:val="both"/>
        <w:rPr>
          <w:rFonts w:cs="Arial"/>
        </w:rPr>
      </w:pPr>
      <w:r w:rsidRPr="00B10CF5">
        <w:rPr>
          <w:rFonts w:cs="Arial"/>
        </w:rPr>
        <w:t xml:space="preserve">For </w:t>
      </w:r>
      <w:r w:rsidR="00313B9A" w:rsidRPr="00B10CF5">
        <w:rPr>
          <w:rFonts w:cs="Arial"/>
          <w:lang w:val="mn-MN"/>
        </w:rPr>
        <w:t>2006</w:t>
      </w:r>
      <w:r w:rsidRPr="00B10CF5">
        <w:rPr>
          <w:rFonts w:cs="Arial"/>
        </w:rPr>
        <w:t xml:space="preserve"> the number of companies, which was only 64, and this figure has reached 1</w:t>
      </w:r>
      <w:r w:rsidR="006257DA" w:rsidRPr="00B10CF5">
        <w:rPr>
          <w:rFonts w:cs="Arial"/>
        </w:rPr>
        <w:t>4</w:t>
      </w:r>
      <w:r w:rsidR="00A630DC" w:rsidRPr="00B10CF5">
        <w:rPr>
          <w:rFonts w:cs="Arial"/>
        </w:rPr>
        <w:t>90</w:t>
      </w:r>
      <w:r w:rsidRPr="00B10CF5">
        <w:rPr>
          <w:rFonts w:cs="Arial"/>
        </w:rPr>
        <w:t xml:space="preserve"> for 201</w:t>
      </w:r>
      <w:r w:rsidR="00A630DC" w:rsidRPr="00B10CF5">
        <w:rPr>
          <w:rFonts w:cs="Arial"/>
        </w:rPr>
        <w:t>8</w:t>
      </w:r>
      <w:r w:rsidRPr="00B10CF5">
        <w:rPr>
          <w:rFonts w:cs="Arial"/>
        </w:rPr>
        <w:t xml:space="preserve">, and increased </w:t>
      </w:r>
      <w:r w:rsidR="006257DA" w:rsidRPr="00B10CF5">
        <w:rPr>
          <w:rFonts w:cs="Arial"/>
        </w:rPr>
        <w:t>23</w:t>
      </w:r>
      <w:r w:rsidRPr="00B10CF5">
        <w:rPr>
          <w:rFonts w:cs="Arial"/>
        </w:rPr>
        <w:t xml:space="preserve"> times. This </w:t>
      </w:r>
      <w:r w:rsidR="006257DA" w:rsidRPr="00B10CF5">
        <w:rPr>
          <w:rFonts w:cs="Arial"/>
        </w:rPr>
        <w:t xml:space="preserve">is an </w:t>
      </w:r>
      <w:r w:rsidRPr="00B10CF5">
        <w:rPr>
          <w:rFonts w:cs="Arial"/>
        </w:rPr>
        <w:t>evidence</w:t>
      </w:r>
      <w:r w:rsidR="006257DA" w:rsidRPr="00B10CF5">
        <w:rPr>
          <w:rFonts w:cs="Arial"/>
        </w:rPr>
        <w:t xml:space="preserve"> about </w:t>
      </w:r>
      <w:r w:rsidR="00A07A61" w:rsidRPr="00B10CF5">
        <w:rPr>
          <w:rFonts w:cs="Arial"/>
        </w:rPr>
        <w:t xml:space="preserve">increase </w:t>
      </w:r>
      <w:r w:rsidR="006257DA" w:rsidRPr="00B10CF5">
        <w:rPr>
          <w:rFonts w:cs="Arial"/>
        </w:rPr>
        <w:t xml:space="preserve">of </w:t>
      </w:r>
      <w:r w:rsidR="00A07A61" w:rsidRPr="00B10CF5">
        <w:rPr>
          <w:rFonts w:cs="Arial"/>
        </w:rPr>
        <w:t>number of accountable and responsible companies.</w:t>
      </w:r>
    </w:p>
    <w:p w:rsidR="00A07A61" w:rsidRPr="00B10CF5" w:rsidRDefault="00A07A61" w:rsidP="005D3930">
      <w:pPr>
        <w:pStyle w:val="ListParagraph"/>
        <w:tabs>
          <w:tab w:val="left" w:pos="2254"/>
        </w:tabs>
        <w:spacing w:after="0" w:line="240" w:lineRule="auto"/>
        <w:ind w:right="-629"/>
        <w:jc w:val="both"/>
        <w:rPr>
          <w:rFonts w:cs="Arial"/>
          <w:color w:val="000000" w:themeColor="text1"/>
        </w:rPr>
      </w:pPr>
    </w:p>
    <w:p w:rsidR="00C553CD" w:rsidRPr="00B10CF5" w:rsidRDefault="00A07A61" w:rsidP="005D3930">
      <w:pPr>
        <w:pStyle w:val="ListParagraph"/>
        <w:numPr>
          <w:ilvl w:val="0"/>
          <w:numId w:val="5"/>
        </w:numPr>
        <w:tabs>
          <w:tab w:val="left" w:pos="2254"/>
        </w:tabs>
        <w:spacing w:after="0" w:line="240" w:lineRule="auto"/>
        <w:ind w:right="-629"/>
        <w:jc w:val="both"/>
        <w:rPr>
          <w:rFonts w:cs="Arial"/>
          <w:color w:val="000000" w:themeColor="text1"/>
          <w:lang w:val="mn-MN"/>
        </w:rPr>
      </w:pPr>
      <w:r w:rsidRPr="00B10CF5">
        <w:rPr>
          <w:rFonts w:cs="Arial"/>
        </w:rPr>
        <w:t xml:space="preserve">EITI reporting reveals an increase of accountability and leadership of Government, which reports without any obstacles. </w:t>
      </w:r>
    </w:p>
    <w:p w:rsidR="00C553CD" w:rsidRPr="00B10CF5" w:rsidRDefault="00C553CD" w:rsidP="005D3930">
      <w:pPr>
        <w:pStyle w:val="ListParagraph"/>
        <w:tabs>
          <w:tab w:val="left" w:pos="2254"/>
        </w:tabs>
        <w:spacing w:after="0" w:line="240" w:lineRule="auto"/>
        <w:ind w:right="-629"/>
        <w:jc w:val="both"/>
        <w:rPr>
          <w:rFonts w:cs="Arial"/>
          <w:color w:val="000000" w:themeColor="text1"/>
          <w:lang w:val="mn-MN"/>
        </w:rPr>
      </w:pPr>
    </w:p>
    <w:p w:rsidR="00313B9A" w:rsidRPr="00B10CF5" w:rsidRDefault="00C553CD" w:rsidP="005D3930">
      <w:pPr>
        <w:pStyle w:val="ListParagraph"/>
        <w:tabs>
          <w:tab w:val="left" w:pos="2254"/>
        </w:tabs>
        <w:spacing w:after="0" w:line="240" w:lineRule="auto"/>
        <w:ind w:right="-629"/>
        <w:jc w:val="both"/>
        <w:rPr>
          <w:rFonts w:cs="Arial"/>
          <w:color w:val="000000" w:themeColor="text1"/>
          <w:lang w:val="mn-MN"/>
        </w:rPr>
      </w:pPr>
      <w:r w:rsidRPr="00B10CF5">
        <w:rPr>
          <w:rFonts w:cs="Arial"/>
        </w:rPr>
        <w:t xml:space="preserve">The Government of Mongolia produced EITI, first time for </w:t>
      </w:r>
      <w:r w:rsidR="00313B9A" w:rsidRPr="00B10CF5">
        <w:rPr>
          <w:rFonts w:cs="Arial"/>
          <w:lang w:val="mn-MN"/>
        </w:rPr>
        <w:t>2006</w:t>
      </w:r>
      <w:r w:rsidRPr="00B10CF5">
        <w:rPr>
          <w:rFonts w:cs="Arial"/>
        </w:rPr>
        <w:t>, which covered revenues of extractive industries from 134 companies, recently produced the report for 201</w:t>
      </w:r>
      <w:r w:rsidR="006257DA" w:rsidRPr="00B10CF5">
        <w:rPr>
          <w:rFonts w:cs="Arial"/>
        </w:rPr>
        <w:t>7</w:t>
      </w:r>
      <w:r w:rsidRPr="00B10CF5">
        <w:rPr>
          <w:rFonts w:cs="Arial"/>
        </w:rPr>
        <w:t>, which is covering revenues from 20</w:t>
      </w:r>
      <w:r w:rsidR="00A630DC" w:rsidRPr="00B10CF5">
        <w:rPr>
          <w:rFonts w:cs="Arial"/>
        </w:rPr>
        <w:t xml:space="preserve">89 </w:t>
      </w:r>
      <w:r w:rsidRPr="00B10CF5">
        <w:rPr>
          <w:rFonts w:cs="Arial"/>
        </w:rPr>
        <w:t xml:space="preserve">companies. It is worth to note that Government has being produced EITI reports on revenues for past consecutive </w:t>
      </w:r>
      <w:r w:rsidR="00A630DC" w:rsidRPr="00B10CF5">
        <w:rPr>
          <w:rFonts w:cs="Arial"/>
        </w:rPr>
        <w:t>6</w:t>
      </w:r>
      <w:r w:rsidRPr="00B10CF5">
        <w:rPr>
          <w:rFonts w:cs="Arial"/>
        </w:rPr>
        <w:t xml:space="preserve"> years, covering almost companies having mineral </w:t>
      </w:r>
      <w:proofErr w:type="spellStart"/>
      <w:r w:rsidR="006257DA" w:rsidRPr="00B10CF5">
        <w:rPr>
          <w:rFonts w:cs="Arial"/>
        </w:rPr>
        <w:t>lic</w:t>
      </w:r>
      <w:r w:rsidR="005D3930" w:rsidRPr="00B10CF5">
        <w:rPr>
          <w:rFonts w:cs="Arial"/>
        </w:rPr>
        <w:t>ences</w:t>
      </w:r>
      <w:proofErr w:type="spellEnd"/>
      <w:r w:rsidRPr="00B10CF5">
        <w:rPr>
          <w:rFonts w:cs="Arial"/>
        </w:rPr>
        <w:t>. The number of companies presented in the Government has increased 15 times since 2006.</w:t>
      </w:r>
      <w:r w:rsidR="003C5D28" w:rsidRPr="00B10CF5">
        <w:rPr>
          <w:rFonts w:cs="Arial"/>
        </w:rPr>
        <w:t xml:space="preserve"> This fact gives all ground to consider that accountability of the Government is increasing. </w:t>
      </w:r>
    </w:p>
    <w:p w:rsidR="0025679C" w:rsidRPr="00B10CF5" w:rsidRDefault="0025679C" w:rsidP="005D3930">
      <w:pPr>
        <w:pStyle w:val="ListParagraph"/>
        <w:tabs>
          <w:tab w:val="left" w:pos="2254"/>
        </w:tabs>
        <w:spacing w:after="0" w:line="240" w:lineRule="auto"/>
        <w:ind w:right="-629"/>
        <w:jc w:val="both"/>
        <w:rPr>
          <w:rFonts w:cs="Arial"/>
          <w:color w:val="000000" w:themeColor="text1"/>
          <w:lang w:val="mn-MN"/>
        </w:rPr>
      </w:pPr>
    </w:p>
    <w:p w:rsidR="0025679C" w:rsidRPr="00B10CF5" w:rsidRDefault="003C5D28" w:rsidP="005D3930">
      <w:pPr>
        <w:pStyle w:val="ListParagraph"/>
        <w:numPr>
          <w:ilvl w:val="0"/>
          <w:numId w:val="5"/>
        </w:numPr>
        <w:tabs>
          <w:tab w:val="left" w:pos="2254"/>
        </w:tabs>
        <w:spacing w:after="0" w:line="240" w:lineRule="auto"/>
        <w:ind w:right="-629"/>
        <w:jc w:val="both"/>
        <w:rPr>
          <w:rFonts w:cs="Arial"/>
          <w:color w:val="000000" w:themeColor="text1"/>
          <w:lang w:val="mn-MN"/>
        </w:rPr>
      </w:pPr>
      <w:r w:rsidRPr="00B10CF5">
        <w:rPr>
          <w:rFonts w:cs="Arial"/>
        </w:rPr>
        <w:t>Availability of real information has increased, as EITI reporting has become electronic</w:t>
      </w:r>
      <w:r w:rsidR="00313B9A" w:rsidRPr="00B10CF5">
        <w:rPr>
          <w:rFonts w:cs="Arial"/>
          <w:lang w:val="mn-MN"/>
        </w:rPr>
        <w:t>.</w:t>
      </w:r>
      <w:r w:rsidR="00C46515" w:rsidRPr="00B10CF5">
        <w:rPr>
          <w:rFonts w:cs="Arial"/>
          <w:lang w:val="mn-MN"/>
        </w:rPr>
        <w:t xml:space="preserve"> </w:t>
      </w:r>
    </w:p>
    <w:p w:rsidR="0025679C" w:rsidRPr="00B10CF5" w:rsidRDefault="0025679C" w:rsidP="005D3930">
      <w:pPr>
        <w:pStyle w:val="ListParagraph"/>
        <w:tabs>
          <w:tab w:val="left" w:pos="2254"/>
        </w:tabs>
        <w:spacing w:after="0" w:line="240" w:lineRule="auto"/>
        <w:ind w:right="-629"/>
        <w:jc w:val="both"/>
        <w:rPr>
          <w:rFonts w:cs="Arial"/>
          <w:color w:val="000000" w:themeColor="text1"/>
          <w:lang w:val="mn-MN"/>
        </w:rPr>
      </w:pPr>
    </w:p>
    <w:p w:rsidR="0025679C" w:rsidRPr="00B10CF5" w:rsidRDefault="003C5D28" w:rsidP="005D3930">
      <w:pPr>
        <w:pStyle w:val="ListParagraph"/>
        <w:tabs>
          <w:tab w:val="left" w:pos="2254"/>
        </w:tabs>
        <w:spacing w:after="0" w:line="240" w:lineRule="auto"/>
        <w:ind w:right="-629"/>
        <w:jc w:val="both"/>
        <w:rPr>
          <w:rFonts w:cs="Arial"/>
        </w:rPr>
      </w:pPr>
      <w:r w:rsidRPr="00B10CF5">
        <w:rPr>
          <w:rFonts w:cs="Arial"/>
        </w:rPr>
        <w:t xml:space="preserve">Companies and Government have reported in “paper” between </w:t>
      </w:r>
      <w:r w:rsidR="0054429B" w:rsidRPr="00B10CF5">
        <w:rPr>
          <w:rFonts w:cs="Arial"/>
          <w:lang w:val="mn-MN"/>
        </w:rPr>
        <w:t>2006-2013</w:t>
      </w:r>
      <w:r w:rsidRPr="00B10CF5">
        <w:rPr>
          <w:rFonts w:cs="Arial"/>
        </w:rPr>
        <w:t xml:space="preserve">, and </w:t>
      </w:r>
      <w:r w:rsidR="005D3930" w:rsidRPr="00B10CF5">
        <w:rPr>
          <w:rFonts w:cs="Arial"/>
        </w:rPr>
        <w:t>since</w:t>
      </w:r>
      <w:r w:rsidRPr="00B10CF5">
        <w:rPr>
          <w:rFonts w:cs="Arial"/>
        </w:rPr>
        <w:t xml:space="preserve"> 2014 both are producing electronic EITI reports, which lead to saving valuable </w:t>
      </w:r>
      <w:r w:rsidR="006257DA" w:rsidRPr="00B10CF5">
        <w:rPr>
          <w:rFonts w:cs="Arial"/>
        </w:rPr>
        <w:t xml:space="preserve">time, resources </w:t>
      </w:r>
      <w:r w:rsidRPr="00B10CF5">
        <w:rPr>
          <w:rFonts w:cs="Arial"/>
        </w:rPr>
        <w:t xml:space="preserve">and </w:t>
      </w:r>
      <w:r w:rsidR="005D3930" w:rsidRPr="00B10CF5">
        <w:rPr>
          <w:rFonts w:cs="Arial"/>
        </w:rPr>
        <w:t>papers</w:t>
      </w:r>
      <w:r w:rsidRPr="00B10CF5">
        <w:rPr>
          <w:rFonts w:cs="Arial"/>
        </w:rPr>
        <w:t xml:space="preserve"> of both Government and Companies</w:t>
      </w:r>
      <w:r w:rsidR="00A630DC" w:rsidRPr="00B10CF5">
        <w:rPr>
          <w:rFonts w:cs="Arial"/>
        </w:rPr>
        <w:t>.</w:t>
      </w:r>
    </w:p>
    <w:p w:rsidR="003C5D28" w:rsidRPr="00B10CF5" w:rsidRDefault="003C5D28" w:rsidP="005D3930">
      <w:pPr>
        <w:pStyle w:val="ListParagraph"/>
        <w:tabs>
          <w:tab w:val="left" w:pos="2254"/>
        </w:tabs>
        <w:spacing w:after="0" w:line="240" w:lineRule="auto"/>
        <w:ind w:right="-629"/>
        <w:jc w:val="both"/>
        <w:rPr>
          <w:rFonts w:cs="Arial"/>
          <w:color w:val="000000" w:themeColor="text1"/>
          <w:lang w:val="mn-MN"/>
        </w:rPr>
      </w:pPr>
    </w:p>
    <w:p w:rsidR="0025679C" w:rsidRPr="00B10CF5" w:rsidRDefault="00F53D67" w:rsidP="005D3930">
      <w:pPr>
        <w:pStyle w:val="ListParagraph"/>
        <w:numPr>
          <w:ilvl w:val="0"/>
          <w:numId w:val="5"/>
        </w:numPr>
        <w:tabs>
          <w:tab w:val="left" w:pos="2254"/>
        </w:tabs>
        <w:spacing w:after="0" w:line="240" w:lineRule="auto"/>
        <w:ind w:right="-629"/>
        <w:jc w:val="both"/>
        <w:rPr>
          <w:rFonts w:cs="Arial"/>
          <w:color w:val="000000" w:themeColor="text1"/>
          <w:lang w:val="mn-MN"/>
        </w:rPr>
      </w:pPr>
      <w:r w:rsidRPr="00B10CF5">
        <w:rPr>
          <w:rFonts w:cs="Arial"/>
        </w:rPr>
        <w:t>Knowledge and capacity of the Government, Companies and Civil society have increased and upgraded.</w:t>
      </w:r>
      <w:r w:rsidR="00313B9A" w:rsidRPr="00B10CF5">
        <w:rPr>
          <w:rFonts w:cs="Arial"/>
          <w:lang w:val="mn-MN"/>
        </w:rPr>
        <w:t xml:space="preserve"> </w:t>
      </w:r>
    </w:p>
    <w:p w:rsidR="0025679C" w:rsidRPr="00B10CF5" w:rsidRDefault="0025679C" w:rsidP="005D3930">
      <w:pPr>
        <w:tabs>
          <w:tab w:val="left" w:pos="2254"/>
        </w:tabs>
        <w:spacing w:after="0" w:line="240" w:lineRule="auto"/>
        <w:ind w:left="360" w:right="-629"/>
        <w:jc w:val="both"/>
        <w:rPr>
          <w:rFonts w:cs="Arial"/>
          <w:lang w:val="mn-MN"/>
        </w:rPr>
      </w:pPr>
    </w:p>
    <w:p w:rsidR="0025679C" w:rsidRPr="00B10CF5" w:rsidRDefault="00F53D67" w:rsidP="005D3930">
      <w:pPr>
        <w:tabs>
          <w:tab w:val="left" w:pos="2254"/>
        </w:tabs>
        <w:spacing w:after="0" w:line="240" w:lineRule="auto"/>
        <w:ind w:left="720" w:right="-629"/>
        <w:jc w:val="both"/>
        <w:rPr>
          <w:rFonts w:cs="Arial"/>
        </w:rPr>
      </w:pPr>
      <w:r w:rsidRPr="00B10CF5">
        <w:rPr>
          <w:rFonts w:cs="Arial"/>
        </w:rPr>
        <w:t xml:space="preserve">The capacity of </w:t>
      </w:r>
      <w:proofErr w:type="spellStart"/>
      <w:r w:rsidRPr="00B10CF5">
        <w:rPr>
          <w:rFonts w:cs="Arial"/>
        </w:rPr>
        <w:t>T</w:t>
      </w:r>
      <w:r w:rsidR="006257DA" w:rsidRPr="00B10CF5">
        <w:rPr>
          <w:rFonts w:cs="Arial"/>
        </w:rPr>
        <w:t>ri</w:t>
      </w:r>
      <w:r w:rsidRPr="00B10CF5">
        <w:rPr>
          <w:rFonts w:cs="Arial"/>
        </w:rPr>
        <w:t>parties</w:t>
      </w:r>
      <w:proofErr w:type="spellEnd"/>
      <w:r w:rsidRPr="00B10CF5">
        <w:rPr>
          <w:rFonts w:cs="Arial"/>
        </w:rPr>
        <w:t xml:space="preserve"> have increased, as result annual reports have been produced in timely manner, a year before EITI bench timeline, and </w:t>
      </w:r>
      <w:r w:rsidR="006257DA" w:rsidRPr="00B10CF5">
        <w:rPr>
          <w:rFonts w:cs="Arial"/>
        </w:rPr>
        <w:t>debate</w:t>
      </w:r>
      <w:r w:rsidRPr="00B10CF5">
        <w:rPr>
          <w:rFonts w:cs="Arial"/>
        </w:rPr>
        <w:t>d</w:t>
      </w:r>
      <w:r w:rsidR="00A630DC" w:rsidRPr="00B10CF5">
        <w:rPr>
          <w:rFonts w:cs="Arial"/>
        </w:rPr>
        <w:t>.</w:t>
      </w:r>
    </w:p>
    <w:p w:rsidR="00A630DC" w:rsidRPr="00B10CF5" w:rsidRDefault="00A630DC" w:rsidP="005D3930">
      <w:pPr>
        <w:tabs>
          <w:tab w:val="left" w:pos="2254"/>
        </w:tabs>
        <w:spacing w:after="0" w:line="240" w:lineRule="auto"/>
        <w:ind w:left="720" w:right="-629"/>
        <w:jc w:val="both"/>
        <w:rPr>
          <w:rFonts w:cs="Arial"/>
          <w:color w:val="000000" w:themeColor="text1"/>
          <w:lang w:val="mn-MN"/>
        </w:rPr>
      </w:pPr>
    </w:p>
    <w:p w:rsidR="0025679C" w:rsidRPr="00B10CF5" w:rsidRDefault="00BB0B42" w:rsidP="005D3930">
      <w:pPr>
        <w:pStyle w:val="ListParagraph"/>
        <w:numPr>
          <w:ilvl w:val="0"/>
          <w:numId w:val="5"/>
        </w:numPr>
        <w:tabs>
          <w:tab w:val="left" w:pos="2254"/>
        </w:tabs>
        <w:spacing w:after="0" w:line="240" w:lineRule="auto"/>
        <w:ind w:right="-629"/>
        <w:jc w:val="both"/>
        <w:rPr>
          <w:rFonts w:cs="Arial"/>
          <w:color w:val="000000" w:themeColor="text1"/>
          <w:lang w:val="mn-MN"/>
        </w:rPr>
      </w:pPr>
      <w:r w:rsidRPr="00B10CF5">
        <w:rPr>
          <w:rFonts w:cs="Arial"/>
        </w:rPr>
        <w:t>Donations handed to central and local state organizations, which are not disclosed previously are now disclosed since 2007</w:t>
      </w:r>
      <w:r w:rsidR="0025679C" w:rsidRPr="00B10CF5">
        <w:rPr>
          <w:rFonts w:cs="Arial"/>
          <w:lang w:val="mn-MN"/>
        </w:rPr>
        <w:t>.</w:t>
      </w:r>
      <w:r w:rsidR="00313B9A" w:rsidRPr="00B10CF5">
        <w:rPr>
          <w:rFonts w:cs="Arial"/>
          <w:lang w:val="mn-MN"/>
        </w:rPr>
        <w:t xml:space="preserve"> </w:t>
      </w:r>
    </w:p>
    <w:p w:rsidR="0025679C" w:rsidRPr="00B10CF5" w:rsidRDefault="0025679C" w:rsidP="005D3930">
      <w:pPr>
        <w:pStyle w:val="ListParagraph"/>
        <w:tabs>
          <w:tab w:val="left" w:pos="2254"/>
        </w:tabs>
        <w:spacing w:after="0" w:line="240" w:lineRule="auto"/>
        <w:ind w:right="-629"/>
        <w:jc w:val="both"/>
        <w:rPr>
          <w:rFonts w:cs="Arial"/>
          <w:lang w:val="mn-MN"/>
        </w:rPr>
      </w:pPr>
    </w:p>
    <w:p w:rsidR="00313B9A" w:rsidRPr="00B10CF5" w:rsidRDefault="00BB0B42" w:rsidP="005D3930">
      <w:pPr>
        <w:pStyle w:val="ListParagraph"/>
        <w:tabs>
          <w:tab w:val="left" w:pos="2254"/>
        </w:tabs>
        <w:spacing w:after="0" w:line="240" w:lineRule="auto"/>
        <w:ind w:right="-629"/>
        <w:jc w:val="both"/>
        <w:rPr>
          <w:rFonts w:cs="Arial"/>
          <w:bCs/>
          <w:iCs/>
        </w:rPr>
      </w:pPr>
      <w:r w:rsidRPr="00B10CF5">
        <w:rPr>
          <w:rFonts w:cs="Arial"/>
        </w:rPr>
        <w:t>Parliament and Government of Mongolia are taking measures to regulate issues of messy donations and assistances through relevant legislative acts. In 2010 a Financial Ministerial Order No.45, in 2011 a Budget law, and its art.</w:t>
      </w:r>
      <w:r w:rsidR="0073148D" w:rsidRPr="00B10CF5">
        <w:rPr>
          <w:rFonts w:cs="Arial"/>
        </w:rPr>
        <w:t xml:space="preserve"> 25, and in 2012 a law on the prevention of conflict of interest and regulation of public and private interests in public service, and its art.17.1, 17.4 have been adopted and regulate issues related to donations, which are present great progress in this aspect.</w:t>
      </w:r>
    </w:p>
    <w:p w:rsidR="0025679C" w:rsidRPr="00B10CF5" w:rsidRDefault="0025679C" w:rsidP="005D3930">
      <w:pPr>
        <w:pStyle w:val="ListParagraph"/>
        <w:tabs>
          <w:tab w:val="left" w:pos="2254"/>
        </w:tabs>
        <w:spacing w:after="0" w:line="240" w:lineRule="auto"/>
        <w:ind w:right="-629"/>
        <w:jc w:val="both"/>
        <w:rPr>
          <w:rFonts w:cs="Arial"/>
          <w:color w:val="000000" w:themeColor="text1"/>
          <w:lang w:val="mn-MN"/>
        </w:rPr>
      </w:pPr>
    </w:p>
    <w:p w:rsidR="0025679C" w:rsidRPr="00B10CF5" w:rsidRDefault="0073148D" w:rsidP="005D3930">
      <w:pPr>
        <w:pStyle w:val="ListParagraph"/>
        <w:numPr>
          <w:ilvl w:val="0"/>
          <w:numId w:val="5"/>
        </w:numPr>
        <w:tabs>
          <w:tab w:val="left" w:pos="2254"/>
        </w:tabs>
        <w:spacing w:after="0" w:line="240" w:lineRule="auto"/>
        <w:ind w:right="-629"/>
        <w:jc w:val="both"/>
        <w:rPr>
          <w:rFonts w:cs="Arial"/>
          <w:color w:val="000000" w:themeColor="text1"/>
          <w:lang w:val="mn-MN"/>
        </w:rPr>
      </w:pPr>
      <w:r w:rsidRPr="00B10CF5">
        <w:rPr>
          <w:rFonts w:cs="Arial"/>
        </w:rPr>
        <w:t xml:space="preserve">Information on natural </w:t>
      </w:r>
      <w:r w:rsidR="005D3930" w:rsidRPr="00B10CF5">
        <w:rPr>
          <w:rFonts w:cs="Arial"/>
        </w:rPr>
        <w:t>rehabilitation</w:t>
      </w:r>
      <w:r w:rsidRPr="00B10CF5">
        <w:rPr>
          <w:rFonts w:cs="Arial"/>
        </w:rPr>
        <w:t xml:space="preserve"> work and relevant deposits are disclosed on annual basis</w:t>
      </w:r>
      <w:r w:rsidR="0025679C" w:rsidRPr="00B10CF5">
        <w:rPr>
          <w:rFonts w:cs="Arial"/>
          <w:lang w:val="mn-MN"/>
        </w:rPr>
        <w:t>.</w:t>
      </w:r>
      <w:r w:rsidR="00804812" w:rsidRPr="00B10CF5">
        <w:rPr>
          <w:rFonts w:cs="Arial"/>
        </w:rPr>
        <w:t xml:space="preserve"> Starting 2017 Report, companies are disclosing used water and disposal of waste.</w:t>
      </w:r>
      <w:r w:rsidR="00804812" w:rsidRPr="00B10CF5">
        <w:rPr>
          <w:rStyle w:val="FootnoteReference"/>
          <w:rFonts w:cs="Arial"/>
        </w:rPr>
        <w:footnoteReference w:id="1"/>
      </w:r>
      <w:r w:rsidR="00804812" w:rsidRPr="00B10CF5">
        <w:rPr>
          <w:rFonts w:cs="Arial"/>
        </w:rPr>
        <w:t xml:space="preserve"> </w:t>
      </w:r>
    </w:p>
    <w:p w:rsidR="0025679C" w:rsidRPr="00B10CF5" w:rsidRDefault="0025679C" w:rsidP="005D3930">
      <w:pPr>
        <w:tabs>
          <w:tab w:val="left" w:pos="2254"/>
        </w:tabs>
        <w:spacing w:after="0" w:line="240" w:lineRule="auto"/>
        <w:ind w:left="360" w:right="-629" w:firstLine="360"/>
        <w:jc w:val="both"/>
        <w:rPr>
          <w:rFonts w:cs="Arial"/>
          <w:lang w:val="mn-MN"/>
        </w:rPr>
      </w:pPr>
    </w:p>
    <w:p w:rsidR="00ED326B" w:rsidRPr="00B10CF5" w:rsidRDefault="0073148D" w:rsidP="005D3930">
      <w:pPr>
        <w:tabs>
          <w:tab w:val="left" w:pos="2254"/>
        </w:tabs>
        <w:spacing w:after="0" w:line="240" w:lineRule="auto"/>
        <w:ind w:left="720" w:right="-629"/>
        <w:jc w:val="both"/>
        <w:rPr>
          <w:rFonts w:cs="Arial"/>
          <w:lang w:val="mn-MN"/>
        </w:rPr>
      </w:pPr>
      <w:r w:rsidRPr="00B10CF5">
        <w:rPr>
          <w:rFonts w:cs="Arial"/>
        </w:rPr>
        <w:t xml:space="preserve">Mongolia is </w:t>
      </w:r>
      <w:r w:rsidR="005D3930" w:rsidRPr="00B10CF5">
        <w:rPr>
          <w:rFonts w:cs="Arial"/>
        </w:rPr>
        <w:t>disclosing</w:t>
      </w:r>
      <w:r w:rsidRPr="00B10CF5">
        <w:rPr>
          <w:rFonts w:cs="Arial"/>
        </w:rPr>
        <w:t xml:space="preserve"> natural </w:t>
      </w:r>
      <w:r w:rsidR="005D3930" w:rsidRPr="00B10CF5">
        <w:rPr>
          <w:rFonts w:cs="Arial"/>
        </w:rPr>
        <w:t>rehabilitation</w:t>
      </w:r>
      <w:r w:rsidRPr="00B10CF5">
        <w:rPr>
          <w:rFonts w:cs="Arial"/>
        </w:rPr>
        <w:t xml:space="preserve"> work since 2007 every year, </w:t>
      </w:r>
      <w:r w:rsidR="00804812" w:rsidRPr="00B10CF5">
        <w:rPr>
          <w:rFonts w:cs="Arial"/>
        </w:rPr>
        <w:t xml:space="preserve">used water and disposal of waste, since 2017, </w:t>
      </w:r>
      <w:r w:rsidRPr="00B10CF5">
        <w:rPr>
          <w:rFonts w:cs="Arial"/>
        </w:rPr>
        <w:t xml:space="preserve">which </w:t>
      </w:r>
      <w:r w:rsidR="00804812" w:rsidRPr="00B10CF5">
        <w:rPr>
          <w:rFonts w:cs="Arial"/>
        </w:rPr>
        <w:t xml:space="preserve">are </w:t>
      </w:r>
      <w:r w:rsidRPr="00B10CF5">
        <w:rPr>
          <w:rFonts w:cs="Arial"/>
        </w:rPr>
        <w:t xml:space="preserve">not </w:t>
      </w:r>
      <w:r w:rsidR="00804812" w:rsidRPr="00B10CF5">
        <w:rPr>
          <w:rFonts w:cs="Arial"/>
        </w:rPr>
        <w:t xml:space="preserve">in the </w:t>
      </w:r>
      <w:r w:rsidRPr="00B10CF5">
        <w:rPr>
          <w:rFonts w:cs="Arial"/>
        </w:rPr>
        <w:t xml:space="preserve">EITI standard </w:t>
      </w:r>
      <w:r w:rsidR="00A97ABE" w:rsidRPr="00B10CF5">
        <w:rPr>
          <w:rFonts w:cs="Arial"/>
        </w:rPr>
        <w:t>and is implementing this very special requirement, which can be considered beyond EITI standard</w:t>
      </w:r>
      <w:r w:rsidR="00ED326B" w:rsidRPr="00B10CF5">
        <w:rPr>
          <w:rFonts w:cs="Arial"/>
          <w:lang w:val="mn-MN"/>
        </w:rPr>
        <w:t xml:space="preserve">. </w:t>
      </w:r>
    </w:p>
    <w:p w:rsidR="0025679C" w:rsidRPr="00B10CF5" w:rsidRDefault="0025679C" w:rsidP="005D3930">
      <w:pPr>
        <w:tabs>
          <w:tab w:val="left" w:pos="2254"/>
        </w:tabs>
        <w:spacing w:after="0" w:line="240" w:lineRule="auto"/>
        <w:ind w:left="720" w:right="-629"/>
        <w:jc w:val="both"/>
        <w:rPr>
          <w:rFonts w:cs="Arial"/>
          <w:color w:val="000000" w:themeColor="text1"/>
          <w:lang w:val="mn-MN"/>
        </w:rPr>
      </w:pPr>
    </w:p>
    <w:p w:rsidR="0025679C" w:rsidRPr="00B10CF5" w:rsidRDefault="005D3930" w:rsidP="005D3930">
      <w:pPr>
        <w:pStyle w:val="ListParagraph"/>
        <w:numPr>
          <w:ilvl w:val="0"/>
          <w:numId w:val="5"/>
        </w:numPr>
        <w:tabs>
          <w:tab w:val="left" w:pos="2254"/>
        </w:tabs>
        <w:spacing w:after="0" w:line="240" w:lineRule="auto"/>
        <w:ind w:right="-629"/>
        <w:jc w:val="both"/>
        <w:rPr>
          <w:rFonts w:cs="Arial"/>
          <w:lang w:val="mn-MN"/>
        </w:rPr>
      </w:pPr>
      <w:r w:rsidRPr="00B10CF5">
        <w:rPr>
          <w:rFonts w:cs="Arial"/>
        </w:rPr>
        <w:t>Subnational</w:t>
      </w:r>
      <w:r w:rsidR="00A97ABE" w:rsidRPr="00B10CF5">
        <w:rPr>
          <w:rFonts w:cs="Arial"/>
        </w:rPr>
        <w:t xml:space="preserve"> EITI branches are established in rural areas and capital cities and give opportunity to increase communication between companies and local areas</w:t>
      </w:r>
      <w:r w:rsidR="00313B9A" w:rsidRPr="00B10CF5">
        <w:rPr>
          <w:rFonts w:cs="Arial"/>
          <w:lang w:val="mn-MN"/>
        </w:rPr>
        <w:t xml:space="preserve">. </w:t>
      </w:r>
    </w:p>
    <w:p w:rsidR="0025679C" w:rsidRPr="00B10CF5" w:rsidRDefault="0025679C" w:rsidP="005D3930">
      <w:pPr>
        <w:pStyle w:val="ListParagraph"/>
        <w:tabs>
          <w:tab w:val="left" w:pos="2254"/>
        </w:tabs>
        <w:spacing w:after="0" w:line="240" w:lineRule="auto"/>
        <w:ind w:right="-629"/>
        <w:jc w:val="both"/>
        <w:rPr>
          <w:rFonts w:cs="Arial"/>
          <w:lang w:val="mn-MN"/>
        </w:rPr>
      </w:pPr>
    </w:p>
    <w:p w:rsidR="00313B9A" w:rsidRPr="00B10CF5" w:rsidRDefault="00A97ABE" w:rsidP="005D3930">
      <w:pPr>
        <w:pStyle w:val="ListParagraph"/>
        <w:tabs>
          <w:tab w:val="left" w:pos="2254"/>
        </w:tabs>
        <w:spacing w:after="0" w:line="240" w:lineRule="auto"/>
        <w:ind w:right="-629"/>
        <w:jc w:val="both"/>
        <w:rPr>
          <w:rFonts w:cs="Arial"/>
          <w:lang w:val="mn-MN"/>
        </w:rPr>
      </w:pPr>
      <w:r w:rsidRPr="00B10CF5">
        <w:rPr>
          <w:rFonts w:cs="Arial"/>
        </w:rPr>
        <w:lastRenderedPageBreak/>
        <w:t xml:space="preserve">Mongolia has </w:t>
      </w:r>
      <w:r w:rsidR="005D3930" w:rsidRPr="00B10CF5">
        <w:rPr>
          <w:rFonts w:cs="Arial"/>
        </w:rPr>
        <w:t>implemented</w:t>
      </w:r>
      <w:r w:rsidRPr="00B10CF5">
        <w:rPr>
          <w:rFonts w:cs="Arial"/>
        </w:rPr>
        <w:t xml:space="preserve"> many activities of good practice in rural </w:t>
      </w:r>
      <w:r w:rsidR="00B07AB6" w:rsidRPr="00B10CF5">
        <w:rPr>
          <w:rFonts w:cs="Arial"/>
        </w:rPr>
        <w:t>cooperation, there is one real illustration, that is now there are functioning S</w:t>
      </w:r>
      <w:r w:rsidRPr="00B10CF5">
        <w:rPr>
          <w:rFonts w:cs="Arial"/>
        </w:rPr>
        <w:t>ubnational EITI councils in 2</w:t>
      </w:r>
      <w:r w:rsidR="00B07AB6" w:rsidRPr="00B10CF5">
        <w:rPr>
          <w:rFonts w:cs="Arial"/>
        </w:rPr>
        <w:t>1</w:t>
      </w:r>
      <w:r w:rsidRPr="00B10CF5">
        <w:rPr>
          <w:rFonts w:cs="Arial"/>
        </w:rPr>
        <w:t xml:space="preserve"> aimags and 1</w:t>
      </w:r>
      <w:r w:rsidR="00B07AB6" w:rsidRPr="00B10CF5">
        <w:rPr>
          <w:rFonts w:cs="Arial"/>
        </w:rPr>
        <w:t>2</w:t>
      </w:r>
      <w:r w:rsidRPr="00B10CF5">
        <w:rPr>
          <w:rFonts w:cs="Arial"/>
        </w:rPr>
        <w:t xml:space="preserve"> soums, capital city and 1 district</w:t>
      </w:r>
      <w:r w:rsidR="001C7106" w:rsidRPr="00B10CF5">
        <w:rPr>
          <w:rFonts w:cs="Arial"/>
          <w:lang w:val="mn-MN"/>
        </w:rPr>
        <w:t xml:space="preserve">. </w:t>
      </w:r>
      <w:r w:rsidR="00313B9A" w:rsidRPr="00B10CF5">
        <w:rPr>
          <w:rFonts w:cs="Arial"/>
          <w:lang w:val="mn-MN"/>
        </w:rPr>
        <w:t xml:space="preserve"> </w:t>
      </w:r>
    </w:p>
    <w:p w:rsidR="0025679C" w:rsidRPr="00B10CF5" w:rsidRDefault="0025679C" w:rsidP="005D3930">
      <w:pPr>
        <w:pStyle w:val="ListParagraph"/>
        <w:tabs>
          <w:tab w:val="left" w:pos="2254"/>
        </w:tabs>
        <w:spacing w:after="0" w:line="240" w:lineRule="auto"/>
        <w:ind w:right="-629"/>
        <w:jc w:val="both"/>
        <w:rPr>
          <w:rFonts w:cs="Arial"/>
          <w:lang w:val="mn-MN"/>
        </w:rPr>
      </w:pPr>
    </w:p>
    <w:p w:rsidR="0025679C" w:rsidRPr="00B10CF5" w:rsidRDefault="00987653" w:rsidP="005D3930">
      <w:pPr>
        <w:pStyle w:val="ListParagraph"/>
        <w:numPr>
          <w:ilvl w:val="0"/>
          <w:numId w:val="5"/>
        </w:numPr>
        <w:tabs>
          <w:tab w:val="left" w:pos="2254"/>
        </w:tabs>
        <w:spacing w:after="0" w:line="240" w:lineRule="auto"/>
        <w:ind w:right="-629"/>
        <w:jc w:val="both"/>
        <w:rPr>
          <w:rFonts w:cs="Arial"/>
          <w:lang w:val="mn-MN"/>
        </w:rPr>
      </w:pPr>
      <w:r w:rsidRPr="00B10CF5">
        <w:rPr>
          <w:rFonts w:cs="Arial"/>
        </w:rPr>
        <w:t xml:space="preserve">There are some cases that </w:t>
      </w:r>
      <w:r w:rsidR="00A97ABE" w:rsidRPr="00B10CF5">
        <w:rPr>
          <w:rFonts w:cs="Arial"/>
        </w:rPr>
        <w:t xml:space="preserve">EITI report and its information was used to resolve </w:t>
      </w:r>
      <w:r w:rsidRPr="00B10CF5">
        <w:rPr>
          <w:rFonts w:cs="Arial"/>
        </w:rPr>
        <w:t>some constructive discussion.</w:t>
      </w:r>
    </w:p>
    <w:p w:rsidR="00987653" w:rsidRPr="00B10CF5" w:rsidRDefault="00987653" w:rsidP="005D3930">
      <w:pPr>
        <w:pStyle w:val="ListParagraph"/>
        <w:tabs>
          <w:tab w:val="left" w:pos="2254"/>
        </w:tabs>
        <w:spacing w:after="0" w:line="240" w:lineRule="auto"/>
        <w:ind w:right="-629"/>
        <w:jc w:val="both"/>
        <w:rPr>
          <w:rFonts w:cs="Arial"/>
          <w:lang w:val="mn-MN"/>
        </w:rPr>
      </w:pPr>
    </w:p>
    <w:p w:rsidR="00ED326B" w:rsidRPr="00B10CF5" w:rsidRDefault="00987653" w:rsidP="005D3930">
      <w:pPr>
        <w:pStyle w:val="ListParagraph"/>
        <w:tabs>
          <w:tab w:val="left" w:pos="2254"/>
        </w:tabs>
        <w:spacing w:after="0" w:line="240" w:lineRule="auto"/>
        <w:ind w:right="-629"/>
        <w:jc w:val="both"/>
        <w:rPr>
          <w:rFonts w:cs="Arial"/>
          <w:lang w:val="mn-MN"/>
        </w:rPr>
      </w:pPr>
      <w:r w:rsidRPr="00B10CF5">
        <w:rPr>
          <w:rFonts w:cs="Arial"/>
        </w:rPr>
        <w:t>There was discussion over whether Boroo gold company has paid any tax or not, so EITI report was used as reference tool to settle this dispute.</w:t>
      </w:r>
      <w:r w:rsidR="00B07AB6" w:rsidRPr="00B10CF5">
        <w:rPr>
          <w:rFonts w:cs="Arial"/>
        </w:rPr>
        <w:t xml:space="preserve"> Another case of Energy Resource</w:t>
      </w:r>
      <w:r w:rsidR="00B07AB6" w:rsidRPr="00B10CF5">
        <w:rPr>
          <w:rStyle w:val="FootnoteReference"/>
          <w:rFonts w:cs="Arial"/>
        </w:rPr>
        <w:footnoteReference w:id="2"/>
      </w:r>
      <w:r w:rsidR="00B07AB6" w:rsidRPr="00B10CF5">
        <w:rPr>
          <w:rFonts w:cs="Arial"/>
        </w:rPr>
        <w:t xml:space="preserve"> company, that used EITI data in their efforts for better understanding of </w:t>
      </w:r>
      <w:proofErr w:type="spellStart"/>
      <w:r w:rsidR="00B07AB6" w:rsidRPr="00B10CF5">
        <w:rPr>
          <w:rFonts w:cs="Arial"/>
        </w:rPr>
        <w:t>companyis</w:t>
      </w:r>
      <w:proofErr w:type="spellEnd"/>
      <w:r w:rsidR="00B07AB6" w:rsidRPr="00B10CF5">
        <w:rPr>
          <w:rFonts w:cs="Arial"/>
        </w:rPr>
        <w:t xml:space="preserve"> activities. </w:t>
      </w:r>
    </w:p>
    <w:p w:rsidR="001023A9" w:rsidRPr="00B10CF5" w:rsidRDefault="001023A9" w:rsidP="00B07AB6">
      <w:pPr>
        <w:tabs>
          <w:tab w:val="left" w:pos="2254"/>
        </w:tabs>
        <w:spacing w:after="0" w:line="240" w:lineRule="auto"/>
        <w:ind w:right="-629"/>
        <w:jc w:val="both"/>
        <w:rPr>
          <w:rFonts w:cs="Arial"/>
        </w:rPr>
      </w:pPr>
    </w:p>
    <w:p w:rsidR="001023A9" w:rsidRPr="00B10CF5" w:rsidRDefault="001023A9" w:rsidP="005D3930">
      <w:pPr>
        <w:pStyle w:val="ListParagraph"/>
        <w:tabs>
          <w:tab w:val="left" w:pos="2254"/>
        </w:tabs>
        <w:spacing w:after="0" w:line="240" w:lineRule="auto"/>
        <w:ind w:right="-629"/>
        <w:jc w:val="both"/>
        <w:rPr>
          <w:rFonts w:cs="Arial"/>
          <w:color w:val="000000" w:themeColor="text1"/>
          <w:lang w:val="mn-MN"/>
        </w:rPr>
      </w:pPr>
    </w:p>
    <w:p w:rsidR="0038227D" w:rsidRPr="00B10CF5" w:rsidRDefault="00987653"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Although, Mongolia is </w:t>
      </w:r>
      <w:r w:rsidR="005D3930" w:rsidRPr="00B10CF5">
        <w:rPr>
          <w:rFonts w:cs="Arial"/>
          <w:color w:val="000000" w:themeColor="text1"/>
        </w:rPr>
        <w:t>implementing</w:t>
      </w:r>
      <w:r w:rsidRPr="00B10CF5">
        <w:rPr>
          <w:rFonts w:cs="Arial"/>
          <w:color w:val="000000" w:themeColor="text1"/>
        </w:rPr>
        <w:t xml:space="preserve"> EITI more than 10 years </w:t>
      </w:r>
      <w:r w:rsidR="00DC4C31" w:rsidRPr="00B10CF5">
        <w:rPr>
          <w:rFonts w:cs="Arial"/>
          <w:color w:val="000000" w:themeColor="text1"/>
        </w:rPr>
        <w:t xml:space="preserve">and considered as one of </w:t>
      </w:r>
      <w:r w:rsidR="00817F55" w:rsidRPr="00B10CF5">
        <w:rPr>
          <w:rFonts w:cs="Arial"/>
          <w:color w:val="000000" w:themeColor="text1"/>
        </w:rPr>
        <w:t>leading countries</w:t>
      </w:r>
      <w:r w:rsidR="00DC4C31" w:rsidRPr="00B10CF5">
        <w:rPr>
          <w:rFonts w:cs="Arial"/>
          <w:color w:val="000000" w:themeColor="text1"/>
        </w:rPr>
        <w:t xml:space="preserve"> at global level, </w:t>
      </w:r>
      <w:r w:rsidR="00A215F1" w:rsidRPr="00B10CF5">
        <w:rPr>
          <w:rFonts w:cs="Arial"/>
          <w:color w:val="000000" w:themeColor="text1"/>
        </w:rPr>
        <w:t>transparency law in mineral resources sector is most needed to make success sustainable, transparency as daily routine work</w:t>
      </w:r>
      <w:r w:rsidR="00A630DC" w:rsidRPr="00B10CF5">
        <w:rPr>
          <w:rFonts w:cs="Arial"/>
          <w:color w:val="000000" w:themeColor="text1"/>
        </w:rPr>
        <w:t>, for which passing bills in this regard remains as priority</w:t>
      </w:r>
      <w:r w:rsidR="0038227D" w:rsidRPr="00B10CF5">
        <w:rPr>
          <w:rFonts w:cs="Arial"/>
          <w:color w:val="000000" w:themeColor="text1"/>
        </w:rPr>
        <w:t>.</w:t>
      </w:r>
    </w:p>
    <w:p w:rsidR="00DC4C31" w:rsidRPr="00B10CF5" w:rsidRDefault="0038227D"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 </w:t>
      </w:r>
    </w:p>
    <w:p w:rsidR="00BF424E" w:rsidRPr="00B10CF5" w:rsidRDefault="00BF424E"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2019 had evidenced as blow to Mongolia EITI secretariat funding, and many </w:t>
      </w:r>
      <w:proofErr w:type="spellStart"/>
      <w:r w:rsidRPr="00B10CF5">
        <w:rPr>
          <w:rFonts w:cs="Arial"/>
          <w:color w:val="000000" w:themeColor="text1"/>
        </w:rPr>
        <w:t>activites</w:t>
      </w:r>
      <w:proofErr w:type="spellEnd"/>
      <w:r w:rsidRPr="00B10CF5">
        <w:rPr>
          <w:rFonts w:cs="Arial"/>
          <w:color w:val="000000" w:themeColor="text1"/>
        </w:rPr>
        <w:t xml:space="preserve"> have not been implemented.</w:t>
      </w:r>
    </w:p>
    <w:p w:rsidR="00BF424E" w:rsidRPr="00B10CF5" w:rsidRDefault="00BF424E" w:rsidP="005D3930">
      <w:pPr>
        <w:tabs>
          <w:tab w:val="left" w:pos="2254"/>
        </w:tabs>
        <w:spacing w:after="0" w:line="240" w:lineRule="auto"/>
        <w:ind w:right="-629"/>
        <w:jc w:val="both"/>
        <w:rPr>
          <w:rFonts w:cs="Arial"/>
          <w:color w:val="000000" w:themeColor="text1"/>
        </w:rPr>
      </w:pPr>
    </w:p>
    <w:p w:rsidR="003B1429" w:rsidRPr="00B10CF5" w:rsidRDefault="00BF424E" w:rsidP="005D3930">
      <w:pPr>
        <w:tabs>
          <w:tab w:val="left" w:pos="2254"/>
        </w:tabs>
        <w:spacing w:after="0" w:line="240" w:lineRule="auto"/>
        <w:ind w:right="-629"/>
        <w:jc w:val="both"/>
        <w:rPr>
          <w:rFonts w:cs="Arial"/>
          <w:color w:val="000000" w:themeColor="text1"/>
          <w:lang w:val="mn-MN"/>
        </w:rPr>
      </w:pPr>
      <w:r w:rsidRPr="00B10CF5">
        <w:rPr>
          <w:rFonts w:cs="Arial"/>
          <w:color w:val="000000" w:themeColor="text1"/>
        </w:rPr>
        <w:t xml:space="preserve">However, Cabinet Secretariat, MMHI and all stakeholders have cooperated and took actions to resolve the issue, as result Mongolia EITI 2018 </w:t>
      </w:r>
      <w:proofErr w:type="spellStart"/>
      <w:r w:rsidRPr="00B10CF5">
        <w:rPr>
          <w:rFonts w:cs="Arial"/>
          <w:color w:val="000000" w:themeColor="text1"/>
        </w:rPr>
        <w:t>Reconcilation</w:t>
      </w:r>
      <w:proofErr w:type="spellEnd"/>
      <w:r w:rsidRPr="00B10CF5">
        <w:rPr>
          <w:rFonts w:cs="Arial"/>
          <w:color w:val="000000" w:themeColor="text1"/>
        </w:rPr>
        <w:t xml:space="preserve"> Report is produced in timely manner. </w:t>
      </w:r>
    </w:p>
    <w:p w:rsidR="00313B9A" w:rsidRPr="00B10CF5" w:rsidRDefault="00313B9A" w:rsidP="005D3930">
      <w:pPr>
        <w:tabs>
          <w:tab w:val="left" w:pos="2254"/>
        </w:tabs>
        <w:rPr>
          <w:rFonts w:cs="Arial"/>
          <w:color w:val="000000" w:themeColor="text1"/>
          <w:u w:val="single"/>
          <w:lang w:val="mn-MN"/>
        </w:rPr>
      </w:pPr>
      <w:r w:rsidRPr="00B10CF5">
        <w:rPr>
          <w:rFonts w:cs="Arial"/>
          <w:color w:val="000000" w:themeColor="text1"/>
          <w:u w:val="single"/>
          <w:lang w:val="mn-MN"/>
        </w:rPr>
        <w:br w:type="page"/>
      </w:r>
    </w:p>
    <w:p w:rsidR="00CE122A" w:rsidRPr="00B10CF5" w:rsidRDefault="00B10CF5" w:rsidP="00BF424E">
      <w:pPr>
        <w:pStyle w:val="Heading2"/>
        <w:tabs>
          <w:tab w:val="left" w:pos="2254"/>
        </w:tabs>
        <w:rPr>
          <w:rFonts w:cs="Arial"/>
          <w:sz w:val="22"/>
        </w:rPr>
      </w:pPr>
      <w:bookmarkStart w:id="4" w:name="_Toc28686583"/>
      <w:r>
        <w:rPr>
          <w:rFonts w:cs="Arial"/>
          <w:sz w:val="22"/>
        </w:rPr>
        <w:lastRenderedPageBreak/>
        <w:t xml:space="preserve">1.2 </w:t>
      </w:r>
      <w:r w:rsidR="001E1C83" w:rsidRPr="00B10CF5">
        <w:rPr>
          <w:rFonts w:cs="Arial"/>
          <w:sz w:val="22"/>
        </w:rPr>
        <w:t xml:space="preserve">Core activities in </w:t>
      </w:r>
      <w:r w:rsidR="00C51784" w:rsidRPr="00B10CF5">
        <w:rPr>
          <w:rFonts w:cs="Arial"/>
          <w:sz w:val="22"/>
        </w:rPr>
        <w:t>201</w:t>
      </w:r>
      <w:r w:rsidR="00BF424E" w:rsidRPr="00B10CF5">
        <w:rPr>
          <w:rFonts w:cs="Arial"/>
          <w:sz w:val="22"/>
        </w:rPr>
        <w:t>9</w:t>
      </w:r>
      <w:bookmarkEnd w:id="4"/>
    </w:p>
    <w:p w:rsidR="00CE122A" w:rsidRPr="00B10CF5" w:rsidRDefault="00CE122A" w:rsidP="005D3930">
      <w:pPr>
        <w:tabs>
          <w:tab w:val="left" w:pos="2254"/>
        </w:tabs>
        <w:spacing w:after="0" w:line="240" w:lineRule="auto"/>
        <w:ind w:right="-629"/>
        <w:jc w:val="both"/>
        <w:rPr>
          <w:rFonts w:cs="Arial"/>
          <w:color w:val="000000" w:themeColor="text1"/>
          <w:u w:val="single"/>
          <w:lang w:val="mn-MN"/>
        </w:rPr>
      </w:pPr>
    </w:p>
    <w:p w:rsidR="003B1429" w:rsidRPr="00B10CF5" w:rsidRDefault="001E1C83" w:rsidP="005D3930">
      <w:pPr>
        <w:tabs>
          <w:tab w:val="left" w:pos="2254"/>
        </w:tabs>
        <w:spacing w:after="0" w:line="240" w:lineRule="auto"/>
        <w:ind w:right="-629"/>
        <w:jc w:val="both"/>
        <w:rPr>
          <w:rFonts w:cs="Arial"/>
          <w:color w:val="000000" w:themeColor="text1"/>
          <w:u w:val="single"/>
          <w:lang w:val="mn-MN"/>
        </w:rPr>
      </w:pPr>
      <w:r w:rsidRPr="00B10CF5">
        <w:rPr>
          <w:rFonts w:cs="Arial"/>
          <w:color w:val="000000" w:themeColor="text1"/>
          <w:u w:val="single"/>
        </w:rPr>
        <w:t>EITI Reporting for 201</w:t>
      </w:r>
      <w:r w:rsidR="00BF424E" w:rsidRPr="00B10CF5">
        <w:rPr>
          <w:rFonts w:cs="Arial"/>
          <w:color w:val="000000" w:themeColor="text1"/>
          <w:u w:val="single"/>
        </w:rPr>
        <w:t>8</w:t>
      </w:r>
      <w:r w:rsidRPr="00B10CF5">
        <w:rPr>
          <w:rFonts w:cs="Arial"/>
          <w:color w:val="000000" w:themeColor="text1"/>
          <w:u w:val="single"/>
        </w:rPr>
        <w:t xml:space="preserve"> by Companies and Government</w:t>
      </w:r>
    </w:p>
    <w:p w:rsidR="003B1429" w:rsidRPr="00B10CF5" w:rsidRDefault="003B1429" w:rsidP="005D3930">
      <w:pPr>
        <w:tabs>
          <w:tab w:val="left" w:pos="2254"/>
        </w:tabs>
        <w:spacing w:after="0" w:line="240" w:lineRule="auto"/>
        <w:ind w:right="-629"/>
        <w:jc w:val="both"/>
        <w:rPr>
          <w:rFonts w:cs="Arial"/>
          <w:color w:val="000000" w:themeColor="text1"/>
          <w:lang w:val="mn-MN"/>
        </w:rPr>
      </w:pPr>
    </w:p>
    <w:p w:rsidR="0038227D" w:rsidRPr="00B10CF5" w:rsidRDefault="00440CC6" w:rsidP="005D3930">
      <w:pPr>
        <w:tabs>
          <w:tab w:val="left" w:pos="2254"/>
        </w:tabs>
        <w:spacing w:after="0" w:line="240" w:lineRule="auto"/>
        <w:ind w:right="-629"/>
        <w:jc w:val="both"/>
        <w:rPr>
          <w:rFonts w:cs="Arial"/>
          <w:lang w:val="mn-MN"/>
        </w:rPr>
      </w:pPr>
      <w:r w:rsidRPr="00B10CF5">
        <w:rPr>
          <w:rFonts w:cs="Arial"/>
        </w:rPr>
        <w:t>Mongolia EITI organized EITI reporting for 201</w:t>
      </w:r>
      <w:r w:rsidR="00BF424E" w:rsidRPr="00B10CF5">
        <w:rPr>
          <w:rFonts w:cs="Arial"/>
        </w:rPr>
        <w:t>8</w:t>
      </w:r>
      <w:r w:rsidRPr="00B10CF5">
        <w:rPr>
          <w:rFonts w:cs="Arial"/>
        </w:rPr>
        <w:t xml:space="preserve"> by Companies and Government as work plan specified.  </w:t>
      </w:r>
    </w:p>
    <w:p w:rsidR="0038227D" w:rsidRPr="00B10CF5" w:rsidRDefault="0038227D" w:rsidP="005D3930">
      <w:pPr>
        <w:tabs>
          <w:tab w:val="left" w:pos="2254"/>
        </w:tabs>
        <w:spacing w:after="0" w:line="240" w:lineRule="auto"/>
        <w:ind w:right="-629"/>
        <w:jc w:val="both"/>
        <w:rPr>
          <w:rFonts w:cs="Arial"/>
          <w:lang w:val="mn-MN"/>
        </w:rPr>
      </w:pPr>
    </w:p>
    <w:p w:rsidR="0038227D" w:rsidRPr="00B10CF5" w:rsidRDefault="00440CC6" w:rsidP="005D3930">
      <w:pPr>
        <w:tabs>
          <w:tab w:val="left" w:pos="2254"/>
        </w:tabs>
        <w:spacing w:after="0" w:line="240" w:lineRule="auto"/>
        <w:ind w:right="-629"/>
        <w:jc w:val="both"/>
        <w:rPr>
          <w:rFonts w:cs="Arial"/>
        </w:rPr>
      </w:pPr>
      <w:r w:rsidRPr="00B10CF5">
        <w:rPr>
          <w:rFonts w:cs="Arial"/>
        </w:rPr>
        <w:t>As a result, totally 1</w:t>
      </w:r>
      <w:r w:rsidR="0038227D" w:rsidRPr="00B10CF5">
        <w:rPr>
          <w:rFonts w:cs="Arial"/>
          <w:lang w:val="mn-MN"/>
        </w:rPr>
        <w:t>49</w:t>
      </w:r>
      <w:r w:rsidR="00BF424E" w:rsidRPr="00B10CF5">
        <w:rPr>
          <w:rFonts w:cs="Arial"/>
        </w:rPr>
        <w:t>1</w:t>
      </w:r>
      <w:r w:rsidRPr="00B10CF5">
        <w:rPr>
          <w:rFonts w:cs="Arial"/>
        </w:rPr>
        <w:t xml:space="preserve"> mineral license and petroleum contract holding companies</w:t>
      </w:r>
      <w:r w:rsidR="0038227D" w:rsidRPr="00B10CF5">
        <w:rPr>
          <w:rFonts w:cs="Arial"/>
          <w:lang w:val="mn-MN"/>
        </w:rPr>
        <w:t xml:space="preserve"> </w:t>
      </w:r>
      <w:r w:rsidRPr="00B10CF5">
        <w:rPr>
          <w:rFonts w:cs="Arial"/>
        </w:rPr>
        <w:t>(</w:t>
      </w:r>
      <w:r w:rsidR="0038227D" w:rsidRPr="00B10CF5">
        <w:rPr>
          <w:rFonts w:cs="Arial"/>
          <w:lang w:val="mn-MN"/>
        </w:rPr>
        <w:t>79</w:t>
      </w:r>
      <w:r w:rsidR="00BF424E" w:rsidRPr="00B10CF5">
        <w:rPr>
          <w:rFonts w:cs="Arial"/>
        </w:rPr>
        <w:t>2</w:t>
      </w:r>
      <w:r w:rsidRPr="00B10CF5">
        <w:rPr>
          <w:rFonts w:cs="Arial"/>
        </w:rPr>
        <w:t xml:space="preserve"> companies with exploration license, </w:t>
      </w:r>
      <w:r w:rsidR="0038227D" w:rsidRPr="00B10CF5">
        <w:rPr>
          <w:rFonts w:cs="Arial"/>
          <w:lang w:val="mn-MN"/>
        </w:rPr>
        <w:t>68</w:t>
      </w:r>
      <w:r w:rsidR="00BF424E" w:rsidRPr="00B10CF5">
        <w:rPr>
          <w:rFonts w:cs="Arial"/>
        </w:rPr>
        <w:t>7</w:t>
      </w:r>
      <w:r w:rsidRPr="00B10CF5">
        <w:rPr>
          <w:rFonts w:cs="Arial"/>
        </w:rPr>
        <w:t xml:space="preserve"> companies with production license, 1</w:t>
      </w:r>
      <w:r w:rsidR="00BF424E" w:rsidRPr="00B10CF5">
        <w:rPr>
          <w:rFonts w:cs="Arial"/>
        </w:rPr>
        <w:t>2</w:t>
      </w:r>
      <w:r w:rsidRPr="00B10CF5">
        <w:rPr>
          <w:rFonts w:cs="Arial"/>
        </w:rPr>
        <w:t xml:space="preserve"> companies with petroleum production sharing agreement) </w:t>
      </w:r>
      <w:r w:rsidR="006C7B5F" w:rsidRPr="00B10CF5">
        <w:rPr>
          <w:rFonts w:cs="Arial"/>
        </w:rPr>
        <w:t xml:space="preserve">produced reports and Government entities like </w:t>
      </w:r>
      <w:r w:rsidR="00BF424E" w:rsidRPr="00B10CF5">
        <w:rPr>
          <w:rFonts w:cs="Arial"/>
        </w:rPr>
        <w:t>1</w:t>
      </w:r>
      <w:r w:rsidR="006C7B5F" w:rsidRPr="00B10CF5">
        <w:rPr>
          <w:rFonts w:cs="Arial"/>
        </w:rPr>
        <w:t xml:space="preserve"> </w:t>
      </w:r>
      <w:r w:rsidR="0038227D" w:rsidRPr="00B10CF5">
        <w:rPr>
          <w:rFonts w:cs="Arial"/>
        </w:rPr>
        <w:t xml:space="preserve">ministry, </w:t>
      </w:r>
      <w:r w:rsidR="00BF424E" w:rsidRPr="00B10CF5">
        <w:rPr>
          <w:rFonts w:cs="Arial"/>
        </w:rPr>
        <w:t xml:space="preserve">6 </w:t>
      </w:r>
      <w:r w:rsidR="006C7B5F" w:rsidRPr="00B10CF5">
        <w:rPr>
          <w:rFonts w:cs="Arial"/>
        </w:rPr>
        <w:t xml:space="preserve">agencies, gubernatorial </w:t>
      </w:r>
      <w:r w:rsidR="005D3930" w:rsidRPr="00B10CF5">
        <w:rPr>
          <w:rFonts w:cs="Arial"/>
        </w:rPr>
        <w:t>offices</w:t>
      </w:r>
      <w:r w:rsidR="006C7B5F" w:rsidRPr="00B10CF5">
        <w:rPr>
          <w:rFonts w:cs="Arial"/>
        </w:rPr>
        <w:t xml:space="preserve"> of </w:t>
      </w:r>
      <w:r w:rsidR="00BF424E" w:rsidRPr="00B10CF5">
        <w:rPr>
          <w:rFonts w:cs="Arial"/>
        </w:rPr>
        <w:t>13</w:t>
      </w:r>
      <w:r w:rsidR="006C7B5F" w:rsidRPr="00B10CF5">
        <w:rPr>
          <w:rFonts w:cs="Arial"/>
        </w:rPr>
        <w:t xml:space="preserve"> </w:t>
      </w:r>
      <w:proofErr w:type="spellStart"/>
      <w:r w:rsidR="006C7B5F" w:rsidRPr="00B10CF5">
        <w:rPr>
          <w:rFonts w:cs="Arial"/>
        </w:rPr>
        <w:t>aimags</w:t>
      </w:r>
      <w:proofErr w:type="spellEnd"/>
      <w:r w:rsidR="00BF424E" w:rsidRPr="00B10CF5">
        <w:rPr>
          <w:rFonts w:cs="Arial"/>
        </w:rPr>
        <w:t>, capital city</w:t>
      </w:r>
      <w:r w:rsidR="006C7B5F" w:rsidRPr="00B10CF5">
        <w:rPr>
          <w:rFonts w:cs="Arial"/>
        </w:rPr>
        <w:t xml:space="preserve"> and </w:t>
      </w:r>
      <w:r w:rsidR="00BF424E" w:rsidRPr="00B10CF5">
        <w:rPr>
          <w:rFonts w:cs="Arial"/>
        </w:rPr>
        <w:t>8</w:t>
      </w:r>
      <w:r w:rsidR="006C7B5F" w:rsidRPr="00B10CF5">
        <w:rPr>
          <w:rFonts w:cs="Arial"/>
        </w:rPr>
        <w:t xml:space="preserve"> districts reported on revenues from </w:t>
      </w:r>
      <w:r w:rsidR="00BF424E" w:rsidRPr="00B10CF5">
        <w:rPr>
          <w:rFonts w:cs="Arial"/>
        </w:rPr>
        <w:t>1986</w:t>
      </w:r>
      <w:r w:rsidR="006C7B5F" w:rsidRPr="00B10CF5">
        <w:rPr>
          <w:rFonts w:cs="Arial"/>
        </w:rPr>
        <w:t xml:space="preserve"> companies electronically</w:t>
      </w:r>
      <w:r w:rsidR="0038227D" w:rsidRPr="00B10CF5">
        <w:rPr>
          <w:rFonts w:cs="Arial"/>
        </w:rPr>
        <w:t xml:space="preserve">. </w:t>
      </w:r>
    </w:p>
    <w:p w:rsidR="00BF424E" w:rsidRPr="00B10CF5" w:rsidRDefault="00BF424E" w:rsidP="005D3930">
      <w:pPr>
        <w:tabs>
          <w:tab w:val="left" w:pos="2254"/>
        </w:tabs>
        <w:spacing w:after="0" w:line="240" w:lineRule="auto"/>
        <w:ind w:right="-629"/>
        <w:jc w:val="both"/>
        <w:rPr>
          <w:rFonts w:cs="Arial"/>
        </w:rPr>
      </w:pPr>
    </w:p>
    <w:p w:rsidR="00BF424E" w:rsidRPr="00B10CF5" w:rsidRDefault="00BF424E" w:rsidP="005D3930">
      <w:pPr>
        <w:tabs>
          <w:tab w:val="left" w:pos="2254"/>
        </w:tabs>
        <w:spacing w:after="0" w:line="240" w:lineRule="auto"/>
        <w:ind w:right="-629"/>
        <w:jc w:val="both"/>
        <w:rPr>
          <w:rFonts w:cs="Arial"/>
        </w:rPr>
      </w:pPr>
      <w:r w:rsidRPr="00B10CF5">
        <w:rPr>
          <w:rFonts w:cs="Arial"/>
        </w:rPr>
        <w:t xml:space="preserve">During the Reconciliation work, 2 organizations of Parliament, 4 ministries, 9 agencies, 8 </w:t>
      </w:r>
      <w:proofErr w:type="spellStart"/>
      <w:r w:rsidRPr="00B10CF5">
        <w:rPr>
          <w:rFonts w:cs="Arial"/>
        </w:rPr>
        <w:t>aimags</w:t>
      </w:r>
      <w:proofErr w:type="spellEnd"/>
      <w:r w:rsidRPr="00B10CF5">
        <w:rPr>
          <w:rFonts w:cs="Arial"/>
        </w:rPr>
        <w:t xml:space="preserve"> and 2 districts have provided additional data and </w:t>
      </w:r>
      <w:proofErr w:type="spellStart"/>
      <w:r w:rsidRPr="00B10CF5">
        <w:rPr>
          <w:rFonts w:cs="Arial"/>
        </w:rPr>
        <w:t>explainations</w:t>
      </w:r>
      <w:proofErr w:type="spellEnd"/>
      <w:r w:rsidRPr="00B10CF5">
        <w:rPr>
          <w:rFonts w:cs="Arial"/>
        </w:rPr>
        <w:t xml:space="preserve"> and cooperated in timely manner.</w:t>
      </w:r>
    </w:p>
    <w:p w:rsidR="00BF424E" w:rsidRPr="00B10CF5" w:rsidRDefault="00BF424E" w:rsidP="005D3930">
      <w:pPr>
        <w:tabs>
          <w:tab w:val="left" w:pos="2254"/>
        </w:tabs>
        <w:spacing w:after="0" w:line="240" w:lineRule="auto"/>
        <w:ind w:right="-629"/>
        <w:jc w:val="both"/>
        <w:rPr>
          <w:rFonts w:cs="Arial"/>
        </w:rPr>
      </w:pPr>
      <w:r w:rsidRPr="00B10CF5">
        <w:rPr>
          <w:rFonts w:cs="Arial"/>
        </w:rPr>
        <w:t xml:space="preserve"> </w:t>
      </w:r>
    </w:p>
    <w:p w:rsidR="00760B87" w:rsidRPr="00B10CF5" w:rsidRDefault="0038227D" w:rsidP="005D3930">
      <w:pPr>
        <w:tabs>
          <w:tab w:val="left" w:pos="2254"/>
        </w:tabs>
        <w:spacing w:after="0" w:line="240" w:lineRule="auto"/>
        <w:ind w:right="-629"/>
        <w:jc w:val="both"/>
        <w:rPr>
          <w:rFonts w:cs="Arial"/>
        </w:rPr>
      </w:pPr>
      <w:r w:rsidRPr="00B10CF5">
        <w:rPr>
          <w:rFonts w:cs="Arial"/>
        </w:rPr>
        <w:t xml:space="preserve">As for </w:t>
      </w:r>
      <w:r w:rsidR="006C7B5F" w:rsidRPr="00B10CF5">
        <w:rPr>
          <w:rFonts w:cs="Arial"/>
        </w:rPr>
        <w:t xml:space="preserve">some details </w:t>
      </w:r>
      <w:r w:rsidR="005D3930" w:rsidRPr="00B10CF5">
        <w:rPr>
          <w:rFonts w:cs="Arial"/>
        </w:rPr>
        <w:t>about</w:t>
      </w:r>
      <w:r w:rsidR="006C7B5F" w:rsidRPr="00B10CF5">
        <w:rPr>
          <w:rFonts w:cs="Arial"/>
        </w:rPr>
        <w:t xml:space="preserve"> report by Government entities.  Mineral and petroleum authorities reported on 1</w:t>
      </w:r>
      <w:r w:rsidR="00BF424E" w:rsidRPr="00B10CF5">
        <w:rPr>
          <w:rFonts w:cs="Arial"/>
        </w:rPr>
        <w:t>724</w:t>
      </w:r>
      <w:r w:rsidR="006C7B5F" w:rsidRPr="00B10CF5">
        <w:rPr>
          <w:rFonts w:cs="Arial"/>
        </w:rPr>
        <w:t xml:space="preserve">, Taxation on </w:t>
      </w:r>
      <w:r w:rsidR="00BF424E" w:rsidRPr="00B10CF5">
        <w:rPr>
          <w:rFonts w:cs="Arial"/>
        </w:rPr>
        <w:t>774</w:t>
      </w:r>
      <w:r w:rsidR="006C7B5F" w:rsidRPr="00B10CF5">
        <w:rPr>
          <w:rFonts w:cs="Arial"/>
        </w:rPr>
        <w:t xml:space="preserve">, General authorities of health and social insurance on </w:t>
      </w:r>
      <w:r w:rsidR="00817F55" w:rsidRPr="00B10CF5">
        <w:rPr>
          <w:rFonts w:cs="Arial"/>
        </w:rPr>
        <w:t>900, Customs</w:t>
      </w:r>
      <w:r w:rsidR="006C7B5F" w:rsidRPr="00B10CF5">
        <w:rPr>
          <w:rFonts w:cs="Arial"/>
        </w:rPr>
        <w:t xml:space="preserve"> office on </w:t>
      </w:r>
      <w:r w:rsidR="001D3786" w:rsidRPr="00B10CF5">
        <w:rPr>
          <w:rFonts w:cs="Arial"/>
        </w:rPr>
        <w:t>312</w:t>
      </w:r>
      <w:r w:rsidR="006C7B5F" w:rsidRPr="00B10CF5">
        <w:rPr>
          <w:rFonts w:cs="Arial"/>
        </w:rPr>
        <w:t xml:space="preserve">, </w:t>
      </w:r>
      <w:proofErr w:type="spellStart"/>
      <w:r w:rsidR="001D3786" w:rsidRPr="00B10CF5">
        <w:rPr>
          <w:rFonts w:cs="Arial"/>
        </w:rPr>
        <w:t>Chingeltei</w:t>
      </w:r>
      <w:proofErr w:type="spellEnd"/>
      <w:r w:rsidR="001D3786" w:rsidRPr="00B10CF5">
        <w:rPr>
          <w:rFonts w:cs="Arial"/>
        </w:rPr>
        <w:t xml:space="preserve"> district on 136, </w:t>
      </w:r>
      <w:proofErr w:type="spellStart"/>
      <w:r w:rsidR="006C7B5F" w:rsidRPr="00B10CF5">
        <w:rPr>
          <w:rFonts w:cs="Arial"/>
        </w:rPr>
        <w:t>Bayangol</w:t>
      </w:r>
      <w:proofErr w:type="spellEnd"/>
      <w:r w:rsidR="006C7B5F" w:rsidRPr="00B10CF5">
        <w:rPr>
          <w:rFonts w:cs="Arial"/>
        </w:rPr>
        <w:t xml:space="preserve"> district on 1</w:t>
      </w:r>
      <w:r w:rsidR="001D3786" w:rsidRPr="00B10CF5">
        <w:rPr>
          <w:rFonts w:cs="Arial"/>
        </w:rPr>
        <w:t>14</w:t>
      </w:r>
      <w:r w:rsidR="006C7B5F" w:rsidRPr="00B10CF5">
        <w:rPr>
          <w:rFonts w:cs="Arial"/>
        </w:rPr>
        <w:t xml:space="preserve">, </w:t>
      </w:r>
      <w:r w:rsidR="001D3786" w:rsidRPr="00B10CF5">
        <w:rPr>
          <w:rFonts w:cs="Arial"/>
        </w:rPr>
        <w:t>Khan-</w:t>
      </w:r>
      <w:proofErr w:type="spellStart"/>
      <w:r w:rsidR="001D3786" w:rsidRPr="00B10CF5">
        <w:rPr>
          <w:rFonts w:cs="Arial"/>
        </w:rPr>
        <w:t>Uul</w:t>
      </w:r>
      <w:proofErr w:type="spellEnd"/>
      <w:r w:rsidR="001D3786" w:rsidRPr="00B10CF5">
        <w:rPr>
          <w:rFonts w:cs="Arial"/>
        </w:rPr>
        <w:t xml:space="preserve"> district on 13, </w:t>
      </w:r>
      <w:proofErr w:type="spellStart"/>
      <w:r w:rsidR="001D3786" w:rsidRPr="00B10CF5">
        <w:rPr>
          <w:rFonts w:cs="Arial"/>
        </w:rPr>
        <w:t>Bayanzurkh</w:t>
      </w:r>
      <w:proofErr w:type="spellEnd"/>
      <w:r w:rsidR="001D3786" w:rsidRPr="00B10CF5">
        <w:rPr>
          <w:rFonts w:cs="Arial"/>
        </w:rPr>
        <w:t xml:space="preserve"> district on 11, </w:t>
      </w:r>
      <w:proofErr w:type="spellStart"/>
      <w:r w:rsidR="001D3786" w:rsidRPr="00B10CF5">
        <w:rPr>
          <w:rFonts w:cs="Arial"/>
        </w:rPr>
        <w:t>Nalaikh</w:t>
      </w:r>
      <w:proofErr w:type="spellEnd"/>
      <w:r w:rsidR="004920AD" w:rsidRPr="00B10CF5">
        <w:rPr>
          <w:rFonts w:cs="Arial"/>
        </w:rPr>
        <w:t xml:space="preserve"> </w:t>
      </w:r>
      <w:r w:rsidR="006C7B5F" w:rsidRPr="00B10CF5">
        <w:rPr>
          <w:rFonts w:cs="Arial"/>
        </w:rPr>
        <w:t xml:space="preserve">district </w:t>
      </w:r>
      <w:r w:rsidR="00760B87" w:rsidRPr="00B10CF5">
        <w:rPr>
          <w:rFonts w:cs="Arial"/>
        </w:rPr>
        <w:t>on 1</w:t>
      </w:r>
      <w:r w:rsidR="001D3786" w:rsidRPr="00B10CF5">
        <w:rPr>
          <w:rFonts w:cs="Arial"/>
        </w:rPr>
        <w:t>1</w:t>
      </w:r>
      <w:r w:rsidR="00760B87" w:rsidRPr="00B10CF5">
        <w:rPr>
          <w:rFonts w:cs="Arial"/>
        </w:rPr>
        <w:t xml:space="preserve">, </w:t>
      </w:r>
      <w:proofErr w:type="spellStart"/>
      <w:r w:rsidR="00760B87" w:rsidRPr="00B10CF5">
        <w:rPr>
          <w:rFonts w:cs="Arial"/>
        </w:rPr>
        <w:t>Dornogovi</w:t>
      </w:r>
      <w:proofErr w:type="spellEnd"/>
      <w:r w:rsidR="00760B87" w:rsidRPr="00B10CF5">
        <w:rPr>
          <w:rFonts w:cs="Arial"/>
        </w:rPr>
        <w:t xml:space="preserve"> </w:t>
      </w:r>
      <w:proofErr w:type="spellStart"/>
      <w:r w:rsidR="00760B87" w:rsidRPr="00B10CF5">
        <w:rPr>
          <w:rFonts w:cs="Arial"/>
        </w:rPr>
        <w:t>aimag</w:t>
      </w:r>
      <w:proofErr w:type="spellEnd"/>
      <w:r w:rsidR="00760B87" w:rsidRPr="00B10CF5">
        <w:rPr>
          <w:rFonts w:cs="Arial"/>
        </w:rPr>
        <w:t xml:space="preserve"> on 1</w:t>
      </w:r>
      <w:r w:rsidR="001D3786" w:rsidRPr="00B10CF5">
        <w:rPr>
          <w:rFonts w:cs="Arial"/>
        </w:rPr>
        <w:t>55</w:t>
      </w:r>
      <w:r w:rsidR="00760B87" w:rsidRPr="00B10CF5">
        <w:rPr>
          <w:rFonts w:cs="Arial"/>
        </w:rPr>
        <w:t xml:space="preserve">, </w:t>
      </w:r>
      <w:proofErr w:type="spellStart"/>
      <w:r w:rsidR="004920AD" w:rsidRPr="00B10CF5">
        <w:rPr>
          <w:rFonts w:cs="Arial"/>
        </w:rPr>
        <w:t>Tuv</w:t>
      </w:r>
      <w:proofErr w:type="spellEnd"/>
      <w:r w:rsidR="004920AD" w:rsidRPr="00B10CF5">
        <w:rPr>
          <w:rFonts w:cs="Arial"/>
        </w:rPr>
        <w:t xml:space="preserve"> </w:t>
      </w:r>
      <w:proofErr w:type="spellStart"/>
      <w:r w:rsidR="004920AD" w:rsidRPr="00B10CF5">
        <w:rPr>
          <w:rFonts w:cs="Arial"/>
        </w:rPr>
        <w:t>aimag</w:t>
      </w:r>
      <w:proofErr w:type="spellEnd"/>
      <w:r w:rsidR="004920AD" w:rsidRPr="00B10CF5">
        <w:rPr>
          <w:rFonts w:cs="Arial"/>
        </w:rPr>
        <w:t xml:space="preserve"> </w:t>
      </w:r>
      <w:r w:rsidR="00760B87" w:rsidRPr="00B10CF5">
        <w:rPr>
          <w:rFonts w:cs="Arial"/>
        </w:rPr>
        <w:t xml:space="preserve">on </w:t>
      </w:r>
      <w:r w:rsidR="001D3786" w:rsidRPr="00B10CF5">
        <w:rPr>
          <w:rFonts w:cs="Arial"/>
        </w:rPr>
        <w:t>77</w:t>
      </w:r>
      <w:r w:rsidR="00760B87" w:rsidRPr="00B10CF5">
        <w:rPr>
          <w:rFonts w:cs="Arial"/>
        </w:rPr>
        <w:t xml:space="preserve">, </w:t>
      </w:r>
      <w:proofErr w:type="spellStart"/>
      <w:r w:rsidR="001D3786" w:rsidRPr="00B10CF5">
        <w:rPr>
          <w:rFonts w:cs="Arial"/>
        </w:rPr>
        <w:t>Govi</w:t>
      </w:r>
      <w:proofErr w:type="spellEnd"/>
      <w:r w:rsidR="001D3786" w:rsidRPr="00B10CF5">
        <w:rPr>
          <w:rFonts w:cs="Arial"/>
        </w:rPr>
        <w:t xml:space="preserve">-Altai </w:t>
      </w:r>
      <w:proofErr w:type="spellStart"/>
      <w:r w:rsidR="001D3786" w:rsidRPr="00B10CF5">
        <w:rPr>
          <w:rFonts w:cs="Arial"/>
        </w:rPr>
        <w:t>aimag</w:t>
      </w:r>
      <w:proofErr w:type="spellEnd"/>
      <w:r w:rsidR="001D3786" w:rsidRPr="00B10CF5">
        <w:rPr>
          <w:rFonts w:cs="Arial"/>
        </w:rPr>
        <w:t xml:space="preserve"> on 62, </w:t>
      </w:r>
      <w:proofErr w:type="spellStart"/>
      <w:r w:rsidR="004920AD" w:rsidRPr="00B10CF5">
        <w:rPr>
          <w:rFonts w:cs="Arial"/>
        </w:rPr>
        <w:t>Dundgovi</w:t>
      </w:r>
      <w:proofErr w:type="spellEnd"/>
      <w:r w:rsidR="004920AD" w:rsidRPr="00B10CF5">
        <w:rPr>
          <w:rFonts w:cs="Arial"/>
        </w:rPr>
        <w:t xml:space="preserve"> </w:t>
      </w:r>
      <w:proofErr w:type="spellStart"/>
      <w:r w:rsidR="00760B87" w:rsidRPr="00B10CF5">
        <w:rPr>
          <w:rFonts w:cs="Arial"/>
        </w:rPr>
        <w:t>aimag</w:t>
      </w:r>
      <w:proofErr w:type="spellEnd"/>
      <w:r w:rsidR="00760B87" w:rsidRPr="00B10CF5">
        <w:rPr>
          <w:rFonts w:cs="Arial"/>
        </w:rPr>
        <w:t xml:space="preserve"> on </w:t>
      </w:r>
      <w:r w:rsidR="001D3786" w:rsidRPr="00B10CF5">
        <w:rPr>
          <w:rFonts w:cs="Arial"/>
        </w:rPr>
        <w:t>44</w:t>
      </w:r>
      <w:r w:rsidR="004920AD" w:rsidRPr="00B10CF5">
        <w:rPr>
          <w:rFonts w:cs="Arial"/>
        </w:rPr>
        <w:t xml:space="preserve">, </w:t>
      </w:r>
      <w:r w:rsidR="001D3786" w:rsidRPr="00B10CF5">
        <w:rPr>
          <w:rFonts w:cs="Arial"/>
        </w:rPr>
        <w:t xml:space="preserve">and </w:t>
      </w:r>
      <w:proofErr w:type="spellStart"/>
      <w:r w:rsidR="001D3786" w:rsidRPr="00B10CF5">
        <w:rPr>
          <w:rFonts w:cs="Arial"/>
        </w:rPr>
        <w:t>Dornod</w:t>
      </w:r>
      <w:proofErr w:type="spellEnd"/>
      <w:r w:rsidR="004920AD" w:rsidRPr="00B10CF5">
        <w:rPr>
          <w:rFonts w:cs="Arial"/>
        </w:rPr>
        <w:t xml:space="preserve"> </w:t>
      </w:r>
      <w:proofErr w:type="spellStart"/>
      <w:r w:rsidR="004920AD" w:rsidRPr="00B10CF5">
        <w:rPr>
          <w:rFonts w:cs="Arial"/>
        </w:rPr>
        <w:t>aimag</w:t>
      </w:r>
      <w:proofErr w:type="spellEnd"/>
      <w:r w:rsidR="004920AD" w:rsidRPr="00B10CF5">
        <w:rPr>
          <w:rFonts w:cs="Arial"/>
        </w:rPr>
        <w:t xml:space="preserve"> on </w:t>
      </w:r>
      <w:r w:rsidR="001D3786" w:rsidRPr="00B10CF5">
        <w:rPr>
          <w:rFonts w:cs="Arial"/>
        </w:rPr>
        <w:t>43</w:t>
      </w:r>
      <w:r w:rsidR="004920AD" w:rsidRPr="00B10CF5">
        <w:rPr>
          <w:rFonts w:cs="Arial"/>
        </w:rPr>
        <w:t xml:space="preserve"> </w:t>
      </w:r>
      <w:r w:rsidR="00760B87" w:rsidRPr="00B10CF5">
        <w:rPr>
          <w:rFonts w:cs="Arial"/>
        </w:rPr>
        <w:t>companies</w:t>
      </w:r>
      <w:r w:rsidR="001D3786" w:rsidRPr="00B10CF5">
        <w:rPr>
          <w:rFonts w:cs="Arial"/>
        </w:rPr>
        <w:t>.</w:t>
      </w:r>
      <w:r w:rsidR="00E54289" w:rsidRPr="00B10CF5">
        <w:rPr>
          <w:rFonts w:cs="Arial"/>
          <w:lang w:val="mn-MN"/>
        </w:rPr>
        <w:t xml:space="preserve"> </w:t>
      </w:r>
    </w:p>
    <w:p w:rsidR="003B1429" w:rsidRPr="00B10CF5" w:rsidRDefault="00760B87" w:rsidP="005D3930">
      <w:pPr>
        <w:tabs>
          <w:tab w:val="left" w:pos="2254"/>
        </w:tabs>
        <w:spacing w:after="0" w:line="240" w:lineRule="auto"/>
        <w:ind w:right="-629"/>
        <w:jc w:val="both"/>
        <w:rPr>
          <w:rFonts w:cs="Arial"/>
          <w:color w:val="000000" w:themeColor="text1"/>
          <w:lang w:val="mn-MN"/>
        </w:rPr>
      </w:pPr>
      <w:r w:rsidRPr="00B10CF5">
        <w:rPr>
          <w:rFonts w:cs="Arial"/>
          <w:color w:val="000000" w:themeColor="text1"/>
          <w:lang w:val="mn-MN"/>
        </w:rPr>
        <w:t xml:space="preserve"> </w:t>
      </w:r>
    </w:p>
    <w:p w:rsidR="00D56B54" w:rsidRPr="00B10CF5" w:rsidRDefault="001D3786" w:rsidP="005D3930">
      <w:pPr>
        <w:tabs>
          <w:tab w:val="left" w:pos="2254"/>
        </w:tabs>
        <w:spacing w:after="0" w:line="240" w:lineRule="auto"/>
        <w:ind w:right="-629"/>
        <w:jc w:val="both"/>
        <w:rPr>
          <w:rFonts w:cs="Arial"/>
          <w:color w:val="000000" w:themeColor="text1"/>
          <w:u w:val="single"/>
          <w:lang w:val="mn-MN"/>
        </w:rPr>
      </w:pPr>
      <w:r w:rsidRPr="00B10CF5">
        <w:rPr>
          <w:rFonts w:cs="Arial"/>
          <w:color w:val="000000" w:themeColor="text1"/>
          <w:u w:val="single"/>
        </w:rPr>
        <w:t xml:space="preserve">Major indications of Mongolia </w:t>
      </w:r>
      <w:r w:rsidR="00760B87" w:rsidRPr="00B10CF5">
        <w:rPr>
          <w:rFonts w:cs="Arial"/>
          <w:color w:val="000000" w:themeColor="text1"/>
          <w:u w:val="single"/>
        </w:rPr>
        <w:t xml:space="preserve">EITI </w:t>
      </w:r>
      <w:r w:rsidRPr="00B10CF5">
        <w:rPr>
          <w:rFonts w:cs="Arial"/>
          <w:color w:val="000000" w:themeColor="text1"/>
          <w:u w:val="single"/>
        </w:rPr>
        <w:t>Report</w:t>
      </w:r>
      <w:r w:rsidR="00760B87" w:rsidRPr="00B10CF5">
        <w:rPr>
          <w:rFonts w:cs="Arial"/>
          <w:color w:val="000000" w:themeColor="text1"/>
          <w:u w:val="single"/>
        </w:rPr>
        <w:t xml:space="preserve"> </w:t>
      </w:r>
    </w:p>
    <w:p w:rsidR="008A5445" w:rsidRPr="00B10CF5" w:rsidRDefault="008A5445" w:rsidP="005D3930">
      <w:pPr>
        <w:tabs>
          <w:tab w:val="left" w:pos="2254"/>
        </w:tabs>
        <w:spacing w:after="0" w:line="240" w:lineRule="auto"/>
        <w:ind w:right="-629"/>
        <w:jc w:val="both"/>
        <w:rPr>
          <w:rFonts w:cs="Arial"/>
          <w:color w:val="000000" w:themeColor="text1"/>
          <w:lang w:val="mn-MN"/>
        </w:rPr>
      </w:pPr>
    </w:p>
    <w:p w:rsidR="001D3786" w:rsidRPr="00B10CF5" w:rsidRDefault="001D3786"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Mongolia </w:t>
      </w:r>
      <w:r w:rsidR="002705B0" w:rsidRPr="00B10CF5">
        <w:rPr>
          <w:rFonts w:cs="Arial"/>
          <w:color w:val="000000" w:themeColor="text1"/>
        </w:rPr>
        <w:t xml:space="preserve">EITI </w:t>
      </w:r>
      <w:r w:rsidRPr="00B10CF5">
        <w:rPr>
          <w:rFonts w:cs="Arial"/>
          <w:color w:val="000000" w:themeColor="text1"/>
        </w:rPr>
        <w:t xml:space="preserve">2018 Report covers 202 companies, a total reconciled payments and revenues is 2.8 trillion MNT, unexplained discrepancies </w:t>
      </w:r>
      <w:r w:rsidR="00817F55" w:rsidRPr="00B10CF5">
        <w:rPr>
          <w:rFonts w:cs="Arial"/>
          <w:color w:val="000000" w:themeColor="text1"/>
        </w:rPr>
        <w:t>were</w:t>
      </w:r>
      <w:r w:rsidRPr="00B10CF5">
        <w:rPr>
          <w:rFonts w:cs="Arial"/>
          <w:color w:val="000000" w:themeColor="text1"/>
        </w:rPr>
        <w:t xml:space="preserve"> 279 million MNT. </w:t>
      </w:r>
    </w:p>
    <w:p w:rsidR="001D3786" w:rsidRPr="00B10CF5" w:rsidRDefault="001D3786" w:rsidP="005D3930">
      <w:pPr>
        <w:tabs>
          <w:tab w:val="left" w:pos="2254"/>
        </w:tabs>
        <w:spacing w:after="0" w:line="240" w:lineRule="auto"/>
        <w:ind w:right="-629"/>
        <w:jc w:val="both"/>
        <w:rPr>
          <w:rFonts w:cs="Arial"/>
          <w:color w:val="000000" w:themeColor="text1"/>
        </w:rPr>
      </w:pPr>
    </w:p>
    <w:p w:rsidR="00821B4C" w:rsidRPr="00B10CF5" w:rsidRDefault="000802F0" w:rsidP="005D3930">
      <w:pPr>
        <w:tabs>
          <w:tab w:val="left" w:pos="2254"/>
        </w:tabs>
        <w:spacing w:after="0" w:line="240" w:lineRule="auto"/>
        <w:ind w:right="-629"/>
        <w:jc w:val="both"/>
        <w:rPr>
          <w:rFonts w:cs="Arial"/>
          <w:color w:val="000000" w:themeColor="text1"/>
        </w:rPr>
      </w:pPr>
      <w:r w:rsidRPr="00B10CF5">
        <w:rPr>
          <w:rFonts w:cs="Arial"/>
          <w:color w:val="000000" w:themeColor="text1"/>
        </w:rPr>
        <w:t>By size of revenues paid</w:t>
      </w:r>
      <w:r w:rsidR="00821B4C" w:rsidRPr="00B10CF5">
        <w:rPr>
          <w:rFonts w:cs="Arial"/>
          <w:color w:val="000000" w:themeColor="text1"/>
        </w:rPr>
        <w:t xml:space="preserve"> by company</w:t>
      </w:r>
      <w:r w:rsidRPr="00B10CF5">
        <w:rPr>
          <w:rFonts w:cs="Arial"/>
          <w:color w:val="000000" w:themeColor="text1"/>
        </w:rPr>
        <w:t xml:space="preserve"> in 2018, Erdenet Copper Mine has paid 651.9 billion MNT, OT LLC </w:t>
      </w:r>
      <w:r w:rsidR="00817F55" w:rsidRPr="00B10CF5">
        <w:rPr>
          <w:rFonts w:cs="Arial"/>
          <w:color w:val="000000" w:themeColor="text1"/>
        </w:rPr>
        <w:t>paid 466.9</w:t>
      </w:r>
      <w:r w:rsidRPr="00B10CF5">
        <w:rPr>
          <w:rFonts w:cs="Arial"/>
          <w:color w:val="000000" w:themeColor="text1"/>
        </w:rPr>
        <w:t xml:space="preserve"> billion MNT, </w:t>
      </w:r>
      <w:proofErr w:type="spellStart"/>
      <w:r w:rsidRPr="00B10CF5">
        <w:rPr>
          <w:rFonts w:cs="Arial"/>
          <w:color w:val="000000" w:themeColor="text1"/>
        </w:rPr>
        <w:t>Erdenes</w:t>
      </w:r>
      <w:proofErr w:type="spellEnd"/>
      <w:r w:rsidRPr="00B10CF5">
        <w:rPr>
          <w:rFonts w:cs="Arial"/>
          <w:color w:val="000000" w:themeColor="text1"/>
        </w:rPr>
        <w:t xml:space="preserve"> </w:t>
      </w:r>
      <w:proofErr w:type="spellStart"/>
      <w:r w:rsidRPr="00B10CF5">
        <w:rPr>
          <w:rFonts w:cs="Arial"/>
          <w:color w:val="000000" w:themeColor="text1"/>
        </w:rPr>
        <w:t>Tavan</w:t>
      </w:r>
      <w:proofErr w:type="spellEnd"/>
      <w:r w:rsidRPr="00B10CF5">
        <w:rPr>
          <w:rFonts w:cs="Arial"/>
          <w:color w:val="000000" w:themeColor="text1"/>
        </w:rPr>
        <w:t xml:space="preserve"> Tolgoi paid 416.3 billion MNT, </w:t>
      </w:r>
      <w:proofErr w:type="spellStart"/>
      <w:r w:rsidRPr="00B10CF5">
        <w:rPr>
          <w:rFonts w:cs="Arial"/>
          <w:color w:val="000000" w:themeColor="text1"/>
        </w:rPr>
        <w:t>Petrochina</w:t>
      </w:r>
      <w:proofErr w:type="spellEnd"/>
      <w:r w:rsidRPr="00B10CF5">
        <w:rPr>
          <w:rFonts w:cs="Arial"/>
          <w:color w:val="000000" w:themeColor="text1"/>
        </w:rPr>
        <w:t xml:space="preserve"> </w:t>
      </w:r>
      <w:proofErr w:type="spellStart"/>
      <w:r w:rsidRPr="00B10CF5">
        <w:rPr>
          <w:rFonts w:cs="Arial"/>
          <w:color w:val="000000" w:themeColor="text1"/>
        </w:rPr>
        <w:t>Dachin</w:t>
      </w:r>
      <w:proofErr w:type="spellEnd"/>
      <w:r w:rsidRPr="00B10CF5">
        <w:rPr>
          <w:rFonts w:cs="Arial"/>
          <w:color w:val="000000" w:themeColor="text1"/>
        </w:rPr>
        <w:t xml:space="preserve"> </w:t>
      </w:r>
      <w:proofErr w:type="spellStart"/>
      <w:r w:rsidRPr="00B10CF5">
        <w:rPr>
          <w:rFonts w:cs="Arial"/>
          <w:color w:val="000000" w:themeColor="text1"/>
        </w:rPr>
        <w:t>Tamsag</w:t>
      </w:r>
      <w:proofErr w:type="spellEnd"/>
      <w:r w:rsidRPr="00B10CF5">
        <w:rPr>
          <w:rFonts w:cs="Arial"/>
          <w:color w:val="000000" w:themeColor="text1"/>
        </w:rPr>
        <w:t xml:space="preserve"> paid 261.5 billion MNT, </w:t>
      </w:r>
      <w:proofErr w:type="spellStart"/>
      <w:r w:rsidRPr="00B10CF5">
        <w:rPr>
          <w:rFonts w:cs="Arial"/>
          <w:color w:val="000000" w:themeColor="text1"/>
        </w:rPr>
        <w:t>Mongolyn</w:t>
      </w:r>
      <w:proofErr w:type="spellEnd"/>
      <w:r w:rsidRPr="00B10CF5">
        <w:rPr>
          <w:rFonts w:cs="Arial"/>
          <w:color w:val="000000" w:themeColor="text1"/>
        </w:rPr>
        <w:t xml:space="preserve"> alt MAK paid 184.4 billion MNT, </w:t>
      </w:r>
      <w:proofErr w:type="spellStart"/>
      <w:r w:rsidRPr="00B10CF5">
        <w:rPr>
          <w:rFonts w:cs="Arial"/>
          <w:color w:val="000000" w:themeColor="text1"/>
        </w:rPr>
        <w:t>Tavan</w:t>
      </w:r>
      <w:proofErr w:type="spellEnd"/>
      <w:r w:rsidRPr="00B10CF5">
        <w:rPr>
          <w:rFonts w:cs="Arial"/>
          <w:color w:val="000000" w:themeColor="text1"/>
        </w:rPr>
        <w:t xml:space="preserve"> </w:t>
      </w:r>
      <w:proofErr w:type="spellStart"/>
      <w:r w:rsidRPr="00B10CF5">
        <w:rPr>
          <w:rFonts w:cs="Arial"/>
          <w:color w:val="000000" w:themeColor="text1"/>
        </w:rPr>
        <w:t>tolgoi</w:t>
      </w:r>
      <w:proofErr w:type="spellEnd"/>
      <w:r w:rsidRPr="00B10CF5">
        <w:rPr>
          <w:rFonts w:cs="Arial"/>
          <w:color w:val="000000" w:themeColor="text1"/>
        </w:rPr>
        <w:t xml:space="preserve"> paid 177.1 billion MNT, Energy </w:t>
      </w:r>
      <w:proofErr w:type="spellStart"/>
      <w:r w:rsidRPr="00B10CF5">
        <w:rPr>
          <w:rFonts w:cs="Arial"/>
          <w:color w:val="000000" w:themeColor="text1"/>
        </w:rPr>
        <w:t>Resourse</w:t>
      </w:r>
      <w:proofErr w:type="spellEnd"/>
      <w:r w:rsidRPr="00B10CF5">
        <w:rPr>
          <w:rFonts w:cs="Arial"/>
          <w:color w:val="000000" w:themeColor="text1"/>
        </w:rPr>
        <w:t xml:space="preserve"> paid </w:t>
      </w:r>
      <w:r w:rsidR="00821B4C" w:rsidRPr="00B10CF5">
        <w:rPr>
          <w:rFonts w:cs="Arial"/>
          <w:color w:val="000000" w:themeColor="text1"/>
        </w:rPr>
        <w:t xml:space="preserve">126.5 billion MNT, </w:t>
      </w:r>
      <w:proofErr w:type="spellStart"/>
      <w:r w:rsidR="00821B4C" w:rsidRPr="00B10CF5">
        <w:rPr>
          <w:rFonts w:cs="Arial"/>
          <w:color w:val="000000" w:themeColor="text1"/>
        </w:rPr>
        <w:t>Tsairt</w:t>
      </w:r>
      <w:proofErr w:type="spellEnd"/>
      <w:r w:rsidR="00821B4C" w:rsidRPr="00B10CF5">
        <w:rPr>
          <w:rFonts w:cs="Arial"/>
          <w:color w:val="000000" w:themeColor="text1"/>
        </w:rPr>
        <w:t xml:space="preserve"> Mineral paid 81 billion MNT, and these companies have paid almost 85% of total revenues from extractive sector.</w:t>
      </w:r>
    </w:p>
    <w:p w:rsidR="00821B4C" w:rsidRPr="00B10CF5" w:rsidRDefault="00821B4C" w:rsidP="005D3930">
      <w:pPr>
        <w:tabs>
          <w:tab w:val="left" w:pos="2254"/>
        </w:tabs>
        <w:spacing w:after="0" w:line="240" w:lineRule="auto"/>
        <w:ind w:right="-629"/>
        <w:jc w:val="both"/>
        <w:rPr>
          <w:rFonts w:cs="Arial"/>
          <w:color w:val="000000" w:themeColor="text1"/>
        </w:rPr>
      </w:pPr>
    </w:p>
    <w:p w:rsidR="00821B4C" w:rsidRPr="00B10CF5" w:rsidRDefault="000802F0"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 </w:t>
      </w:r>
      <w:r w:rsidR="00821B4C" w:rsidRPr="00B10CF5">
        <w:rPr>
          <w:rFonts w:cs="Arial"/>
          <w:color w:val="000000" w:themeColor="text1"/>
        </w:rPr>
        <w:t>By size of revenue paid by type of payment, royalties were 1 trillion MNT, or 36%, Corporate income taxes were 649.7 billion MNT or 23%, oil revenue was 222.5 billion MNT or 7.9%, social insurance was 206 million MNT or 7.3%.</w:t>
      </w:r>
    </w:p>
    <w:p w:rsidR="00821B4C" w:rsidRPr="00B10CF5" w:rsidRDefault="00821B4C" w:rsidP="005D3930">
      <w:pPr>
        <w:tabs>
          <w:tab w:val="left" w:pos="2254"/>
        </w:tabs>
        <w:spacing w:after="0" w:line="240" w:lineRule="auto"/>
        <w:ind w:right="-629"/>
        <w:jc w:val="both"/>
        <w:rPr>
          <w:rFonts w:cs="Arial"/>
          <w:color w:val="000000" w:themeColor="text1"/>
        </w:rPr>
      </w:pPr>
    </w:p>
    <w:p w:rsidR="006F5323" w:rsidRPr="00B10CF5" w:rsidRDefault="00821B4C"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As for revenues collected at local level, </w:t>
      </w:r>
      <w:proofErr w:type="spellStart"/>
      <w:r w:rsidRPr="00B10CF5">
        <w:rPr>
          <w:rFonts w:cs="Arial"/>
          <w:color w:val="000000" w:themeColor="text1"/>
        </w:rPr>
        <w:t>Umnugovi</w:t>
      </w:r>
      <w:proofErr w:type="spellEnd"/>
      <w:r w:rsidRPr="00B10CF5">
        <w:rPr>
          <w:rFonts w:cs="Arial"/>
          <w:color w:val="000000" w:themeColor="text1"/>
        </w:rPr>
        <w:t xml:space="preserve"> </w:t>
      </w:r>
      <w:proofErr w:type="spellStart"/>
      <w:r w:rsidRPr="00B10CF5">
        <w:rPr>
          <w:rFonts w:cs="Arial"/>
          <w:color w:val="000000" w:themeColor="text1"/>
        </w:rPr>
        <w:t>aimag</w:t>
      </w:r>
      <w:proofErr w:type="spellEnd"/>
      <w:r w:rsidRPr="00B10CF5">
        <w:rPr>
          <w:rFonts w:cs="Arial"/>
          <w:color w:val="000000" w:themeColor="text1"/>
        </w:rPr>
        <w:t xml:space="preserve"> received </w:t>
      </w:r>
      <w:r w:rsidR="006F5323" w:rsidRPr="00B10CF5">
        <w:rPr>
          <w:rFonts w:cs="Arial"/>
          <w:color w:val="000000" w:themeColor="text1"/>
        </w:rPr>
        <w:t xml:space="preserve">68.6 billion MNT or 44.3%, Orkhon </w:t>
      </w:r>
      <w:proofErr w:type="spellStart"/>
      <w:r w:rsidR="006F5323" w:rsidRPr="00B10CF5">
        <w:rPr>
          <w:rFonts w:cs="Arial"/>
          <w:color w:val="000000" w:themeColor="text1"/>
        </w:rPr>
        <w:t>aimag</w:t>
      </w:r>
      <w:proofErr w:type="spellEnd"/>
      <w:r w:rsidR="006F5323" w:rsidRPr="00B10CF5">
        <w:rPr>
          <w:rFonts w:cs="Arial"/>
          <w:color w:val="000000" w:themeColor="text1"/>
        </w:rPr>
        <w:t xml:space="preserve"> received 53.1 billion MNT or 34.3%, </w:t>
      </w:r>
      <w:proofErr w:type="spellStart"/>
      <w:r w:rsidR="006F5323" w:rsidRPr="00B10CF5">
        <w:rPr>
          <w:rFonts w:cs="Arial"/>
          <w:color w:val="000000" w:themeColor="text1"/>
        </w:rPr>
        <w:t>Bayangol</w:t>
      </w:r>
      <w:proofErr w:type="spellEnd"/>
      <w:r w:rsidR="006F5323" w:rsidRPr="00B10CF5">
        <w:rPr>
          <w:rFonts w:cs="Arial"/>
          <w:color w:val="000000" w:themeColor="text1"/>
        </w:rPr>
        <w:t xml:space="preserve"> district received 17 billion MNT or 11%.</w:t>
      </w:r>
    </w:p>
    <w:p w:rsidR="00BF6DEA" w:rsidRPr="00B10CF5" w:rsidRDefault="00BF6DEA" w:rsidP="005D3930">
      <w:pPr>
        <w:tabs>
          <w:tab w:val="left" w:pos="2254"/>
        </w:tabs>
        <w:spacing w:after="0" w:line="240" w:lineRule="auto"/>
        <w:ind w:right="-629"/>
        <w:jc w:val="both"/>
        <w:rPr>
          <w:rFonts w:cs="Arial"/>
          <w:color w:val="000000" w:themeColor="text1"/>
        </w:rPr>
      </w:pPr>
    </w:p>
    <w:p w:rsidR="00BF6DEA" w:rsidRPr="00B10CF5" w:rsidRDefault="00BF6DEA"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As for 24 billion MNT donations provided by companies, 77.5% was paid by 6 companies such as OT, </w:t>
      </w:r>
      <w:proofErr w:type="spellStart"/>
      <w:r w:rsidRPr="00B10CF5">
        <w:rPr>
          <w:rFonts w:cs="Arial"/>
          <w:color w:val="000000" w:themeColor="text1"/>
        </w:rPr>
        <w:t>Tsairt</w:t>
      </w:r>
      <w:proofErr w:type="spellEnd"/>
      <w:r w:rsidRPr="00B10CF5">
        <w:rPr>
          <w:rFonts w:cs="Arial"/>
          <w:color w:val="000000" w:themeColor="text1"/>
        </w:rPr>
        <w:t xml:space="preserve"> Mineral, </w:t>
      </w:r>
      <w:proofErr w:type="spellStart"/>
      <w:r w:rsidRPr="00B10CF5">
        <w:rPr>
          <w:rFonts w:cs="Arial"/>
          <w:color w:val="000000" w:themeColor="text1"/>
        </w:rPr>
        <w:t>MonEnCo</w:t>
      </w:r>
      <w:proofErr w:type="spellEnd"/>
      <w:r w:rsidRPr="00B10CF5">
        <w:rPr>
          <w:rFonts w:cs="Arial"/>
          <w:color w:val="000000" w:themeColor="text1"/>
        </w:rPr>
        <w:t>, Erdenet, Energy Resource, and Friendship Resource.</w:t>
      </w:r>
    </w:p>
    <w:p w:rsidR="006F5323" w:rsidRPr="00B10CF5" w:rsidRDefault="006F5323" w:rsidP="005D3930">
      <w:pPr>
        <w:tabs>
          <w:tab w:val="left" w:pos="2254"/>
        </w:tabs>
        <w:spacing w:after="0" w:line="240" w:lineRule="auto"/>
        <w:ind w:right="-629"/>
        <w:jc w:val="both"/>
        <w:rPr>
          <w:rFonts w:cs="Arial"/>
          <w:color w:val="000000" w:themeColor="text1"/>
        </w:rPr>
      </w:pPr>
    </w:p>
    <w:p w:rsidR="00CE1CE7" w:rsidRPr="00B10CF5" w:rsidRDefault="00CE1CE7" w:rsidP="00CE1CE7">
      <w:pPr>
        <w:tabs>
          <w:tab w:val="left" w:pos="2254"/>
        </w:tabs>
        <w:spacing w:after="0" w:line="240" w:lineRule="auto"/>
        <w:ind w:right="-629"/>
        <w:jc w:val="both"/>
        <w:rPr>
          <w:rFonts w:cs="Arial"/>
          <w:color w:val="000000" w:themeColor="text1"/>
          <w:lang w:val="mn-MN"/>
        </w:rPr>
      </w:pPr>
      <w:r w:rsidRPr="00B10CF5">
        <w:rPr>
          <w:rFonts w:cs="Arial"/>
          <w:color w:val="000000" w:themeColor="text1"/>
          <w:u w:val="single"/>
        </w:rPr>
        <w:t>Result of selection and contract conclusion</w:t>
      </w:r>
    </w:p>
    <w:p w:rsidR="008A5445" w:rsidRPr="00B10CF5" w:rsidRDefault="008A5445" w:rsidP="005D3930">
      <w:pPr>
        <w:tabs>
          <w:tab w:val="left" w:pos="2254"/>
        </w:tabs>
        <w:spacing w:after="0" w:line="240" w:lineRule="auto"/>
        <w:ind w:right="-629"/>
        <w:jc w:val="both"/>
        <w:rPr>
          <w:rFonts w:cs="Arial"/>
          <w:color w:val="000000" w:themeColor="text1"/>
          <w:lang w:val="mn-MN"/>
        </w:rPr>
      </w:pPr>
    </w:p>
    <w:p w:rsidR="00712DB6" w:rsidRPr="00B10CF5" w:rsidRDefault="0064367D" w:rsidP="005D3930">
      <w:pPr>
        <w:tabs>
          <w:tab w:val="left" w:pos="2254"/>
        </w:tabs>
        <w:spacing w:after="0" w:line="240" w:lineRule="auto"/>
        <w:ind w:right="-629"/>
        <w:jc w:val="both"/>
        <w:rPr>
          <w:rFonts w:cs="Arial"/>
          <w:color w:val="000000" w:themeColor="text1"/>
        </w:rPr>
      </w:pPr>
      <w:r w:rsidRPr="00B10CF5">
        <w:rPr>
          <w:rFonts w:cs="Arial"/>
          <w:color w:val="000000" w:themeColor="text1"/>
        </w:rPr>
        <w:t>At the beginning of 201</w:t>
      </w:r>
      <w:r w:rsidR="00CE1CE7" w:rsidRPr="00B10CF5">
        <w:rPr>
          <w:rFonts w:cs="Arial"/>
          <w:color w:val="000000" w:themeColor="text1"/>
        </w:rPr>
        <w:t>9</w:t>
      </w:r>
      <w:r w:rsidRPr="00B10CF5">
        <w:rPr>
          <w:rFonts w:cs="Arial"/>
          <w:color w:val="000000" w:themeColor="text1"/>
        </w:rPr>
        <w:t xml:space="preserve">, </w:t>
      </w:r>
      <w:r w:rsidR="004920AD" w:rsidRPr="00B10CF5">
        <w:rPr>
          <w:rFonts w:cs="Arial"/>
          <w:color w:val="000000" w:themeColor="text1"/>
        </w:rPr>
        <w:t xml:space="preserve">a </w:t>
      </w:r>
      <w:r w:rsidRPr="00B10CF5">
        <w:rPr>
          <w:rFonts w:cs="Arial"/>
          <w:color w:val="000000" w:themeColor="text1"/>
        </w:rPr>
        <w:t xml:space="preserve">draft selection and </w:t>
      </w:r>
      <w:r w:rsidR="00974E6F" w:rsidRPr="00B10CF5">
        <w:rPr>
          <w:rFonts w:cs="Arial"/>
          <w:color w:val="000000" w:themeColor="text1"/>
        </w:rPr>
        <w:t>t</w:t>
      </w:r>
      <w:r w:rsidRPr="00B10CF5">
        <w:rPr>
          <w:rFonts w:cs="Arial"/>
          <w:color w:val="000000" w:themeColor="text1"/>
        </w:rPr>
        <w:t xml:space="preserve">erms of </w:t>
      </w:r>
      <w:r w:rsidR="00974E6F" w:rsidRPr="00B10CF5">
        <w:rPr>
          <w:rFonts w:cs="Arial"/>
          <w:color w:val="000000" w:themeColor="text1"/>
        </w:rPr>
        <w:t>r</w:t>
      </w:r>
      <w:r w:rsidRPr="00B10CF5">
        <w:rPr>
          <w:rFonts w:cs="Arial"/>
          <w:color w:val="000000" w:themeColor="text1"/>
        </w:rPr>
        <w:t>eferences for Mongolia EITI 201</w:t>
      </w:r>
      <w:r w:rsidR="00CE1CE7" w:rsidRPr="00B10CF5">
        <w:rPr>
          <w:rFonts w:cs="Arial"/>
          <w:color w:val="000000" w:themeColor="text1"/>
        </w:rPr>
        <w:t>8</w:t>
      </w:r>
      <w:r w:rsidRPr="00B10CF5">
        <w:rPr>
          <w:rFonts w:cs="Arial"/>
          <w:color w:val="000000" w:themeColor="text1"/>
        </w:rPr>
        <w:t xml:space="preserve"> 1</w:t>
      </w:r>
      <w:r w:rsidR="00CE1CE7" w:rsidRPr="00B10CF5">
        <w:rPr>
          <w:rFonts w:cs="Arial"/>
          <w:color w:val="000000" w:themeColor="text1"/>
        </w:rPr>
        <w:t>3</w:t>
      </w:r>
      <w:r w:rsidRPr="00B10CF5">
        <w:rPr>
          <w:rFonts w:cs="Arial"/>
          <w:color w:val="000000" w:themeColor="text1"/>
          <w:vertAlign w:val="superscript"/>
        </w:rPr>
        <w:t>th</w:t>
      </w:r>
      <w:r w:rsidRPr="00B10CF5">
        <w:rPr>
          <w:rFonts w:cs="Arial"/>
          <w:color w:val="000000" w:themeColor="text1"/>
        </w:rPr>
        <w:t xml:space="preserve"> Report was delivered to Members of Working group electronically, collected </w:t>
      </w:r>
      <w:r w:rsidR="00974E6F" w:rsidRPr="00B10CF5">
        <w:rPr>
          <w:rFonts w:cs="Arial"/>
          <w:color w:val="000000" w:themeColor="text1"/>
        </w:rPr>
        <w:t xml:space="preserve">their </w:t>
      </w:r>
      <w:r w:rsidRPr="00B10CF5">
        <w:rPr>
          <w:rFonts w:cs="Arial"/>
          <w:color w:val="000000" w:themeColor="text1"/>
        </w:rPr>
        <w:t xml:space="preserve">comments and proposals, and then it was approved </w:t>
      </w:r>
      <w:r w:rsidR="00712DB6" w:rsidRPr="00B10CF5">
        <w:rPr>
          <w:rFonts w:cs="Arial"/>
          <w:color w:val="000000" w:themeColor="text1"/>
        </w:rPr>
        <w:t>and published in the newspaper.</w:t>
      </w:r>
    </w:p>
    <w:p w:rsidR="00C46515" w:rsidRPr="00B10CF5" w:rsidRDefault="00712DB6" w:rsidP="005D3930">
      <w:pPr>
        <w:tabs>
          <w:tab w:val="left" w:pos="2254"/>
        </w:tabs>
        <w:spacing w:after="0" w:line="240" w:lineRule="auto"/>
        <w:ind w:right="-629"/>
        <w:jc w:val="both"/>
        <w:rPr>
          <w:rFonts w:cs="Arial"/>
          <w:color w:val="000000" w:themeColor="text1"/>
          <w:lang w:val="mn-MN"/>
        </w:rPr>
      </w:pPr>
      <w:r w:rsidRPr="00B10CF5">
        <w:rPr>
          <w:rFonts w:cs="Arial"/>
          <w:color w:val="000000" w:themeColor="text1"/>
          <w:lang w:val="mn-MN"/>
        </w:rPr>
        <w:t xml:space="preserve"> </w:t>
      </w:r>
    </w:p>
    <w:p w:rsidR="00E640B7" w:rsidRPr="00B10CF5" w:rsidRDefault="005D3930"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The selection committee under a law on procurement of goods, service and consultancy by state and local budget funds was established at Secretariat, which was chaired by </w:t>
      </w:r>
      <w:r w:rsidR="00CE1CE7" w:rsidRPr="00B10CF5">
        <w:rPr>
          <w:rFonts w:cs="Arial"/>
          <w:color w:val="000000" w:themeColor="text1"/>
        </w:rPr>
        <w:t xml:space="preserve">chief of department of MMHI </w:t>
      </w:r>
      <w:proofErr w:type="spellStart"/>
      <w:r w:rsidRPr="00B10CF5">
        <w:rPr>
          <w:rFonts w:cs="Arial"/>
          <w:color w:val="000000" w:themeColor="text1"/>
        </w:rPr>
        <w:t>Mr.</w:t>
      </w:r>
      <w:r w:rsidR="00CE1CE7" w:rsidRPr="00B10CF5">
        <w:rPr>
          <w:rFonts w:cs="Arial"/>
          <w:color w:val="000000" w:themeColor="text1"/>
        </w:rPr>
        <w:t>N</w:t>
      </w:r>
      <w:r w:rsidRPr="00B10CF5">
        <w:rPr>
          <w:rFonts w:cs="Arial"/>
          <w:color w:val="000000" w:themeColor="text1"/>
        </w:rPr>
        <w:t>.</w:t>
      </w:r>
      <w:r w:rsidR="00CE1CE7" w:rsidRPr="00B10CF5">
        <w:rPr>
          <w:rFonts w:cs="Arial"/>
          <w:color w:val="000000" w:themeColor="text1"/>
        </w:rPr>
        <w:t>Enkhbayar</w:t>
      </w:r>
      <w:proofErr w:type="spellEnd"/>
      <w:r w:rsidRPr="00B10CF5">
        <w:rPr>
          <w:rFonts w:cs="Arial"/>
          <w:color w:val="000000" w:themeColor="text1"/>
        </w:rPr>
        <w:t xml:space="preserve">, composed of members: </w:t>
      </w:r>
      <w:proofErr w:type="spellStart"/>
      <w:r w:rsidR="00547C0C" w:rsidRPr="00B10CF5">
        <w:rPr>
          <w:rFonts w:cs="Arial"/>
          <w:color w:val="000000" w:themeColor="text1"/>
        </w:rPr>
        <w:t>M</w:t>
      </w:r>
      <w:r w:rsidRPr="00B10CF5">
        <w:rPr>
          <w:rFonts w:cs="Arial"/>
          <w:color w:val="000000" w:themeColor="text1"/>
        </w:rPr>
        <w:t>.</w:t>
      </w:r>
      <w:r w:rsidR="00547C0C" w:rsidRPr="00B10CF5">
        <w:rPr>
          <w:rFonts w:cs="Arial"/>
          <w:color w:val="000000" w:themeColor="text1"/>
        </w:rPr>
        <w:t>Tserenzhurmed</w:t>
      </w:r>
      <w:proofErr w:type="spellEnd"/>
      <w:r w:rsidRPr="00B10CF5">
        <w:rPr>
          <w:rFonts w:cs="Arial"/>
          <w:color w:val="000000" w:themeColor="text1"/>
        </w:rPr>
        <w:t xml:space="preserve">, officer of </w:t>
      </w:r>
      <w:r w:rsidR="00547C0C" w:rsidRPr="00B10CF5">
        <w:rPr>
          <w:rFonts w:cs="Arial"/>
          <w:color w:val="000000" w:themeColor="text1"/>
        </w:rPr>
        <w:t>Government Cabinet Secretariat</w:t>
      </w:r>
      <w:r w:rsidRPr="00B10CF5">
        <w:rPr>
          <w:rFonts w:cs="Arial"/>
          <w:color w:val="000000" w:themeColor="text1"/>
        </w:rPr>
        <w:t xml:space="preserve">, </w:t>
      </w:r>
      <w:proofErr w:type="spellStart"/>
      <w:r w:rsidRPr="00B10CF5">
        <w:rPr>
          <w:rFonts w:cs="Arial"/>
          <w:color w:val="000000" w:themeColor="text1"/>
        </w:rPr>
        <w:t>Mr.B.Batbold</w:t>
      </w:r>
      <w:proofErr w:type="spellEnd"/>
      <w:r w:rsidRPr="00B10CF5">
        <w:rPr>
          <w:rFonts w:cs="Arial"/>
          <w:color w:val="000000" w:themeColor="text1"/>
        </w:rPr>
        <w:t xml:space="preserve">, member of Governing body of Mongolian Natural Environment Civil council, and </w:t>
      </w:r>
      <w:proofErr w:type="spellStart"/>
      <w:r w:rsidRPr="00B10CF5">
        <w:rPr>
          <w:rFonts w:cs="Arial"/>
          <w:color w:val="000000" w:themeColor="text1"/>
        </w:rPr>
        <w:t>Mr</w:t>
      </w:r>
      <w:r w:rsidR="00547C0C" w:rsidRPr="00B10CF5">
        <w:rPr>
          <w:rFonts w:cs="Arial"/>
          <w:color w:val="000000" w:themeColor="text1"/>
        </w:rPr>
        <w:t>s</w:t>
      </w:r>
      <w:r w:rsidRPr="00B10CF5">
        <w:rPr>
          <w:rFonts w:cs="Arial"/>
          <w:color w:val="000000" w:themeColor="text1"/>
        </w:rPr>
        <w:t>.B.</w:t>
      </w:r>
      <w:r w:rsidR="00547C0C" w:rsidRPr="00B10CF5">
        <w:rPr>
          <w:rFonts w:cs="Arial"/>
          <w:color w:val="000000" w:themeColor="text1"/>
        </w:rPr>
        <w:t>Tserenpurev</w:t>
      </w:r>
      <w:proofErr w:type="spellEnd"/>
      <w:r w:rsidR="00547C0C" w:rsidRPr="00B10CF5">
        <w:rPr>
          <w:rFonts w:cs="Arial"/>
          <w:color w:val="000000" w:themeColor="text1"/>
        </w:rPr>
        <w:t xml:space="preserve">, </w:t>
      </w:r>
      <w:r w:rsidRPr="00B10CF5">
        <w:rPr>
          <w:rFonts w:cs="Arial"/>
          <w:color w:val="000000" w:themeColor="text1"/>
        </w:rPr>
        <w:t xml:space="preserve">officer of </w:t>
      </w:r>
      <w:r w:rsidR="00547C0C" w:rsidRPr="00B10CF5">
        <w:rPr>
          <w:rFonts w:cs="Arial"/>
          <w:color w:val="000000" w:themeColor="text1"/>
        </w:rPr>
        <w:t xml:space="preserve">NGO New Administrative Initiative, </w:t>
      </w:r>
      <w:proofErr w:type="spellStart"/>
      <w:r w:rsidRPr="00B10CF5">
        <w:rPr>
          <w:rFonts w:cs="Arial"/>
          <w:color w:val="000000" w:themeColor="text1"/>
        </w:rPr>
        <w:t>Mr.</w:t>
      </w:r>
      <w:r w:rsidR="00547C0C" w:rsidRPr="00B10CF5">
        <w:rPr>
          <w:rFonts w:cs="Arial"/>
          <w:color w:val="000000" w:themeColor="text1"/>
        </w:rPr>
        <w:t>G</w:t>
      </w:r>
      <w:r w:rsidRPr="00B10CF5">
        <w:rPr>
          <w:rFonts w:cs="Arial"/>
          <w:color w:val="000000" w:themeColor="text1"/>
        </w:rPr>
        <w:t>.</w:t>
      </w:r>
      <w:r w:rsidR="00547C0C" w:rsidRPr="00B10CF5">
        <w:rPr>
          <w:rFonts w:cs="Arial"/>
          <w:color w:val="000000" w:themeColor="text1"/>
        </w:rPr>
        <w:t>Ganbat</w:t>
      </w:r>
      <w:proofErr w:type="spellEnd"/>
      <w:r w:rsidRPr="00B10CF5">
        <w:rPr>
          <w:rFonts w:cs="Arial"/>
          <w:color w:val="000000" w:themeColor="text1"/>
        </w:rPr>
        <w:t xml:space="preserve">, </w:t>
      </w:r>
      <w:r w:rsidR="00547C0C" w:rsidRPr="00B10CF5">
        <w:rPr>
          <w:rFonts w:cs="Arial"/>
          <w:color w:val="000000" w:themeColor="text1"/>
        </w:rPr>
        <w:t xml:space="preserve">IT </w:t>
      </w:r>
      <w:r w:rsidR="00547C0C" w:rsidRPr="00B10CF5">
        <w:rPr>
          <w:rFonts w:cs="Arial"/>
          <w:color w:val="000000" w:themeColor="text1"/>
        </w:rPr>
        <w:lastRenderedPageBreak/>
        <w:t xml:space="preserve">consultant </w:t>
      </w:r>
      <w:r w:rsidRPr="00B10CF5">
        <w:rPr>
          <w:rFonts w:cs="Arial"/>
          <w:color w:val="000000" w:themeColor="text1"/>
        </w:rPr>
        <w:t xml:space="preserve">of Secretariat, as secretary of Selection committee, which was established by order of </w:t>
      </w:r>
      <w:r w:rsidR="00CE1CE7" w:rsidRPr="00B10CF5">
        <w:rPr>
          <w:rFonts w:cs="Arial"/>
          <w:color w:val="000000" w:themeColor="text1"/>
        </w:rPr>
        <w:t>State Secretary of Ministry of Mining and Heavy Industries</w:t>
      </w:r>
      <w:r w:rsidRPr="00B10CF5">
        <w:rPr>
          <w:rFonts w:cs="Arial"/>
          <w:color w:val="000000" w:themeColor="text1"/>
        </w:rPr>
        <w:t xml:space="preserve">. </w:t>
      </w:r>
    </w:p>
    <w:p w:rsidR="00E640B7" w:rsidRPr="00B10CF5" w:rsidRDefault="00E640B7" w:rsidP="005D3930">
      <w:pPr>
        <w:tabs>
          <w:tab w:val="left" w:pos="2254"/>
        </w:tabs>
        <w:spacing w:after="0" w:line="240" w:lineRule="auto"/>
        <w:ind w:right="-629"/>
        <w:jc w:val="both"/>
        <w:rPr>
          <w:rFonts w:cs="Arial"/>
          <w:color w:val="000000" w:themeColor="text1"/>
        </w:rPr>
      </w:pPr>
    </w:p>
    <w:p w:rsidR="00E640B7" w:rsidRPr="00B10CF5" w:rsidRDefault="00E640B7" w:rsidP="005D3930">
      <w:pPr>
        <w:tabs>
          <w:tab w:val="left" w:pos="2254"/>
        </w:tabs>
        <w:spacing w:after="0" w:line="240" w:lineRule="auto"/>
        <w:ind w:right="-629"/>
        <w:jc w:val="both"/>
        <w:rPr>
          <w:rFonts w:cs="Arial"/>
        </w:rPr>
      </w:pPr>
      <w:r w:rsidRPr="00B10CF5">
        <w:rPr>
          <w:rFonts w:cs="Arial"/>
        </w:rPr>
        <w:t>During the course of selection process, some bidders made mistakes, some bidders complained and the process was delayed, as result MOF has been forced to cancel the recommendations of first selection, and reissued second selection process. So in accordance with this decision, the new tender was announced, selection committee was newly established.</w:t>
      </w:r>
    </w:p>
    <w:p w:rsidR="00E640B7" w:rsidRPr="00B10CF5" w:rsidRDefault="00E640B7" w:rsidP="005D3930">
      <w:pPr>
        <w:tabs>
          <w:tab w:val="left" w:pos="2254"/>
        </w:tabs>
        <w:spacing w:after="0" w:line="240" w:lineRule="auto"/>
        <w:ind w:right="-629"/>
        <w:jc w:val="both"/>
        <w:rPr>
          <w:rFonts w:cs="Arial"/>
        </w:rPr>
      </w:pPr>
    </w:p>
    <w:p w:rsidR="00E640B7" w:rsidRPr="00B10CF5" w:rsidRDefault="00E640B7" w:rsidP="005D3930">
      <w:pPr>
        <w:tabs>
          <w:tab w:val="left" w:pos="2254"/>
        </w:tabs>
        <w:spacing w:after="0" w:line="240" w:lineRule="auto"/>
        <w:ind w:right="-629"/>
        <w:jc w:val="both"/>
        <w:rPr>
          <w:rFonts w:cs="Arial"/>
        </w:rPr>
      </w:pPr>
      <w:r w:rsidRPr="00B10CF5">
        <w:rPr>
          <w:rFonts w:cs="Arial"/>
          <w:color w:val="000000" w:themeColor="text1"/>
        </w:rPr>
        <w:t xml:space="preserve">The new Committee was chaired by chief of department of MMHI </w:t>
      </w:r>
      <w:proofErr w:type="spellStart"/>
      <w:r w:rsidRPr="00B10CF5">
        <w:rPr>
          <w:rFonts w:cs="Arial"/>
          <w:color w:val="000000" w:themeColor="text1"/>
        </w:rPr>
        <w:t>Mr.D.Damba</w:t>
      </w:r>
      <w:proofErr w:type="spellEnd"/>
      <w:r w:rsidRPr="00B10CF5">
        <w:rPr>
          <w:rFonts w:cs="Arial"/>
          <w:color w:val="000000" w:themeColor="text1"/>
        </w:rPr>
        <w:t xml:space="preserve">, and members were </w:t>
      </w:r>
      <w:proofErr w:type="spellStart"/>
      <w:r w:rsidRPr="00B10CF5">
        <w:rPr>
          <w:rFonts w:cs="Arial"/>
          <w:color w:val="000000" w:themeColor="text1"/>
        </w:rPr>
        <w:t>Mr.Ts.Tsegts</w:t>
      </w:r>
      <w:proofErr w:type="spellEnd"/>
      <w:r w:rsidRPr="00B10CF5">
        <w:rPr>
          <w:rFonts w:cs="Arial"/>
          <w:color w:val="000000" w:themeColor="text1"/>
        </w:rPr>
        <w:t xml:space="preserve">, senior specialist of Mineral and Petroleum Authorities, </w:t>
      </w:r>
      <w:proofErr w:type="spellStart"/>
      <w:r w:rsidRPr="00B10CF5">
        <w:rPr>
          <w:rFonts w:cs="Arial"/>
          <w:color w:val="000000" w:themeColor="text1"/>
        </w:rPr>
        <w:t>Mr.B.Batbold</w:t>
      </w:r>
      <w:proofErr w:type="spellEnd"/>
      <w:r w:rsidRPr="00B10CF5">
        <w:rPr>
          <w:rFonts w:cs="Arial"/>
          <w:color w:val="000000" w:themeColor="text1"/>
        </w:rPr>
        <w:t xml:space="preserve">, member of Governing body of Mongolian Natural Environment Civil council, and </w:t>
      </w:r>
      <w:proofErr w:type="spellStart"/>
      <w:r w:rsidRPr="00B10CF5">
        <w:rPr>
          <w:rFonts w:cs="Arial"/>
          <w:color w:val="000000" w:themeColor="text1"/>
        </w:rPr>
        <w:t>Mrs.B.Tserenpurev</w:t>
      </w:r>
      <w:proofErr w:type="spellEnd"/>
      <w:r w:rsidRPr="00B10CF5">
        <w:rPr>
          <w:rFonts w:cs="Arial"/>
          <w:color w:val="000000" w:themeColor="text1"/>
        </w:rPr>
        <w:t xml:space="preserve">, officer of NGO New Administrative Initiative, </w:t>
      </w:r>
      <w:proofErr w:type="spellStart"/>
      <w:r w:rsidRPr="00B10CF5">
        <w:rPr>
          <w:rFonts w:cs="Arial"/>
          <w:color w:val="000000" w:themeColor="text1"/>
        </w:rPr>
        <w:t>Mr.G.Ganbat</w:t>
      </w:r>
      <w:proofErr w:type="spellEnd"/>
      <w:r w:rsidRPr="00B10CF5">
        <w:rPr>
          <w:rFonts w:cs="Arial"/>
          <w:color w:val="000000" w:themeColor="text1"/>
        </w:rPr>
        <w:t>, IT consultant of Secretariat, as secretary of Selection committee.</w:t>
      </w:r>
    </w:p>
    <w:p w:rsidR="00E640B7" w:rsidRPr="00B10CF5" w:rsidRDefault="00E640B7" w:rsidP="005D3930">
      <w:pPr>
        <w:tabs>
          <w:tab w:val="left" w:pos="2254"/>
        </w:tabs>
        <w:spacing w:after="0" w:line="240" w:lineRule="auto"/>
        <w:ind w:right="-629"/>
        <w:jc w:val="both"/>
        <w:rPr>
          <w:rFonts w:cs="Arial"/>
        </w:rPr>
      </w:pPr>
    </w:p>
    <w:p w:rsidR="00EE5C1B" w:rsidRPr="00B10CF5" w:rsidRDefault="00E640B7" w:rsidP="005D3930">
      <w:pPr>
        <w:tabs>
          <w:tab w:val="left" w:pos="2254"/>
        </w:tabs>
        <w:spacing w:after="0" w:line="240" w:lineRule="auto"/>
        <w:ind w:right="-629"/>
        <w:jc w:val="both"/>
        <w:rPr>
          <w:rFonts w:cs="Arial"/>
        </w:rPr>
      </w:pPr>
      <w:r w:rsidRPr="00B10CF5">
        <w:rPr>
          <w:rFonts w:cs="Arial"/>
        </w:rPr>
        <w:t>For the initial selection</w:t>
      </w:r>
      <w:r w:rsidR="00EE5C1B" w:rsidRPr="00B10CF5">
        <w:rPr>
          <w:rFonts w:cs="Arial"/>
        </w:rPr>
        <w:t xml:space="preserve">, </w:t>
      </w:r>
      <w:r w:rsidR="005D4F86" w:rsidRPr="00B10CF5">
        <w:rPr>
          <w:rFonts w:cs="Arial"/>
        </w:rPr>
        <w:t>co</w:t>
      </w:r>
      <w:r w:rsidR="00EE5C1B" w:rsidRPr="00B10CF5">
        <w:rPr>
          <w:rFonts w:cs="Arial"/>
        </w:rPr>
        <w:t xml:space="preserve">mpanies such as Grant Thornton, KPMG audit and Confidence audit had expressed their interest. </w:t>
      </w:r>
    </w:p>
    <w:p w:rsidR="00EE5C1B" w:rsidRPr="00B10CF5" w:rsidRDefault="00EE5C1B" w:rsidP="005D3930">
      <w:pPr>
        <w:tabs>
          <w:tab w:val="left" w:pos="2254"/>
        </w:tabs>
        <w:spacing w:after="0" w:line="240" w:lineRule="auto"/>
        <w:ind w:right="-629"/>
        <w:jc w:val="both"/>
        <w:rPr>
          <w:rFonts w:cs="Arial"/>
        </w:rPr>
      </w:pPr>
    </w:p>
    <w:p w:rsidR="00EE5C1B" w:rsidRPr="00B10CF5" w:rsidRDefault="00EE5C1B" w:rsidP="005D3930">
      <w:pPr>
        <w:tabs>
          <w:tab w:val="left" w:pos="2254"/>
        </w:tabs>
        <w:spacing w:after="0" w:line="240" w:lineRule="auto"/>
        <w:ind w:right="-629"/>
        <w:jc w:val="both"/>
        <w:rPr>
          <w:rFonts w:cs="Arial"/>
        </w:rPr>
      </w:pPr>
      <w:r w:rsidRPr="00B10CF5">
        <w:rPr>
          <w:rFonts w:cs="Arial"/>
        </w:rPr>
        <w:t xml:space="preserve">But there was no satisfied selection of tender. There was complaint, MOF reviewed several times, and cancelled the initial </w:t>
      </w:r>
      <w:proofErr w:type="spellStart"/>
      <w:r w:rsidRPr="00B10CF5">
        <w:rPr>
          <w:rFonts w:cs="Arial"/>
        </w:rPr>
        <w:t>ine</w:t>
      </w:r>
      <w:proofErr w:type="spellEnd"/>
      <w:r w:rsidRPr="00B10CF5">
        <w:rPr>
          <w:rFonts w:cs="Arial"/>
        </w:rPr>
        <w:t>, reissued the second one.</w:t>
      </w:r>
    </w:p>
    <w:p w:rsidR="00EE5C1B" w:rsidRPr="00B10CF5" w:rsidRDefault="00EE5C1B" w:rsidP="005D3930">
      <w:pPr>
        <w:tabs>
          <w:tab w:val="left" w:pos="2254"/>
        </w:tabs>
        <w:spacing w:after="0" w:line="240" w:lineRule="auto"/>
        <w:ind w:right="-629"/>
        <w:jc w:val="both"/>
        <w:rPr>
          <w:rFonts w:cs="Arial"/>
        </w:rPr>
      </w:pPr>
    </w:p>
    <w:p w:rsidR="00EE5C1B" w:rsidRPr="00B10CF5" w:rsidRDefault="00EE5C1B" w:rsidP="005D3930">
      <w:pPr>
        <w:tabs>
          <w:tab w:val="left" w:pos="2254"/>
        </w:tabs>
        <w:spacing w:after="0" w:line="240" w:lineRule="auto"/>
        <w:ind w:right="-629"/>
        <w:jc w:val="both"/>
        <w:rPr>
          <w:rFonts w:cs="Arial"/>
        </w:rPr>
      </w:pPr>
      <w:r w:rsidRPr="00B10CF5">
        <w:rPr>
          <w:rFonts w:cs="Arial"/>
        </w:rPr>
        <w:t>A new selection was announced in July, there were Grant Thornton, KPMG, Confidence audit and BDO audit companies. The selection was conducted successfully and BDO was selected as independent administrator, and the Contract was signed on August 30</w:t>
      </w:r>
      <w:proofErr w:type="gramStart"/>
      <w:r w:rsidRPr="00B10CF5">
        <w:rPr>
          <w:rFonts w:cs="Arial"/>
          <w:vertAlign w:val="superscript"/>
        </w:rPr>
        <w:t>th</w:t>
      </w:r>
      <w:r w:rsidR="00817F55" w:rsidRPr="00B10CF5">
        <w:rPr>
          <w:rFonts w:cs="Arial"/>
        </w:rPr>
        <w:t>,.</w:t>
      </w:r>
      <w:proofErr w:type="gramEnd"/>
    </w:p>
    <w:p w:rsidR="00EE5C1B" w:rsidRPr="00B10CF5" w:rsidRDefault="00EE5C1B" w:rsidP="005D3930">
      <w:pPr>
        <w:tabs>
          <w:tab w:val="left" w:pos="2254"/>
        </w:tabs>
        <w:spacing w:after="0" w:line="240" w:lineRule="auto"/>
        <w:ind w:right="-629"/>
        <w:jc w:val="both"/>
        <w:rPr>
          <w:rFonts w:cs="Arial"/>
        </w:rPr>
      </w:pPr>
    </w:p>
    <w:p w:rsidR="004628DF" w:rsidRPr="00B10CF5" w:rsidRDefault="00EE5C1B" w:rsidP="005D3930">
      <w:pPr>
        <w:tabs>
          <w:tab w:val="left" w:pos="2254"/>
        </w:tabs>
        <w:spacing w:after="0" w:line="240" w:lineRule="auto"/>
        <w:ind w:right="-629"/>
        <w:jc w:val="both"/>
        <w:rPr>
          <w:rFonts w:cs="Arial"/>
        </w:rPr>
      </w:pPr>
      <w:r w:rsidRPr="00B10CF5">
        <w:rPr>
          <w:rFonts w:cs="Arial"/>
        </w:rPr>
        <w:t xml:space="preserve">On October 3, an </w:t>
      </w:r>
      <w:r w:rsidR="00610DB8" w:rsidRPr="00B10CF5">
        <w:rPr>
          <w:rFonts w:cs="Arial"/>
        </w:rPr>
        <w:t xml:space="preserve">inception </w:t>
      </w:r>
      <w:r w:rsidRPr="00B10CF5">
        <w:rPr>
          <w:rFonts w:cs="Arial"/>
        </w:rPr>
        <w:t>workshop was organized with BDO audit company, and inception report was issued in October.  BDO company has submitted a draft report to MSG meeting in November 29</w:t>
      </w:r>
      <w:r w:rsidRPr="00B10CF5">
        <w:rPr>
          <w:rFonts w:cs="Arial"/>
          <w:vertAlign w:val="superscript"/>
        </w:rPr>
        <w:t>th</w:t>
      </w:r>
      <w:r w:rsidRPr="00B10CF5">
        <w:rPr>
          <w:rFonts w:cs="Arial"/>
        </w:rPr>
        <w:t xml:space="preserve">, and following relevant conclusions, </w:t>
      </w:r>
      <w:r w:rsidR="00610DB8" w:rsidRPr="00B10CF5">
        <w:rPr>
          <w:rFonts w:cs="Arial"/>
        </w:rPr>
        <w:t xml:space="preserve">and </w:t>
      </w:r>
      <w:r w:rsidRPr="00B10CF5">
        <w:rPr>
          <w:rFonts w:cs="Arial"/>
        </w:rPr>
        <w:t xml:space="preserve">presented </w:t>
      </w:r>
      <w:r w:rsidR="00610DB8" w:rsidRPr="00B10CF5">
        <w:rPr>
          <w:rFonts w:cs="Arial"/>
        </w:rPr>
        <w:t>final report to National Council</w:t>
      </w:r>
      <w:r w:rsidR="00D6783C" w:rsidRPr="00B10CF5">
        <w:rPr>
          <w:rFonts w:cs="Arial"/>
        </w:rPr>
        <w:t xml:space="preserve">, which </w:t>
      </w:r>
      <w:r w:rsidR="00610DB8" w:rsidRPr="00B10CF5">
        <w:rPr>
          <w:rFonts w:cs="Arial"/>
        </w:rPr>
        <w:t xml:space="preserve">endorsed </w:t>
      </w:r>
      <w:r w:rsidR="005D4F86" w:rsidRPr="00B10CF5">
        <w:rPr>
          <w:rFonts w:cs="Arial"/>
        </w:rPr>
        <w:t>this Report om December 19, 201</w:t>
      </w:r>
      <w:r w:rsidR="00D6783C" w:rsidRPr="00B10CF5">
        <w:rPr>
          <w:rFonts w:cs="Arial"/>
        </w:rPr>
        <w:t>9</w:t>
      </w:r>
      <w:r w:rsidR="005D4F86" w:rsidRPr="00B10CF5">
        <w:rPr>
          <w:rFonts w:cs="Arial"/>
        </w:rPr>
        <w:t>.</w:t>
      </w:r>
    </w:p>
    <w:p w:rsidR="00D6783C" w:rsidRPr="00B10CF5" w:rsidRDefault="00D6783C" w:rsidP="005D3930">
      <w:pPr>
        <w:tabs>
          <w:tab w:val="left" w:pos="2254"/>
        </w:tabs>
        <w:spacing w:after="0" w:line="240" w:lineRule="auto"/>
        <w:ind w:right="-629"/>
        <w:jc w:val="both"/>
        <w:rPr>
          <w:rFonts w:cs="Arial"/>
          <w:color w:val="000000" w:themeColor="text1"/>
          <w:lang w:val="mn-MN"/>
        </w:rPr>
      </w:pPr>
    </w:p>
    <w:p w:rsidR="004628DF" w:rsidRPr="00B10CF5" w:rsidRDefault="00D6783C" w:rsidP="005D3930">
      <w:pPr>
        <w:tabs>
          <w:tab w:val="left" w:pos="2254"/>
        </w:tabs>
        <w:spacing w:after="0" w:line="240" w:lineRule="auto"/>
        <w:ind w:right="-629"/>
        <w:jc w:val="both"/>
        <w:rPr>
          <w:rFonts w:cs="Arial"/>
          <w:color w:val="000000" w:themeColor="text1"/>
          <w:lang w:val="mn-MN"/>
        </w:rPr>
      </w:pPr>
      <w:r w:rsidRPr="00B10CF5">
        <w:rPr>
          <w:rFonts w:cs="Arial"/>
          <w:color w:val="000000" w:themeColor="text1"/>
          <w:u w:val="single"/>
        </w:rPr>
        <w:t>Reconciliation process</w:t>
      </w:r>
      <w:r w:rsidR="00A817A1" w:rsidRPr="00B10CF5">
        <w:rPr>
          <w:rFonts w:cs="Arial"/>
          <w:color w:val="000000" w:themeColor="text1"/>
          <w:u w:val="single"/>
        </w:rPr>
        <w:t xml:space="preserve"> </w:t>
      </w:r>
    </w:p>
    <w:p w:rsidR="004628DF" w:rsidRPr="00B10CF5" w:rsidRDefault="004628DF" w:rsidP="005D3930">
      <w:pPr>
        <w:tabs>
          <w:tab w:val="left" w:pos="2254"/>
        </w:tabs>
        <w:spacing w:after="0" w:line="240" w:lineRule="auto"/>
        <w:ind w:right="-629"/>
        <w:jc w:val="both"/>
        <w:rPr>
          <w:rFonts w:cs="Arial"/>
          <w:color w:val="000000" w:themeColor="text1"/>
          <w:lang w:val="mn-MN"/>
        </w:rPr>
      </w:pPr>
    </w:p>
    <w:p w:rsidR="00D6783C" w:rsidRPr="00B10CF5" w:rsidRDefault="005D4F86" w:rsidP="005D3930">
      <w:pPr>
        <w:tabs>
          <w:tab w:val="left" w:pos="2254"/>
        </w:tabs>
        <w:spacing w:after="0" w:line="240" w:lineRule="auto"/>
        <w:ind w:right="-629"/>
        <w:jc w:val="both"/>
        <w:rPr>
          <w:rFonts w:cs="Arial"/>
        </w:rPr>
      </w:pPr>
      <w:r w:rsidRPr="00B10CF5">
        <w:rPr>
          <w:rFonts w:cs="Arial"/>
        </w:rPr>
        <w:t xml:space="preserve">Consortium of </w:t>
      </w:r>
      <w:r w:rsidR="00D6783C" w:rsidRPr="00B10CF5">
        <w:rPr>
          <w:rFonts w:cs="Arial"/>
        </w:rPr>
        <w:t>Mongolian BDO</w:t>
      </w:r>
      <w:r w:rsidRPr="00B10CF5">
        <w:rPr>
          <w:rFonts w:cs="Arial"/>
        </w:rPr>
        <w:t xml:space="preserve"> audit </w:t>
      </w:r>
      <w:r w:rsidR="00D6783C" w:rsidRPr="00B10CF5">
        <w:rPr>
          <w:rFonts w:cs="Arial"/>
        </w:rPr>
        <w:t>company a</w:t>
      </w:r>
      <w:r w:rsidRPr="00B10CF5">
        <w:rPr>
          <w:rFonts w:cs="Arial"/>
        </w:rPr>
        <w:t xml:space="preserve">nd </w:t>
      </w:r>
      <w:r w:rsidR="00D6783C" w:rsidRPr="00B10CF5">
        <w:rPr>
          <w:rFonts w:cs="Arial"/>
        </w:rPr>
        <w:t>Tunisian BDO audit firm</w:t>
      </w:r>
      <w:r w:rsidRPr="00B10CF5">
        <w:rPr>
          <w:rFonts w:cs="Arial"/>
        </w:rPr>
        <w:t xml:space="preserve"> </w:t>
      </w:r>
      <w:r w:rsidR="00947856" w:rsidRPr="00B10CF5">
        <w:rPr>
          <w:rFonts w:cs="Arial"/>
        </w:rPr>
        <w:t>has produced 201</w:t>
      </w:r>
      <w:r w:rsidR="00D6783C" w:rsidRPr="00B10CF5">
        <w:rPr>
          <w:rFonts w:cs="Arial"/>
        </w:rPr>
        <w:t xml:space="preserve">8 Mongolia </w:t>
      </w:r>
      <w:r w:rsidR="00947856" w:rsidRPr="00B10CF5">
        <w:rPr>
          <w:rFonts w:cs="Arial"/>
        </w:rPr>
        <w:t>EITI Report in compliance with EITI Standard, reconciled reports of 2</w:t>
      </w:r>
      <w:r w:rsidR="00D6783C" w:rsidRPr="00B10CF5">
        <w:rPr>
          <w:rFonts w:cs="Arial"/>
        </w:rPr>
        <w:t>02</w:t>
      </w:r>
      <w:r w:rsidR="00947856" w:rsidRPr="00B10CF5">
        <w:rPr>
          <w:rFonts w:cs="Arial"/>
        </w:rPr>
        <w:t xml:space="preserve"> leading Mongolian companies with Government Reports, made relevant conclusions and recommendations. </w:t>
      </w:r>
    </w:p>
    <w:p w:rsidR="00D6783C" w:rsidRPr="00B10CF5" w:rsidRDefault="00D6783C" w:rsidP="005D3930">
      <w:pPr>
        <w:tabs>
          <w:tab w:val="left" w:pos="2254"/>
        </w:tabs>
        <w:spacing w:after="0" w:line="240" w:lineRule="auto"/>
        <w:ind w:right="-629"/>
        <w:jc w:val="both"/>
        <w:rPr>
          <w:rFonts w:cs="Arial"/>
        </w:rPr>
      </w:pPr>
    </w:p>
    <w:p w:rsidR="008A5445" w:rsidRPr="00B10CF5" w:rsidRDefault="00947856" w:rsidP="005D3930">
      <w:pPr>
        <w:tabs>
          <w:tab w:val="left" w:pos="2254"/>
        </w:tabs>
        <w:spacing w:after="0" w:line="240" w:lineRule="auto"/>
        <w:ind w:right="-629"/>
        <w:jc w:val="both"/>
        <w:rPr>
          <w:rFonts w:cs="Arial"/>
        </w:rPr>
      </w:pPr>
      <w:r w:rsidRPr="00B10CF5">
        <w:rPr>
          <w:rFonts w:cs="Arial"/>
        </w:rPr>
        <w:t xml:space="preserve">The reconciliation launched in </w:t>
      </w:r>
      <w:r w:rsidR="00D6783C" w:rsidRPr="00B10CF5">
        <w:rPr>
          <w:rFonts w:cs="Arial"/>
        </w:rPr>
        <w:t xml:space="preserve">September </w:t>
      </w:r>
      <w:r w:rsidRPr="00B10CF5">
        <w:rPr>
          <w:rFonts w:cs="Arial"/>
        </w:rPr>
        <w:t xml:space="preserve">continued till </w:t>
      </w:r>
      <w:r w:rsidR="00D6783C" w:rsidRPr="00B10CF5">
        <w:rPr>
          <w:rFonts w:cs="Arial"/>
        </w:rPr>
        <w:t xml:space="preserve">December. </w:t>
      </w:r>
    </w:p>
    <w:p w:rsidR="00D6783C" w:rsidRPr="00B10CF5" w:rsidRDefault="00D6783C" w:rsidP="005D3930">
      <w:pPr>
        <w:tabs>
          <w:tab w:val="left" w:pos="2254"/>
        </w:tabs>
        <w:spacing w:after="0" w:line="240" w:lineRule="auto"/>
        <w:ind w:right="-629"/>
        <w:jc w:val="both"/>
        <w:rPr>
          <w:rFonts w:cs="Arial"/>
          <w:color w:val="000000" w:themeColor="text1"/>
          <w:lang w:val="mn-MN"/>
        </w:rPr>
      </w:pPr>
    </w:p>
    <w:p w:rsidR="00CF387F" w:rsidRPr="00B10CF5" w:rsidRDefault="00947856" w:rsidP="005D3930">
      <w:pPr>
        <w:tabs>
          <w:tab w:val="left" w:pos="2254"/>
        </w:tabs>
        <w:spacing w:after="0" w:line="240" w:lineRule="auto"/>
        <w:ind w:right="-629"/>
        <w:jc w:val="both"/>
        <w:rPr>
          <w:rFonts w:cs="Arial"/>
          <w:color w:val="000000" w:themeColor="text1"/>
          <w:u w:val="single"/>
          <w:lang w:val="mn-MN"/>
        </w:rPr>
      </w:pPr>
      <w:r w:rsidRPr="00B10CF5">
        <w:rPr>
          <w:rFonts w:cs="Arial"/>
          <w:color w:val="000000" w:themeColor="text1"/>
          <w:u w:val="single"/>
        </w:rPr>
        <w:t>Discussions of the 201</w:t>
      </w:r>
      <w:r w:rsidR="00D6783C" w:rsidRPr="00B10CF5">
        <w:rPr>
          <w:rFonts w:cs="Arial"/>
          <w:color w:val="000000" w:themeColor="text1"/>
          <w:u w:val="single"/>
        </w:rPr>
        <w:t>8</w:t>
      </w:r>
      <w:r w:rsidRPr="00B10CF5">
        <w:rPr>
          <w:rFonts w:cs="Arial"/>
          <w:color w:val="000000" w:themeColor="text1"/>
          <w:u w:val="single"/>
        </w:rPr>
        <w:t xml:space="preserve"> EITI Report</w:t>
      </w:r>
    </w:p>
    <w:p w:rsidR="00CF387F" w:rsidRPr="00B10CF5" w:rsidRDefault="00CF387F" w:rsidP="005D3930">
      <w:pPr>
        <w:tabs>
          <w:tab w:val="left" w:pos="2254"/>
        </w:tabs>
        <w:spacing w:after="0" w:line="240" w:lineRule="auto"/>
        <w:ind w:right="-629"/>
        <w:jc w:val="both"/>
        <w:rPr>
          <w:rFonts w:cs="Arial"/>
          <w:color w:val="000000" w:themeColor="text1"/>
          <w:u w:val="single"/>
          <w:lang w:val="mn-MN"/>
        </w:rPr>
      </w:pPr>
    </w:p>
    <w:p w:rsidR="00EA4370" w:rsidRPr="00B10CF5" w:rsidRDefault="005D4F86" w:rsidP="005D3930">
      <w:pPr>
        <w:tabs>
          <w:tab w:val="left" w:pos="2254"/>
        </w:tabs>
        <w:spacing w:after="0" w:line="240" w:lineRule="auto"/>
        <w:ind w:right="-629"/>
        <w:jc w:val="both"/>
        <w:rPr>
          <w:rFonts w:cs="Arial"/>
        </w:rPr>
      </w:pPr>
      <w:r w:rsidRPr="00B10CF5">
        <w:rPr>
          <w:rFonts w:cs="Arial"/>
        </w:rPr>
        <w:t xml:space="preserve">Consortium of </w:t>
      </w:r>
      <w:r w:rsidR="00D6783C" w:rsidRPr="00B10CF5">
        <w:rPr>
          <w:rFonts w:cs="Arial"/>
        </w:rPr>
        <w:t xml:space="preserve">Mongolian BDO audit company and Tunisian BDO audit firm </w:t>
      </w:r>
      <w:r w:rsidR="00947856" w:rsidRPr="00B10CF5">
        <w:rPr>
          <w:rFonts w:cs="Arial"/>
        </w:rPr>
        <w:t xml:space="preserve">submitted a draft report to Working </w:t>
      </w:r>
      <w:r w:rsidR="005D3930" w:rsidRPr="00B10CF5">
        <w:rPr>
          <w:rFonts w:cs="Arial"/>
        </w:rPr>
        <w:t>Group</w:t>
      </w:r>
      <w:r w:rsidR="00947856" w:rsidRPr="00B10CF5">
        <w:rPr>
          <w:rFonts w:cs="Arial"/>
        </w:rPr>
        <w:t xml:space="preserve"> in November, there was </w:t>
      </w:r>
      <w:r w:rsidR="00817F55" w:rsidRPr="00B10CF5">
        <w:rPr>
          <w:rFonts w:cs="Arial"/>
        </w:rPr>
        <w:t>a relevant discussion</w:t>
      </w:r>
      <w:r w:rsidR="00947856" w:rsidRPr="00B10CF5">
        <w:rPr>
          <w:rFonts w:cs="Arial"/>
        </w:rPr>
        <w:t xml:space="preserve">, </w:t>
      </w:r>
      <w:r w:rsidR="00EA4370" w:rsidRPr="00B10CF5">
        <w:rPr>
          <w:rFonts w:cs="Arial"/>
        </w:rPr>
        <w:t xml:space="preserve">gave feedback and </w:t>
      </w:r>
      <w:r w:rsidR="00947856" w:rsidRPr="00B10CF5">
        <w:rPr>
          <w:rFonts w:cs="Arial"/>
        </w:rPr>
        <w:t>in the principle the Working Group agreed to the draft report</w:t>
      </w:r>
      <w:r w:rsidR="006608F0" w:rsidRPr="00B10CF5">
        <w:rPr>
          <w:rFonts w:cs="Arial"/>
        </w:rPr>
        <w:t xml:space="preserve"> and to submit to National Council.</w:t>
      </w:r>
      <w:r w:rsidR="00947856" w:rsidRPr="00B10CF5">
        <w:rPr>
          <w:rFonts w:cs="Arial"/>
        </w:rPr>
        <w:t xml:space="preserve"> </w:t>
      </w:r>
      <w:r w:rsidR="00EA4370" w:rsidRPr="00B10CF5">
        <w:rPr>
          <w:rFonts w:cs="Arial"/>
        </w:rPr>
        <w:t>T</w:t>
      </w:r>
      <w:r w:rsidR="006608F0" w:rsidRPr="00B10CF5">
        <w:rPr>
          <w:rFonts w:cs="Arial"/>
        </w:rPr>
        <w:t>he</w:t>
      </w:r>
      <w:r w:rsidR="00EA4370" w:rsidRPr="00B10CF5">
        <w:rPr>
          <w:rFonts w:cs="Arial"/>
        </w:rPr>
        <w:t xml:space="preserve"> Consortium of </w:t>
      </w:r>
      <w:r w:rsidR="00D6783C" w:rsidRPr="00B10CF5">
        <w:rPr>
          <w:rFonts w:cs="Arial"/>
        </w:rPr>
        <w:t xml:space="preserve">Mongolian BDO audit company and Tunisian BDO audit firm </w:t>
      </w:r>
      <w:r w:rsidR="00EA4370" w:rsidRPr="00B10CF5">
        <w:rPr>
          <w:rFonts w:cs="Arial"/>
        </w:rPr>
        <w:t xml:space="preserve">has updated the Report and afterward, it was submitted to the </w:t>
      </w:r>
      <w:r w:rsidR="006608F0" w:rsidRPr="00B10CF5">
        <w:rPr>
          <w:rFonts w:cs="Arial"/>
        </w:rPr>
        <w:t>National Council</w:t>
      </w:r>
      <w:r w:rsidR="00EA4370" w:rsidRPr="00B10CF5">
        <w:rPr>
          <w:rFonts w:cs="Arial"/>
        </w:rPr>
        <w:t xml:space="preserve">, which </w:t>
      </w:r>
      <w:proofErr w:type="spellStart"/>
      <w:r w:rsidR="00EA4370" w:rsidRPr="00B10CF5">
        <w:rPr>
          <w:rFonts w:cs="Arial"/>
        </w:rPr>
        <w:t>discussied</w:t>
      </w:r>
      <w:proofErr w:type="spellEnd"/>
      <w:r w:rsidR="00EA4370" w:rsidRPr="00B10CF5">
        <w:rPr>
          <w:rFonts w:cs="Arial"/>
        </w:rPr>
        <w:t xml:space="preserve"> it and at the end</w:t>
      </w:r>
      <w:r w:rsidR="006608F0" w:rsidRPr="00B10CF5">
        <w:rPr>
          <w:rFonts w:cs="Arial"/>
        </w:rPr>
        <w:t xml:space="preserve"> endorsed</w:t>
      </w:r>
      <w:r w:rsidR="00EA4370" w:rsidRPr="00B10CF5">
        <w:rPr>
          <w:rFonts w:cs="Arial"/>
        </w:rPr>
        <w:t>.</w:t>
      </w:r>
    </w:p>
    <w:p w:rsidR="00CF387F" w:rsidRPr="00B10CF5" w:rsidRDefault="00EA4370" w:rsidP="005D3930">
      <w:pPr>
        <w:tabs>
          <w:tab w:val="left" w:pos="2254"/>
        </w:tabs>
        <w:spacing w:after="0" w:line="240" w:lineRule="auto"/>
        <w:ind w:right="-629"/>
        <w:jc w:val="both"/>
        <w:rPr>
          <w:rFonts w:cs="Arial"/>
          <w:color w:val="000000" w:themeColor="text1"/>
          <w:lang w:val="mn-MN"/>
        </w:rPr>
      </w:pPr>
      <w:r w:rsidRPr="00B10CF5">
        <w:rPr>
          <w:rFonts w:cs="Arial"/>
          <w:color w:val="000000" w:themeColor="text1"/>
          <w:lang w:val="mn-MN"/>
        </w:rPr>
        <w:t xml:space="preserve"> </w:t>
      </w:r>
    </w:p>
    <w:p w:rsidR="00D56B54" w:rsidRPr="00B10CF5" w:rsidRDefault="009503E3" w:rsidP="005D3930">
      <w:pPr>
        <w:tabs>
          <w:tab w:val="left" w:pos="2254"/>
        </w:tabs>
        <w:spacing w:after="0" w:line="240" w:lineRule="auto"/>
        <w:ind w:right="-629"/>
        <w:jc w:val="both"/>
        <w:rPr>
          <w:rFonts w:cs="Arial"/>
          <w:color w:val="000000" w:themeColor="text1"/>
          <w:u w:val="single"/>
          <w:lang w:val="mn-MN"/>
        </w:rPr>
      </w:pPr>
      <w:r w:rsidRPr="00B10CF5">
        <w:rPr>
          <w:rFonts w:cs="Arial"/>
          <w:color w:val="000000" w:themeColor="text1"/>
          <w:u w:val="single"/>
        </w:rPr>
        <w:t xml:space="preserve">Disclosure </w:t>
      </w:r>
      <w:r w:rsidR="006608F0" w:rsidRPr="00B10CF5">
        <w:rPr>
          <w:rFonts w:cs="Arial"/>
          <w:color w:val="000000" w:themeColor="text1"/>
          <w:u w:val="single"/>
        </w:rPr>
        <w:t>of Beneficial ownership</w:t>
      </w:r>
    </w:p>
    <w:p w:rsidR="00313B9A" w:rsidRPr="00B10CF5" w:rsidRDefault="00313B9A" w:rsidP="005D3930">
      <w:pPr>
        <w:tabs>
          <w:tab w:val="left" w:pos="2254"/>
        </w:tabs>
        <w:spacing w:after="0" w:line="240" w:lineRule="auto"/>
        <w:ind w:right="-629"/>
        <w:jc w:val="both"/>
        <w:rPr>
          <w:rFonts w:cs="Arial"/>
          <w:color w:val="000000" w:themeColor="text1"/>
          <w:lang w:val="mn-MN"/>
        </w:rPr>
      </w:pPr>
    </w:p>
    <w:p w:rsidR="005D7041" w:rsidRPr="00B10CF5" w:rsidRDefault="00C91314"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In accordance with “Mongolia EITI Beneficial ownership Road 2020” </w:t>
      </w:r>
      <w:r w:rsidR="009503E3" w:rsidRPr="00B10CF5">
        <w:rPr>
          <w:rFonts w:cs="Arial"/>
          <w:color w:val="000000" w:themeColor="text1"/>
        </w:rPr>
        <w:t xml:space="preserve">Mongolia EITI jointly </w:t>
      </w:r>
      <w:r w:rsidR="005D7041" w:rsidRPr="00B10CF5">
        <w:rPr>
          <w:rFonts w:cs="Arial"/>
          <w:color w:val="000000" w:themeColor="text1"/>
        </w:rPr>
        <w:t xml:space="preserve">with </w:t>
      </w:r>
      <w:r w:rsidR="009503E3" w:rsidRPr="00B10CF5">
        <w:rPr>
          <w:rFonts w:cs="Arial"/>
          <w:color w:val="000000" w:themeColor="text1"/>
        </w:rPr>
        <w:t>EITI Inte</w:t>
      </w:r>
      <w:r w:rsidR="005D7041" w:rsidRPr="00B10CF5">
        <w:rPr>
          <w:rFonts w:cs="Arial"/>
          <w:color w:val="000000" w:themeColor="text1"/>
        </w:rPr>
        <w:t>r</w:t>
      </w:r>
      <w:r w:rsidR="009503E3" w:rsidRPr="00B10CF5">
        <w:rPr>
          <w:rFonts w:cs="Arial"/>
          <w:color w:val="000000" w:themeColor="text1"/>
        </w:rPr>
        <w:t>national Secretariat a</w:t>
      </w:r>
      <w:r w:rsidR="005D7041" w:rsidRPr="00B10CF5">
        <w:rPr>
          <w:rFonts w:cs="Arial"/>
          <w:color w:val="000000" w:themeColor="text1"/>
        </w:rPr>
        <w:t xml:space="preserve">nother </w:t>
      </w:r>
      <w:r w:rsidR="009503E3" w:rsidRPr="00B10CF5">
        <w:rPr>
          <w:rFonts w:cs="Arial"/>
          <w:color w:val="000000" w:themeColor="text1"/>
        </w:rPr>
        <w:t xml:space="preserve">round table of Government officials in </w:t>
      </w:r>
      <w:r w:rsidR="005D7041" w:rsidRPr="00B10CF5">
        <w:rPr>
          <w:rFonts w:cs="Arial"/>
          <w:color w:val="000000" w:themeColor="text1"/>
        </w:rPr>
        <w:t>May, all stakeholders participated.</w:t>
      </w:r>
    </w:p>
    <w:p w:rsidR="009503E3" w:rsidRPr="00B10CF5" w:rsidRDefault="009503E3" w:rsidP="005D3930">
      <w:pPr>
        <w:tabs>
          <w:tab w:val="left" w:pos="2254"/>
        </w:tabs>
        <w:spacing w:after="0" w:line="240" w:lineRule="auto"/>
        <w:ind w:right="-629"/>
        <w:jc w:val="both"/>
        <w:rPr>
          <w:rFonts w:cs="Arial"/>
          <w:color w:val="000000" w:themeColor="text1"/>
        </w:rPr>
      </w:pPr>
    </w:p>
    <w:p w:rsidR="005D7041" w:rsidRPr="00B10CF5" w:rsidRDefault="005D7041"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Within scope of action plan of Anticorruption national program, in order to consolidate understanding, tackle complicated situation the </w:t>
      </w:r>
      <w:proofErr w:type="spellStart"/>
      <w:r w:rsidRPr="00B10CF5">
        <w:rPr>
          <w:rFonts w:cs="Arial"/>
          <w:color w:val="000000" w:themeColor="text1"/>
        </w:rPr>
        <w:t>AntiCorruption</w:t>
      </w:r>
      <w:proofErr w:type="spellEnd"/>
      <w:r w:rsidRPr="00B10CF5">
        <w:rPr>
          <w:rFonts w:cs="Arial"/>
          <w:color w:val="000000" w:themeColor="text1"/>
        </w:rPr>
        <w:t xml:space="preserve"> Committee organized a consultation on </w:t>
      </w:r>
      <w:proofErr w:type="spellStart"/>
      <w:r w:rsidRPr="00B10CF5">
        <w:rPr>
          <w:rFonts w:cs="Arial"/>
          <w:color w:val="000000" w:themeColor="text1"/>
        </w:rPr>
        <w:t>Cpntract</w:t>
      </w:r>
      <w:proofErr w:type="spellEnd"/>
      <w:r w:rsidRPr="00B10CF5">
        <w:rPr>
          <w:rFonts w:cs="Arial"/>
          <w:color w:val="000000" w:themeColor="text1"/>
        </w:rPr>
        <w:t xml:space="preserve"> transparency, legislation and Beneficial ownership.</w:t>
      </w:r>
    </w:p>
    <w:p w:rsidR="009503E3" w:rsidRPr="00B10CF5" w:rsidRDefault="009503E3" w:rsidP="005D3930">
      <w:pPr>
        <w:tabs>
          <w:tab w:val="left" w:pos="2254"/>
        </w:tabs>
        <w:spacing w:after="0" w:line="240" w:lineRule="auto"/>
        <w:ind w:right="-629"/>
        <w:jc w:val="both"/>
        <w:rPr>
          <w:rFonts w:cs="Arial"/>
          <w:color w:val="000000" w:themeColor="text1"/>
        </w:rPr>
      </w:pPr>
    </w:p>
    <w:p w:rsidR="005D7041" w:rsidRPr="00B10CF5" w:rsidRDefault="005D7041" w:rsidP="005D3930">
      <w:pPr>
        <w:tabs>
          <w:tab w:val="left" w:pos="2254"/>
        </w:tabs>
        <w:spacing w:after="0" w:line="240" w:lineRule="auto"/>
        <w:ind w:right="-629"/>
        <w:jc w:val="both"/>
        <w:rPr>
          <w:rFonts w:cs="Arial"/>
          <w:color w:val="000000" w:themeColor="text1"/>
        </w:rPr>
      </w:pPr>
      <w:r w:rsidRPr="00B10CF5">
        <w:rPr>
          <w:rFonts w:cs="Arial"/>
          <w:color w:val="000000" w:themeColor="text1"/>
        </w:rPr>
        <w:lastRenderedPageBreak/>
        <w:t xml:space="preserve">60 companies out 202, which participated in </w:t>
      </w:r>
      <w:r w:rsidR="009503E3" w:rsidRPr="00B10CF5">
        <w:rPr>
          <w:rFonts w:cs="Arial"/>
          <w:color w:val="000000" w:themeColor="text1"/>
        </w:rPr>
        <w:t xml:space="preserve">Mongolia EITI </w:t>
      </w:r>
      <w:r w:rsidRPr="00B10CF5">
        <w:rPr>
          <w:rFonts w:cs="Arial"/>
          <w:color w:val="000000" w:themeColor="text1"/>
        </w:rPr>
        <w:t>2018 report have voluntarily cooperated and disclosed data of own beneficial ownerships.</w:t>
      </w:r>
    </w:p>
    <w:p w:rsidR="00D56B54" w:rsidRPr="00B10CF5" w:rsidRDefault="00D56B54" w:rsidP="005D3930">
      <w:pPr>
        <w:tabs>
          <w:tab w:val="left" w:pos="2254"/>
        </w:tabs>
        <w:spacing w:after="0" w:line="240" w:lineRule="auto"/>
        <w:ind w:right="-629"/>
        <w:jc w:val="both"/>
        <w:rPr>
          <w:rFonts w:cs="Arial"/>
          <w:color w:val="000000" w:themeColor="text1"/>
          <w:lang w:val="mn-MN"/>
        </w:rPr>
      </w:pPr>
    </w:p>
    <w:p w:rsidR="00DB2841" w:rsidRPr="00B10CF5" w:rsidRDefault="00C91314" w:rsidP="005D3930">
      <w:pPr>
        <w:tabs>
          <w:tab w:val="left" w:pos="2254"/>
        </w:tabs>
        <w:spacing w:after="0" w:line="240" w:lineRule="auto"/>
        <w:ind w:right="-629"/>
        <w:jc w:val="both"/>
        <w:rPr>
          <w:rFonts w:cs="Arial"/>
          <w:color w:val="000000" w:themeColor="text1"/>
          <w:u w:val="single"/>
        </w:rPr>
      </w:pPr>
      <w:r w:rsidRPr="00B10CF5">
        <w:rPr>
          <w:rFonts w:cs="Arial"/>
          <w:color w:val="000000" w:themeColor="text1"/>
          <w:u w:val="single"/>
        </w:rPr>
        <w:t>Trainings</w:t>
      </w:r>
      <w:r w:rsidR="00DB2841" w:rsidRPr="00B10CF5">
        <w:rPr>
          <w:rFonts w:cs="Arial"/>
          <w:color w:val="000000" w:themeColor="text1"/>
          <w:u w:val="single"/>
          <w:lang w:val="mn-MN"/>
        </w:rPr>
        <w:t xml:space="preserve"> </w:t>
      </w:r>
    </w:p>
    <w:p w:rsidR="004718D8" w:rsidRPr="00B10CF5" w:rsidRDefault="004718D8" w:rsidP="005D3930">
      <w:pPr>
        <w:tabs>
          <w:tab w:val="left" w:pos="2254"/>
        </w:tabs>
        <w:spacing w:after="0" w:line="240" w:lineRule="auto"/>
        <w:ind w:right="-629"/>
        <w:jc w:val="both"/>
        <w:rPr>
          <w:rFonts w:cs="Arial"/>
          <w:color w:val="000000" w:themeColor="text1"/>
          <w:u w:val="single"/>
        </w:rPr>
      </w:pPr>
    </w:p>
    <w:p w:rsidR="00C91314" w:rsidRPr="00B10CF5" w:rsidRDefault="008238C9" w:rsidP="005D3930">
      <w:pPr>
        <w:tabs>
          <w:tab w:val="left" w:pos="2254"/>
        </w:tabs>
        <w:spacing w:after="0" w:line="240" w:lineRule="auto"/>
        <w:ind w:right="-629"/>
        <w:jc w:val="both"/>
        <w:rPr>
          <w:rFonts w:cs="Arial"/>
          <w:color w:val="000000" w:themeColor="text1"/>
          <w:u w:val="single"/>
        </w:rPr>
      </w:pPr>
      <w:r w:rsidRPr="00B10CF5">
        <w:rPr>
          <w:rFonts w:cs="Arial"/>
          <w:color w:val="000000" w:themeColor="text1"/>
          <w:u w:val="single"/>
        </w:rPr>
        <w:t xml:space="preserve">Training </w:t>
      </w:r>
      <w:r w:rsidR="004718D8" w:rsidRPr="00B10CF5">
        <w:rPr>
          <w:rFonts w:cs="Arial"/>
          <w:color w:val="000000" w:themeColor="text1"/>
          <w:u w:val="single"/>
        </w:rPr>
        <w:t>activities a</w:t>
      </w:r>
      <w:r w:rsidRPr="00B10CF5">
        <w:rPr>
          <w:rFonts w:cs="Arial"/>
          <w:color w:val="000000" w:themeColor="text1"/>
          <w:u w:val="single"/>
        </w:rPr>
        <w:t xml:space="preserve">t international level </w:t>
      </w:r>
    </w:p>
    <w:p w:rsidR="008238C9" w:rsidRPr="00B10CF5" w:rsidRDefault="008238C9" w:rsidP="005D3930">
      <w:pPr>
        <w:tabs>
          <w:tab w:val="left" w:pos="2254"/>
        </w:tabs>
        <w:spacing w:after="0" w:line="240" w:lineRule="auto"/>
        <w:ind w:right="-629"/>
        <w:jc w:val="both"/>
        <w:rPr>
          <w:rFonts w:cs="Arial"/>
          <w:color w:val="000000" w:themeColor="text1"/>
          <w:lang w:val="mn-MN"/>
        </w:rPr>
      </w:pPr>
    </w:p>
    <w:p w:rsidR="004718D8" w:rsidRPr="00B10CF5" w:rsidRDefault="004718D8" w:rsidP="005D3930">
      <w:pPr>
        <w:tabs>
          <w:tab w:val="left" w:pos="2254"/>
        </w:tabs>
        <w:spacing w:after="0" w:line="240" w:lineRule="auto"/>
        <w:ind w:right="-629"/>
        <w:jc w:val="both"/>
        <w:rPr>
          <w:rFonts w:cs="Arial"/>
          <w:color w:val="000000" w:themeColor="text1"/>
        </w:rPr>
      </w:pPr>
      <w:proofErr w:type="spellStart"/>
      <w:r w:rsidRPr="00B10CF5">
        <w:rPr>
          <w:rFonts w:cs="Arial"/>
          <w:color w:val="000000" w:themeColor="text1"/>
        </w:rPr>
        <w:t>Mr.</w:t>
      </w:r>
      <w:proofErr w:type="gramStart"/>
      <w:r w:rsidR="00817C20" w:rsidRPr="00B10CF5">
        <w:rPr>
          <w:rFonts w:cs="Arial"/>
          <w:color w:val="000000" w:themeColor="text1"/>
        </w:rPr>
        <w:t>G</w:t>
      </w:r>
      <w:r w:rsidRPr="00B10CF5">
        <w:rPr>
          <w:rFonts w:cs="Arial"/>
          <w:color w:val="000000" w:themeColor="text1"/>
        </w:rPr>
        <w:t>.</w:t>
      </w:r>
      <w:r w:rsidR="00817C20" w:rsidRPr="00B10CF5">
        <w:rPr>
          <w:rFonts w:cs="Arial"/>
          <w:color w:val="000000" w:themeColor="text1"/>
        </w:rPr>
        <w:t>Ganbat</w:t>
      </w:r>
      <w:proofErr w:type="spellEnd"/>
      <w:proofErr w:type="gramEnd"/>
      <w:r w:rsidRPr="00B10CF5">
        <w:rPr>
          <w:rFonts w:cs="Arial"/>
          <w:color w:val="000000" w:themeColor="text1"/>
        </w:rPr>
        <w:t xml:space="preserve"> </w:t>
      </w:r>
      <w:r w:rsidR="008238C9" w:rsidRPr="00B10CF5">
        <w:rPr>
          <w:rFonts w:cs="Arial"/>
          <w:color w:val="000000" w:themeColor="text1"/>
        </w:rPr>
        <w:t xml:space="preserve">attended the </w:t>
      </w:r>
      <w:proofErr w:type="spellStart"/>
      <w:r w:rsidR="00817C20" w:rsidRPr="00B10CF5">
        <w:rPr>
          <w:rFonts w:cs="Arial"/>
          <w:color w:val="000000" w:themeColor="text1"/>
        </w:rPr>
        <w:t>seriea</w:t>
      </w:r>
      <w:proofErr w:type="spellEnd"/>
      <w:r w:rsidR="00817C20" w:rsidRPr="00B10CF5">
        <w:rPr>
          <w:rFonts w:cs="Arial"/>
          <w:color w:val="000000" w:themeColor="text1"/>
        </w:rPr>
        <w:t xml:space="preserve"> of </w:t>
      </w:r>
      <w:r w:rsidRPr="00B10CF5">
        <w:rPr>
          <w:rFonts w:cs="Arial"/>
          <w:color w:val="000000" w:themeColor="text1"/>
        </w:rPr>
        <w:t>training “</w:t>
      </w:r>
      <w:proofErr w:type="spellStart"/>
      <w:r w:rsidR="00817C20" w:rsidRPr="00B10CF5">
        <w:rPr>
          <w:rFonts w:cs="Arial"/>
          <w:color w:val="000000" w:themeColor="text1"/>
        </w:rPr>
        <w:t>Opne</w:t>
      </w:r>
      <w:proofErr w:type="spellEnd"/>
      <w:r w:rsidR="00817C20" w:rsidRPr="00B10CF5">
        <w:rPr>
          <w:rFonts w:cs="Arial"/>
          <w:color w:val="000000" w:themeColor="text1"/>
        </w:rPr>
        <w:t xml:space="preserve"> </w:t>
      </w:r>
      <w:r w:rsidRPr="00B10CF5">
        <w:rPr>
          <w:rFonts w:cs="Arial"/>
          <w:color w:val="000000" w:themeColor="text1"/>
        </w:rPr>
        <w:t>Data</w:t>
      </w:r>
      <w:r w:rsidR="008238C9" w:rsidRPr="00B10CF5">
        <w:rPr>
          <w:rFonts w:cs="Arial"/>
          <w:color w:val="000000" w:themeColor="text1"/>
        </w:rPr>
        <w:t>”, which was organized in Ukraine, February 201</w:t>
      </w:r>
      <w:r w:rsidR="00817C20" w:rsidRPr="00B10CF5">
        <w:rPr>
          <w:rFonts w:cs="Arial"/>
          <w:color w:val="000000" w:themeColor="text1"/>
        </w:rPr>
        <w:t>9</w:t>
      </w:r>
      <w:r w:rsidR="008238C9" w:rsidRPr="00B10CF5">
        <w:rPr>
          <w:rFonts w:cs="Arial"/>
          <w:color w:val="000000" w:themeColor="text1"/>
        </w:rPr>
        <w:t xml:space="preserve">, </w:t>
      </w:r>
      <w:r w:rsidR="00817C20" w:rsidRPr="00B10CF5">
        <w:rPr>
          <w:rFonts w:cs="Arial"/>
          <w:color w:val="000000" w:themeColor="text1"/>
        </w:rPr>
        <w:t>in combination to EITI Board Meeting.</w:t>
      </w:r>
    </w:p>
    <w:p w:rsidR="008238C9" w:rsidRPr="00B10CF5" w:rsidRDefault="008238C9" w:rsidP="005D3930">
      <w:pPr>
        <w:tabs>
          <w:tab w:val="left" w:pos="2254"/>
        </w:tabs>
        <w:spacing w:after="0" w:line="240" w:lineRule="auto"/>
        <w:ind w:right="-629"/>
        <w:jc w:val="both"/>
        <w:rPr>
          <w:rFonts w:cs="Arial"/>
          <w:color w:val="000000" w:themeColor="text1"/>
        </w:rPr>
      </w:pPr>
    </w:p>
    <w:p w:rsidR="00817C20" w:rsidRPr="00B10CF5" w:rsidRDefault="00817C20" w:rsidP="005D3930">
      <w:pPr>
        <w:tabs>
          <w:tab w:val="left" w:pos="2254"/>
        </w:tabs>
        <w:spacing w:after="0" w:line="240" w:lineRule="auto"/>
        <w:ind w:right="-629"/>
        <w:jc w:val="both"/>
        <w:rPr>
          <w:rFonts w:cs="Arial"/>
          <w:color w:val="000000" w:themeColor="text1"/>
        </w:rPr>
      </w:pPr>
      <w:r w:rsidRPr="00B10CF5">
        <w:rPr>
          <w:rFonts w:cs="Arial"/>
          <w:color w:val="000000" w:themeColor="text1"/>
        </w:rPr>
        <w:t xml:space="preserve">In March a regional conference on BO disclosure was organized by ADB and EITI International Secretariat, in which senior officer of Cabinet Secretariat </w:t>
      </w:r>
      <w:proofErr w:type="spellStart"/>
      <w:proofErr w:type="gramStart"/>
      <w:r w:rsidRPr="00B10CF5">
        <w:rPr>
          <w:rFonts w:cs="Arial"/>
          <w:color w:val="000000" w:themeColor="text1"/>
        </w:rPr>
        <w:t>Mr.Bold</w:t>
      </w:r>
      <w:proofErr w:type="spellEnd"/>
      <w:proofErr w:type="gramEnd"/>
      <w:r w:rsidRPr="00B10CF5">
        <w:rPr>
          <w:rFonts w:cs="Arial"/>
          <w:color w:val="000000" w:themeColor="text1"/>
        </w:rPr>
        <w:t xml:space="preserve">, chiefs of departments of MMHI </w:t>
      </w:r>
      <w:proofErr w:type="spellStart"/>
      <w:r w:rsidRPr="00B10CF5">
        <w:rPr>
          <w:rFonts w:cs="Arial"/>
          <w:color w:val="000000" w:themeColor="text1"/>
        </w:rPr>
        <w:t>Ms.Ayasgalan</w:t>
      </w:r>
      <w:proofErr w:type="spellEnd"/>
      <w:r w:rsidRPr="00B10CF5">
        <w:rPr>
          <w:rFonts w:cs="Arial"/>
          <w:color w:val="000000" w:themeColor="text1"/>
        </w:rPr>
        <w:t xml:space="preserve"> and </w:t>
      </w:r>
      <w:proofErr w:type="spellStart"/>
      <w:r w:rsidRPr="00B10CF5">
        <w:rPr>
          <w:rFonts w:cs="Arial"/>
          <w:color w:val="000000" w:themeColor="text1"/>
        </w:rPr>
        <w:t>Mr.Enkhbayar</w:t>
      </w:r>
      <w:proofErr w:type="spellEnd"/>
      <w:r w:rsidRPr="00B10CF5">
        <w:rPr>
          <w:rFonts w:cs="Arial"/>
          <w:color w:val="000000" w:themeColor="text1"/>
        </w:rPr>
        <w:t xml:space="preserve"> participated and learned from experience from other countries.</w:t>
      </w:r>
    </w:p>
    <w:p w:rsidR="008238C9" w:rsidRPr="00B10CF5" w:rsidRDefault="008238C9" w:rsidP="005D3930">
      <w:pPr>
        <w:tabs>
          <w:tab w:val="left" w:pos="2254"/>
        </w:tabs>
        <w:spacing w:after="0" w:line="240" w:lineRule="auto"/>
        <w:ind w:right="-629"/>
        <w:jc w:val="both"/>
        <w:rPr>
          <w:rFonts w:cs="Arial"/>
          <w:color w:val="000000" w:themeColor="text1"/>
        </w:rPr>
      </w:pPr>
    </w:p>
    <w:p w:rsidR="00817C20" w:rsidRPr="00B10CF5" w:rsidRDefault="00817C20" w:rsidP="005D3930">
      <w:pPr>
        <w:tabs>
          <w:tab w:val="left" w:pos="2254"/>
        </w:tabs>
        <w:spacing w:after="0" w:line="240" w:lineRule="auto"/>
        <w:ind w:right="-629"/>
        <w:jc w:val="both"/>
        <w:rPr>
          <w:rFonts w:cs="Arial"/>
          <w:color w:val="000000" w:themeColor="text1"/>
        </w:rPr>
      </w:pPr>
      <w:r w:rsidRPr="00B10CF5">
        <w:rPr>
          <w:rFonts w:cs="Arial"/>
          <w:color w:val="000000" w:themeColor="text1"/>
        </w:rPr>
        <w:t>In June, a Mongolian delegation had successfully participated in EITI 8</w:t>
      </w:r>
      <w:r w:rsidRPr="00B10CF5">
        <w:rPr>
          <w:rFonts w:cs="Arial"/>
          <w:color w:val="000000" w:themeColor="text1"/>
          <w:vertAlign w:val="superscript"/>
        </w:rPr>
        <w:t>th</w:t>
      </w:r>
      <w:r w:rsidRPr="00B10CF5">
        <w:rPr>
          <w:rFonts w:cs="Arial"/>
          <w:color w:val="000000" w:themeColor="text1"/>
        </w:rPr>
        <w:t xml:space="preserve"> Global conference in Paris, France. The delegation was headed by </w:t>
      </w:r>
      <w:proofErr w:type="spellStart"/>
      <w:r w:rsidRPr="00B10CF5">
        <w:rPr>
          <w:rFonts w:cs="Arial"/>
          <w:color w:val="000000" w:themeColor="text1"/>
        </w:rPr>
        <w:t>Mr.</w:t>
      </w:r>
      <w:proofErr w:type="gramStart"/>
      <w:r w:rsidRPr="00B10CF5">
        <w:rPr>
          <w:rFonts w:cs="Arial"/>
          <w:color w:val="000000" w:themeColor="text1"/>
        </w:rPr>
        <w:t>G.Nandinjargal</w:t>
      </w:r>
      <w:proofErr w:type="spellEnd"/>
      <w:proofErr w:type="gramEnd"/>
      <w:r w:rsidRPr="00B10CF5">
        <w:rPr>
          <w:rFonts w:cs="Arial"/>
          <w:color w:val="000000" w:themeColor="text1"/>
        </w:rPr>
        <w:t xml:space="preserve">, state secretary of MMHI, secretary of Mongolia EITI National Council, and chief of MSG, and members were senior manager of OT LLC </w:t>
      </w:r>
      <w:proofErr w:type="spellStart"/>
      <w:r w:rsidRPr="00B10CF5">
        <w:rPr>
          <w:rFonts w:cs="Arial"/>
          <w:color w:val="000000" w:themeColor="text1"/>
        </w:rPr>
        <w:t>Mr.T.Munkhbat</w:t>
      </w:r>
      <w:proofErr w:type="spellEnd"/>
      <w:r w:rsidRPr="00B10CF5">
        <w:rPr>
          <w:rFonts w:cs="Arial"/>
          <w:color w:val="000000" w:themeColor="text1"/>
        </w:rPr>
        <w:t xml:space="preserve">, coordinator of PWYP Mongolia </w:t>
      </w:r>
      <w:proofErr w:type="spellStart"/>
      <w:r w:rsidRPr="00B10CF5">
        <w:rPr>
          <w:rFonts w:cs="Arial"/>
          <w:color w:val="000000" w:themeColor="text1"/>
        </w:rPr>
        <w:t>Ms.B.Bayarmaa</w:t>
      </w:r>
      <w:proofErr w:type="spellEnd"/>
      <w:r w:rsidRPr="00B10CF5">
        <w:rPr>
          <w:rFonts w:cs="Arial"/>
          <w:color w:val="000000" w:themeColor="text1"/>
        </w:rPr>
        <w:t>, IT consultant of Mongolia</w:t>
      </w:r>
      <w:r w:rsidR="002958DF" w:rsidRPr="00B10CF5">
        <w:rPr>
          <w:rFonts w:cs="Arial"/>
          <w:color w:val="000000" w:themeColor="text1"/>
        </w:rPr>
        <w:t xml:space="preserve"> EITI Secretariat Mr. </w:t>
      </w:r>
      <w:proofErr w:type="spellStart"/>
      <w:r w:rsidR="002958DF" w:rsidRPr="00B10CF5">
        <w:rPr>
          <w:rFonts w:cs="Arial"/>
          <w:color w:val="000000" w:themeColor="text1"/>
        </w:rPr>
        <w:t>G.Ganbat</w:t>
      </w:r>
      <w:proofErr w:type="spellEnd"/>
      <w:r w:rsidR="002958DF" w:rsidRPr="00B10CF5">
        <w:rPr>
          <w:rFonts w:cs="Arial"/>
          <w:color w:val="000000" w:themeColor="text1"/>
        </w:rPr>
        <w:t xml:space="preserve"> at cost of EITI International Secretariat. Also </w:t>
      </w:r>
      <w:proofErr w:type="spellStart"/>
      <w:proofErr w:type="gramStart"/>
      <w:r w:rsidR="002958DF" w:rsidRPr="00B10CF5">
        <w:rPr>
          <w:rFonts w:cs="Arial"/>
          <w:color w:val="000000" w:themeColor="text1"/>
        </w:rPr>
        <w:t>Ms.Delgermaa</w:t>
      </w:r>
      <w:proofErr w:type="spellEnd"/>
      <w:proofErr w:type="gramEnd"/>
      <w:r w:rsidR="002958DF" w:rsidRPr="00B10CF5">
        <w:rPr>
          <w:rFonts w:cs="Arial"/>
          <w:color w:val="000000" w:themeColor="text1"/>
        </w:rPr>
        <w:t xml:space="preserve">, communication specialist of Mongolia EITI secretariat at cost of IFC, </w:t>
      </w:r>
      <w:proofErr w:type="spellStart"/>
      <w:r w:rsidR="002958DF" w:rsidRPr="00B10CF5">
        <w:rPr>
          <w:rFonts w:cs="Arial"/>
          <w:color w:val="000000" w:themeColor="text1"/>
        </w:rPr>
        <w:t>Ms.Sugarmaa</w:t>
      </w:r>
      <w:proofErr w:type="spellEnd"/>
      <w:r w:rsidR="002958DF" w:rsidRPr="00B10CF5">
        <w:rPr>
          <w:rFonts w:cs="Arial"/>
          <w:color w:val="000000" w:themeColor="text1"/>
        </w:rPr>
        <w:t>, director of Energy resources LLC at own company’s cost participated in this Conference.</w:t>
      </w:r>
      <w:r w:rsidRPr="00B10CF5">
        <w:rPr>
          <w:rFonts w:cs="Arial"/>
          <w:color w:val="000000" w:themeColor="text1"/>
        </w:rPr>
        <w:t xml:space="preserve"> </w:t>
      </w:r>
      <w:proofErr w:type="spellStart"/>
      <w:r w:rsidR="002958DF" w:rsidRPr="00B10CF5">
        <w:rPr>
          <w:rFonts w:cs="Arial"/>
          <w:color w:val="000000" w:themeColor="text1"/>
        </w:rPr>
        <w:t>Mr.</w:t>
      </w:r>
      <w:proofErr w:type="gramStart"/>
      <w:r w:rsidR="002958DF" w:rsidRPr="00B10CF5">
        <w:rPr>
          <w:rFonts w:cs="Arial"/>
          <w:color w:val="000000" w:themeColor="text1"/>
        </w:rPr>
        <w:t>L.Tur</w:t>
      </w:r>
      <w:proofErr w:type="spellEnd"/>
      <w:proofErr w:type="gramEnd"/>
      <w:r w:rsidR="002958DF" w:rsidRPr="00B10CF5">
        <w:rPr>
          <w:rFonts w:cs="Arial"/>
          <w:color w:val="000000" w:themeColor="text1"/>
        </w:rPr>
        <w:t>-Od, Mongolia coordinator of Transparency International at cost of EITI International Secretariat participated in the Conference. The delegates made presentations at relevant sessions and country exhibition at EXPO at Conference.</w:t>
      </w:r>
    </w:p>
    <w:p w:rsidR="008238C9" w:rsidRPr="00B10CF5" w:rsidRDefault="008238C9" w:rsidP="005D3930">
      <w:pPr>
        <w:tabs>
          <w:tab w:val="left" w:pos="2254"/>
        </w:tabs>
        <w:spacing w:after="0" w:line="240" w:lineRule="auto"/>
        <w:ind w:right="-629"/>
        <w:jc w:val="both"/>
        <w:rPr>
          <w:rFonts w:cs="Arial"/>
          <w:color w:val="000000" w:themeColor="text1"/>
        </w:rPr>
      </w:pPr>
    </w:p>
    <w:p w:rsidR="004718D8" w:rsidRPr="00B10CF5" w:rsidRDefault="008238C9" w:rsidP="005D3930">
      <w:pPr>
        <w:tabs>
          <w:tab w:val="left" w:pos="2254"/>
        </w:tabs>
        <w:spacing w:after="0" w:line="240" w:lineRule="auto"/>
        <w:ind w:right="-629"/>
        <w:jc w:val="both"/>
        <w:rPr>
          <w:rFonts w:cs="Arial"/>
          <w:color w:val="000000" w:themeColor="text1"/>
          <w:u w:val="single"/>
        </w:rPr>
      </w:pPr>
      <w:r w:rsidRPr="00B10CF5">
        <w:rPr>
          <w:rFonts w:cs="Arial"/>
          <w:color w:val="000000" w:themeColor="text1"/>
          <w:u w:val="single"/>
        </w:rPr>
        <w:t>Training activities at national level</w:t>
      </w:r>
    </w:p>
    <w:p w:rsidR="008238C9" w:rsidRPr="00B10CF5" w:rsidRDefault="008238C9" w:rsidP="005D3930">
      <w:pPr>
        <w:tabs>
          <w:tab w:val="left" w:pos="2254"/>
        </w:tabs>
        <w:spacing w:after="0" w:line="240" w:lineRule="auto"/>
        <w:ind w:right="-629"/>
        <w:jc w:val="both"/>
        <w:rPr>
          <w:rFonts w:cs="Arial"/>
          <w:color w:val="000000" w:themeColor="text1"/>
        </w:rPr>
      </w:pPr>
    </w:p>
    <w:p w:rsidR="00A4327F" w:rsidRPr="00B10CF5" w:rsidRDefault="00A4327F" w:rsidP="008238C9">
      <w:pPr>
        <w:spacing w:after="0" w:line="240" w:lineRule="auto"/>
        <w:ind w:right="-629"/>
        <w:jc w:val="both"/>
        <w:rPr>
          <w:rFonts w:cs="Arial"/>
          <w:color w:val="000000" w:themeColor="text1"/>
        </w:rPr>
      </w:pPr>
      <w:r w:rsidRPr="00B10CF5">
        <w:rPr>
          <w:rFonts w:cs="Arial"/>
          <w:color w:val="000000" w:themeColor="text1"/>
        </w:rPr>
        <w:t xml:space="preserve">The training </w:t>
      </w:r>
      <w:r w:rsidR="008C4079" w:rsidRPr="00B10CF5">
        <w:rPr>
          <w:rFonts w:cs="Arial"/>
          <w:color w:val="000000" w:themeColor="text1"/>
        </w:rPr>
        <w:t xml:space="preserve">and consultation on </w:t>
      </w:r>
      <w:r w:rsidR="008C1E94" w:rsidRPr="00B10CF5">
        <w:rPr>
          <w:rFonts w:cs="Arial"/>
          <w:color w:val="000000" w:themeColor="text1"/>
        </w:rPr>
        <w:t>“</w:t>
      </w:r>
      <w:r w:rsidR="008C4079" w:rsidRPr="00B10CF5">
        <w:rPr>
          <w:rFonts w:cs="Arial"/>
          <w:color w:val="000000" w:themeColor="text1"/>
        </w:rPr>
        <w:t>Beneficial ownership disclosure</w:t>
      </w:r>
      <w:r w:rsidR="008C1E94" w:rsidRPr="00B10CF5">
        <w:rPr>
          <w:rFonts w:cs="Arial"/>
          <w:color w:val="000000" w:themeColor="text1"/>
        </w:rPr>
        <w:t>”</w:t>
      </w:r>
      <w:r w:rsidRPr="00B10CF5">
        <w:rPr>
          <w:rFonts w:cs="Arial"/>
          <w:color w:val="000000" w:themeColor="text1"/>
        </w:rPr>
        <w:t xml:space="preserve"> was organized in </w:t>
      </w:r>
      <w:r w:rsidR="008C4079" w:rsidRPr="00B10CF5">
        <w:rPr>
          <w:rFonts w:cs="Arial"/>
          <w:color w:val="000000" w:themeColor="text1"/>
        </w:rPr>
        <w:t>February</w:t>
      </w:r>
      <w:r w:rsidRPr="00B10CF5">
        <w:rPr>
          <w:rFonts w:cs="Arial"/>
          <w:color w:val="000000" w:themeColor="text1"/>
        </w:rPr>
        <w:t xml:space="preserve">, </w:t>
      </w:r>
      <w:r w:rsidR="008C4079" w:rsidRPr="00B10CF5">
        <w:rPr>
          <w:rFonts w:cs="Arial"/>
          <w:color w:val="000000" w:themeColor="text1"/>
        </w:rPr>
        <w:t xml:space="preserve">with Transparency International, and all </w:t>
      </w:r>
      <w:r w:rsidRPr="00B10CF5">
        <w:rPr>
          <w:rFonts w:cs="Arial"/>
          <w:color w:val="000000" w:themeColor="text1"/>
        </w:rPr>
        <w:t xml:space="preserve">representatives of </w:t>
      </w:r>
      <w:r w:rsidR="008C4079" w:rsidRPr="00B10CF5">
        <w:rPr>
          <w:rFonts w:cs="Arial"/>
          <w:color w:val="000000" w:themeColor="text1"/>
        </w:rPr>
        <w:t xml:space="preserve">stakeholders </w:t>
      </w:r>
      <w:r w:rsidRPr="00B10CF5">
        <w:rPr>
          <w:rFonts w:cs="Arial"/>
          <w:color w:val="000000" w:themeColor="text1"/>
        </w:rPr>
        <w:t>participated.</w:t>
      </w:r>
    </w:p>
    <w:p w:rsidR="008C4079" w:rsidRPr="00B10CF5" w:rsidRDefault="008C4079" w:rsidP="008238C9">
      <w:pPr>
        <w:spacing w:after="0" w:line="240" w:lineRule="auto"/>
        <w:ind w:right="-629"/>
        <w:jc w:val="both"/>
        <w:rPr>
          <w:rFonts w:cs="Arial"/>
          <w:color w:val="000000" w:themeColor="text1"/>
        </w:rPr>
      </w:pPr>
    </w:p>
    <w:p w:rsidR="008238C9" w:rsidRPr="00B10CF5" w:rsidRDefault="008C4079" w:rsidP="008238C9">
      <w:pPr>
        <w:spacing w:after="0" w:line="240" w:lineRule="auto"/>
        <w:ind w:right="-629"/>
        <w:jc w:val="both"/>
        <w:rPr>
          <w:rFonts w:cs="Arial"/>
          <w:color w:val="000000" w:themeColor="text1"/>
        </w:rPr>
      </w:pPr>
      <w:r w:rsidRPr="00B10CF5">
        <w:rPr>
          <w:rFonts w:cs="Arial"/>
          <w:color w:val="000000" w:themeColor="text1"/>
        </w:rPr>
        <w:t xml:space="preserve">In April, jointly with MMHI, Open society forum during official launch of portal Open Contract consultation of Stakeholders local contracts, training of local authorities to uploading signed contracts to portal. </w:t>
      </w:r>
      <w:r w:rsidR="00A4327F" w:rsidRPr="00B10CF5">
        <w:rPr>
          <w:rFonts w:cs="Arial"/>
          <w:color w:val="000000" w:themeColor="text1"/>
        </w:rPr>
        <w:t xml:space="preserve">Also, </w:t>
      </w:r>
      <w:r w:rsidRPr="00B10CF5">
        <w:rPr>
          <w:rFonts w:cs="Arial"/>
          <w:color w:val="000000" w:themeColor="text1"/>
        </w:rPr>
        <w:t xml:space="preserve">meeting of National Council and MSG on Contract and project level reporting. </w:t>
      </w:r>
    </w:p>
    <w:p w:rsidR="008C4079" w:rsidRPr="00B10CF5" w:rsidRDefault="008C4079" w:rsidP="008238C9">
      <w:pPr>
        <w:spacing w:after="0" w:line="240" w:lineRule="auto"/>
        <w:ind w:right="-629"/>
        <w:jc w:val="both"/>
        <w:rPr>
          <w:rFonts w:cs="Arial"/>
          <w:color w:val="000000" w:themeColor="text1"/>
        </w:rPr>
      </w:pPr>
    </w:p>
    <w:p w:rsidR="008C4079" w:rsidRPr="00B10CF5" w:rsidRDefault="008C4079" w:rsidP="008238C9">
      <w:pPr>
        <w:spacing w:after="0" w:line="240" w:lineRule="auto"/>
        <w:ind w:right="-629"/>
        <w:jc w:val="both"/>
        <w:rPr>
          <w:rFonts w:cs="Arial"/>
          <w:color w:val="000000" w:themeColor="text1"/>
        </w:rPr>
      </w:pPr>
      <w:r w:rsidRPr="00B10CF5">
        <w:rPr>
          <w:rFonts w:cs="Arial"/>
          <w:color w:val="000000" w:themeColor="text1"/>
        </w:rPr>
        <w:t xml:space="preserve">In September, jointly with MMHI and Canadian </w:t>
      </w:r>
      <w:r w:rsidR="00817F55" w:rsidRPr="00B10CF5">
        <w:rPr>
          <w:rFonts w:cs="Arial"/>
          <w:color w:val="000000" w:themeColor="text1"/>
        </w:rPr>
        <w:t>Project</w:t>
      </w:r>
      <w:r w:rsidRPr="00B10CF5">
        <w:rPr>
          <w:rFonts w:cs="Arial"/>
          <w:color w:val="000000" w:themeColor="text1"/>
        </w:rPr>
        <w:t xml:space="preserve"> Merit had </w:t>
      </w:r>
      <w:r w:rsidR="00817F55" w:rsidRPr="00B10CF5">
        <w:rPr>
          <w:rFonts w:cs="Arial"/>
          <w:color w:val="000000" w:themeColor="text1"/>
        </w:rPr>
        <w:t>organized</w:t>
      </w:r>
      <w:r w:rsidRPr="00B10CF5">
        <w:rPr>
          <w:rFonts w:cs="Arial"/>
          <w:color w:val="000000" w:themeColor="text1"/>
        </w:rPr>
        <w:t xml:space="preserve"> the </w:t>
      </w:r>
      <w:proofErr w:type="spellStart"/>
      <w:r w:rsidRPr="00B10CF5">
        <w:rPr>
          <w:rFonts w:cs="Arial"/>
          <w:color w:val="000000" w:themeColor="text1"/>
        </w:rPr>
        <w:t>Easterb</w:t>
      </w:r>
      <w:proofErr w:type="spellEnd"/>
      <w:r w:rsidRPr="00B10CF5">
        <w:rPr>
          <w:rFonts w:cs="Arial"/>
          <w:color w:val="000000" w:themeColor="text1"/>
        </w:rPr>
        <w:t xml:space="preserve"> Regional conference on extractive sector, had consultation of legislation, organized training on EITI-E reporting.</w:t>
      </w:r>
    </w:p>
    <w:p w:rsidR="008C4079" w:rsidRPr="00B10CF5" w:rsidRDefault="008C4079" w:rsidP="008238C9">
      <w:pPr>
        <w:spacing w:after="0" w:line="240" w:lineRule="auto"/>
        <w:ind w:right="-629"/>
        <w:jc w:val="both"/>
        <w:rPr>
          <w:rFonts w:cs="Arial"/>
          <w:color w:val="000000" w:themeColor="text1"/>
        </w:rPr>
      </w:pPr>
    </w:p>
    <w:p w:rsidR="008C4079" w:rsidRPr="00B10CF5" w:rsidRDefault="008C4079" w:rsidP="008238C9">
      <w:pPr>
        <w:spacing w:after="0" w:line="240" w:lineRule="auto"/>
        <w:ind w:right="-629"/>
        <w:jc w:val="both"/>
        <w:rPr>
          <w:rFonts w:cs="Arial"/>
          <w:color w:val="000000" w:themeColor="text1"/>
        </w:rPr>
      </w:pPr>
      <w:r w:rsidRPr="00B10CF5">
        <w:rPr>
          <w:rFonts w:cs="Arial"/>
          <w:color w:val="000000" w:themeColor="text1"/>
        </w:rPr>
        <w:t>Also, in September training and consultation on EITI mainstreaming among Governments specialists had been organized.</w:t>
      </w:r>
    </w:p>
    <w:p w:rsidR="008C4079" w:rsidRPr="00B10CF5" w:rsidRDefault="008C4079" w:rsidP="008238C9">
      <w:pPr>
        <w:spacing w:after="0" w:line="240" w:lineRule="auto"/>
        <w:ind w:right="-629"/>
        <w:jc w:val="both"/>
        <w:rPr>
          <w:rFonts w:cs="Arial"/>
          <w:color w:val="000000" w:themeColor="text1"/>
        </w:rPr>
      </w:pPr>
    </w:p>
    <w:p w:rsidR="00462B62" w:rsidRPr="00B10CF5" w:rsidRDefault="008C4079" w:rsidP="008238C9">
      <w:pPr>
        <w:spacing w:after="0" w:line="240" w:lineRule="auto"/>
        <w:ind w:right="-629"/>
        <w:jc w:val="both"/>
        <w:rPr>
          <w:rFonts w:cs="Arial"/>
          <w:color w:val="000000" w:themeColor="text1"/>
        </w:rPr>
      </w:pPr>
      <w:r w:rsidRPr="00B10CF5">
        <w:rPr>
          <w:rFonts w:cs="Arial"/>
          <w:color w:val="000000" w:themeColor="text1"/>
        </w:rPr>
        <w:t>In October, together with BDO</w:t>
      </w:r>
      <w:r w:rsidR="00462B62" w:rsidRPr="00B10CF5">
        <w:rPr>
          <w:rFonts w:cs="Arial"/>
          <w:color w:val="000000" w:themeColor="text1"/>
        </w:rPr>
        <w:t>, inception seminar was organized and very first introduction of EITI New Standard 2019 w</w:t>
      </w:r>
      <w:r w:rsidR="00817F55">
        <w:rPr>
          <w:rFonts w:cs="Arial"/>
          <w:color w:val="000000" w:themeColor="text1"/>
        </w:rPr>
        <w:t>as</w:t>
      </w:r>
      <w:r w:rsidR="00462B62" w:rsidRPr="00B10CF5">
        <w:rPr>
          <w:rFonts w:cs="Arial"/>
          <w:color w:val="000000" w:themeColor="text1"/>
        </w:rPr>
        <w:t xml:space="preserve"> released, and finalized and agreed on scoping of Mongolia EITI 2018 report.</w:t>
      </w:r>
    </w:p>
    <w:p w:rsidR="00462B62" w:rsidRPr="00B10CF5" w:rsidRDefault="00462B62" w:rsidP="008238C9">
      <w:pPr>
        <w:spacing w:after="0" w:line="240" w:lineRule="auto"/>
        <w:ind w:right="-629"/>
        <w:jc w:val="both"/>
        <w:rPr>
          <w:rFonts w:cs="Arial"/>
          <w:color w:val="000000" w:themeColor="text1"/>
        </w:rPr>
      </w:pPr>
    </w:p>
    <w:p w:rsidR="00462B62" w:rsidRPr="00B10CF5" w:rsidRDefault="00462B62" w:rsidP="008238C9">
      <w:pPr>
        <w:spacing w:after="0" w:line="240" w:lineRule="auto"/>
        <w:ind w:right="-629"/>
        <w:jc w:val="both"/>
        <w:rPr>
          <w:rFonts w:cs="Arial"/>
          <w:color w:val="000000" w:themeColor="text1"/>
        </w:rPr>
      </w:pPr>
      <w:r w:rsidRPr="00B10CF5">
        <w:rPr>
          <w:rFonts w:cs="Arial"/>
          <w:color w:val="000000" w:themeColor="text1"/>
        </w:rPr>
        <w:t xml:space="preserve">Also, in October, training on new EITI Standard and Beneficial Ownership was organized at Taxation </w:t>
      </w:r>
      <w:proofErr w:type="spellStart"/>
      <w:r w:rsidRPr="00B10CF5">
        <w:rPr>
          <w:rFonts w:cs="Arial"/>
          <w:color w:val="000000" w:themeColor="text1"/>
        </w:rPr>
        <w:t>authotiries</w:t>
      </w:r>
      <w:proofErr w:type="spellEnd"/>
      <w:r w:rsidRPr="00B10CF5">
        <w:rPr>
          <w:rFonts w:cs="Arial"/>
          <w:color w:val="000000" w:themeColor="text1"/>
        </w:rPr>
        <w:t xml:space="preserve"> with all central, capital city and districts tax inspectors. There </w:t>
      </w:r>
      <w:r w:rsidR="00817F55" w:rsidRPr="00B10CF5">
        <w:rPr>
          <w:rFonts w:cs="Arial"/>
          <w:color w:val="000000" w:themeColor="text1"/>
        </w:rPr>
        <w:t>were</w:t>
      </w:r>
      <w:r w:rsidRPr="00B10CF5">
        <w:rPr>
          <w:rFonts w:cs="Arial"/>
          <w:color w:val="000000" w:themeColor="text1"/>
        </w:rPr>
        <w:t xml:space="preserve"> representatives from </w:t>
      </w:r>
      <w:proofErr w:type="spellStart"/>
      <w:r w:rsidRPr="00B10CF5">
        <w:rPr>
          <w:rFonts w:cs="Arial"/>
          <w:color w:val="000000" w:themeColor="text1"/>
        </w:rPr>
        <w:t>from</w:t>
      </w:r>
      <w:proofErr w:type="spellEnd"/>
      <w:r w:rsidRPr="00B10CF5">
        <w:rPr>
          <w:rFonts w:cs="Arial"/>
          <w:color w:val="000000" w:themeColor="text1"/>
        </w:rPr>
        <w:t xml:space="preserve"> State Registration authorities.</w:t>
      </w:r>
    </w:p>
    <w:p w:rsidR="00462B62" w:rsidRPr="00B10CF5" w:rsidRDefault="00462B62" w:rsidP="003E47F3">
      <w:pPr>
        <w:spacing w:after="0" w:line="240" w:lineRule="auto"/>
        <w:ind w:right="-629"/>
        <w:jc w:val="both"/>
        <w:rPr>
          <w:rFonts w:cs="Arial"/>
          <w:color w:val="000000" w:themeColor="text1"/>
          <w:u w:val="single"/>
        </w:rPr>
      </w:pPr>
    </w:p>
    <w:p w:rsidR="003E47F3" w:rsidRPr="00B10CF5" w:rsidRDefault="0048716A" w:rsidP="003E47F3">
      <w:pPr>
        <w:spacing w:after="0" w:line="240" w:lineRule="auto"/>
        <w:ind w:right="-629"/>
        <w:jc w:val="both"/>
        <w:rPr>
          <w:rFonts w:cs="Arial"/>
          <w:color w:val="000000" w:themeColor="text1"/>
          <w:u w:val="single"/>
          <w:lang w:val="mn-MN"/>
        </w:rPr>
      </w:pPr>
      <w:r w:rsidRPr="00B10CF5">
        <w:rPr>
          <w:rFonts w:cs="Arial"/>
          <w:color w:val="000000" w:themeColor="text1"/>
          <w:u w:val="single"/>
        </w:rPr>
        <w:t>Dissemination and promotion</w:t>
      </w:r>
      <w:r w:rsidR="003E47F3" w:rsidRPr="00B10CF5">
        <w:rPr>
          <w:rFonts w:cs="Arial"/>
          <w:color w:val="000000" w:themeColor="text1"/>
          <w:u w:val="single"/>
          <w:lang w:val="mn-MN"/>
        </w:rPr>
        <w:t xml:space="preserve"> </w:t>
      </w:r>
    </w:p>
    <w:p w:rsidR="003E47F3" w:rsidRPr="00B10CF5" w:rsidRDefault="003E47F3" w:rsidP="003E47F3">
      <w:pPr>
        <w:spacing w:after="0" w:line="240" w:lineRule="auto"/>
        <w:ind w:right="-629"/>
        <w:jc w:val="both"/>
        <w:rPr>
          <w:rFonts w:cs="Arial"/>
          <w:color w:val="000000" w:themeColor="text1"/>
          <w:highlight w:val="yellow"/>
          <w:lang w:val="mn-MN"/>
        </w:rPr>
      </w:pPr>
    </w:p>
    <w:p w:rsidR="00462B62" w:rsidRPr="00B10CF5" w:rsidRDefault="00462B62" w:rsidP="003E47F3">
      <w:pPr>
        <w:spacing w:after="0" w:line="240" w:lineRule="auto"/>
        <w:ind w:right="-629"/>
        <w:jc w:val="both"/>
        <w:rPr>
          <w:rFonts w:cs="Arial"/>
        </w:rPr>
      </w:pPr>
      <w:r w:rsidRPr="00B10CF5">
        <w:rPr>
          <w:rFonts w:cs="Arial"/>
        </w:rPr>
        <w:t xml:space="preserve">In September, under MMHI Open day event, A Responsible mining discussion was organized and exhibition of </w:t>
      </w:r>
      <w:r w:rsidR="00952BB5" w:rsidRPr="00B10CF5">
        <w:rPr>
          <w:rFonts w:cs="Arial"/>
        </w:rPr>
        <w:t>information</w:t>
      </w:r>
      <w:r w:rsidRPr="00B10CF5">
        <w:rPr>
          <w:rFonts w:cs="Arial"/>
        </w:rPr>
        <w:t xml:space="preserve"> materials was provided to public.</w:t>
      </w:r>
    </w:p>
    <w:p w:rsidR="00462B62" w:rsidRPr="00B10CF5" w:rsidRDefault="00462B62" w:rsidP="003E47F3">
      <w:pPr>
        <w:spacing w:after="0" w:line="240" w:lineRule="auto"/>
        <w:ind w:right="-629"/>
        <w:jc w:val="both"/>
        <w:rPr>
          <w:rFonts w:cs="Arial"/>
        </w:rPr>
      </w:pPr>
    </w:p>
    <w:p w:rsidR="00462B62" w:rsidRPr="00B10CF5" w:rsidRDefault="00462B62" w:rsidP="003E47F3">
      <w:pPr>
        <w:spacing w:after="0" w:line="240" w:lineRule="auto"/>
        <w:ind w:right="-629"/>
        <w:jc w:val="both"/>
        <w:rPr>
          <w:rFonts w:cs="Arial"/>
        </w:rPr>
      </w:pPr>
      <w:r w:rsidRPr="00B10CF5">
        <w:rPr>
          <w:rFonts w:cs="Arial"/>
        </w:rPr>
        <w:t>Mining Journal had devoted entire November edition to Responsible Mining with lots of interviews including EITI.</w:t>
      </w:r>
    </w:p>
    <w:p w:rsidR="003E47F3" w:rsidRPr="00B10CF5" w:rsidRDefault="003E47F3" w:rsidP="005D3930">
      <w:pPr>
        <w:tabs>
          <w:tab w:val="left" w:pos="2254"/>
        </w:tabs>
        <w:spacing w:after="0" w:line="240" w:lineRule="auto"/>
        <w:ind w:right="-629"/>
        <w:jc w:val="both"/>
        <w:rPr>
          <w:rFonts w:cs="Arial"/>
          <w:color w:val="000000" w:themeColor="text1"/>
        </w:rPr>
      </w:pPr>
    </w:p>
    <w:p w:rsidR="00817F55" w:rsidRDefault="003D3946" w:rsidP="005D3930">
      <w:pPr>
        <w:pStyle w:val="Heading1"/>
        <w:tabs>
          <w:tab w:val="left" w:pos="2254"/>
        </w:tabs>
        <w:rPr>
          <w:sz w:val="22"/>
          <w:szCs w:val="22"/>
        </w:rPr>
      </w:pPr>
      <w:bookmarkStart w:id="5" w:name="_Toc28686584"/>
      <w:r w:rsidRPr="00B10CF5">
        <w:rPr>
          <w:sz w:val="22"/>
          <w:szCs w:val="22"/>
        </w:rPr>
        <w:t xml:space="preserve">Two. Implementation of </w:t>
      </w:r>
      <w:r w:rsidR="00C51784" w:rsidRPr="00B10CF5">
        <w:rPr>
          <w:sz w:val="22"/>
          <w:szCs w:val="22"/>
          <w:lang w:val="mn-MN"/>
        </w:rPr>
        <w:t>201</w:t>
      </w:r>
      <w:r w:rsidR="00462B62" w:rsidRPr="00B10CF5">
        <w:rPr>
          <w:sz w:val="22"/>
          <w:szCs w:val="22"/>
          <w:lang w:val="en-US"/>
        </w:rPr>
        <w:t>9</w:t>
      </w:r>
      <w:r w:rsidR="00C51784" w:rsidRPr="00B10CF5">
        <w:rPr>
          <w:sz w:val="22"/>
          <w:szCs w:val="22"/>
          <w:lang w:val="mn-MN"/>
        </w:rPr>
        <w:t xml:space="preserve"> </w:t>
      </w:r>
      <w:r w:rsidRPr="00B10CF5">
        <w:rPr>
          <w:sz w:val="22"/>
          <w:szCs w:val="22"/>
        </w:rPr>
        <w:t>Work plan, status of achievement of objectives and results</w:t>
      </w:r>
      <w:r w:rsidR="00B857CF" w:rsidRPr="00B10CF5">
        <w:rPr>
          <w:rStyle w:val="FootnoteReference"/>
          <w:sz w:val="22"/>
          <w:szCs w:val="22"/>
        </w:rPr>
        <w:footnoteReference w:id="3"/>
      </w:r>
      <w:bookmarkStart w:id="6" w:name="_Toc502249743"/>
      <w:bookmarkEnd w:id="5"/>
      <w:bookmarkEnd w:id="6"/>
    </w:p>
    <w:p w:rsidR="007B512C" w:rsidRPr="00B10CF5" w:rsidRDefault="00402C07" w:rsidP="005D3930">
      <w:pPr>
        <w:pStyle w:val="Heading1"/>
        <w:tabs>
          <w:tab w:val="left" w:pos="2254"/>
        </w:tabs>
        <w:rPr>
          <w:sz w:val="22"/>
          <w:szCs w:val="22"/>
        </w:rPr>
      </w:pPr>
      <w:bookmarkStart w:id="7" w:name="_Toc28686585"/>
      <w:r w:rsidRPr="00B10CF5">
        <w:rPr>
          <w:sz w:val="22"/>
          <w:szCs w:val="22"/>
        </w:rPr>
        <w:t>Three</w:t>
      </w:r>
      <w:r w:rsidR="007B512C" w:rsidRPr="00B10CF5">
        <w:rPr>
          <w:sz w:val="22"/>
          <w:szCs w:val="22"/>
          <w:lang w:val="mn-MN"/>
        </w:rPr>
        <w:t xml:space="preserve">. </w:t>
      </w:r>
      <w:r w:rsidRPr="00B10CF5">
        <w:rPr>
          <w:sz w:val="22"/>
          <w:szCs w:val="22"/>
        </w:rPr>
        <w:t>Status of meeting of each EITI Standard requirements</w:t>
      </w:r>
      <w:bookmarkEnd w:id="7"/>
    </w:p>
    <w:p w:rsidR="006023A1" w:rsidRPr="00B10CF5" w:rsidRDefault="006023A1" w:rsidP="005D3930">
      <w:pPr>
        <w:pStyle w:val="ListParagraph"/>
        <w:keepNext/>
        <w:numPr>
          <w:ilvl w:val="0"/>
          <w:numId w:val="18"/>
        </w:numPr>
        <w:tabs>
          <w:tab w:val="left" w:pos="1134"/>
          <w:tab w:val="left" w:pos="2254"/>
        </w:tabs>
        <w:spacing w:before="280" w:after="140" w:line="240" w:lineRule="auto"/>
        <w:contextualSpacing w:val="0"/>
        <w:outlineLvl w:val="1"/>
        <w:rPr>
          <w:rFonts w:cs="Arial"/>
          <w:b/>
          <w:vanish/>
        </w:rPr>
      </w:pPr>
      <w:bookmarkStart w:id="8" w:name="_Toc502249750"/>
      <w:bookmarkStart w:id="9" w:name="_Toc533514907"/>
      <w:bookmarkStart w:id="10" w:name="_Toc533515596"/>
      <w:bookmarkStart w:id="11" w:name="_Toc533515666"/>
      <w:bookmarkStart w:id="12" w:name="_Toc28592615"/>
      <w:bookmarkStart w:id="13" w:name="_Toc28611777"/>
      <w:bookmarkStart w:id="14" w:name="_Toc28611927"/>
      <w:bookmarkStart w:id="15" w:name="_Toc28686586"/>
      <w:bookmarkEnd w:id="8"/>
      <w:bookmarkEnd w:id="9"/>
      <w:bookmarkEnd w:id="10"/>
      <w:bookmarkEnd w:id="11"/>
      <w:bookmarkEnd w:id="12"/>
      <w:bookmarkEnd w:id="13"/>
      <w:bookmarkEnd w:id="14"/>
      <w:bookmarkEnd w:id="15"/>
    </w:p>
    <w:p w:rsidR="00334CBD" w:rsidRPr="00B10CF5" w:rsidRDefault="00334CBD" w:rsidP="005D3930">
      <w:pPr>
        <w:pStyle w:val="ListParagraph"/>
        <w:numPr>
          <w:ilvl w:val="0"/>
          <w:numId w:val="18"/>
        </w:numPr>
        <w:tabs>
          <w:tab w:val="left" w:pos="2254"/>
        </w:tabs>
        <w:spacing w:after="0" w:line="240" w:lineRule="auto"/>
        <w:ind w:right="-629"/>
        <w:jc w:val="both"/>
        <w:rPr>
          <w:rFonts w:cs="Arial"/>
          <w:b/>
          <w:vanish/>
          <w:color w:val="000000" w:themeColor="text1"/>
        </w:rPr>
      </w:pPr>
    </w:p>
    <w:tbl>
      <w:tblPr>
        <w:tblStyle w:val="TableGrid"/>
        <w:tblW w:w="9889" w:type="dxa"/>
        <w:tblLook w:val="04A0" w:firstRow="1" w:lastRow="0" w:firstColumn="1" w:lastColumn="0" w:noHBand="0" w:noVBand="1"/>
      </w:tblPr>
      <w:tblGrid>
        <w:gridCol w:w="1809"/>
        <w:gridCol w:w="6096"/>
        <w:gridCol w:w="1984"/>
      </w:tblGrid>
      <w:tr w:rsidR="000F56C2" w:rsidRPr="00B10CF5" w:rsidTr="000F56C2">
        <w:tc>
          <w:tcPr>
            <w:tcW w:w="7905" w:type="dxa"/>
            <w:gridSpan w:val="2"/>
          </w:tcPr>
          <w:p w:rsidR="0048461B" w:rsidRPr="00B10CF5" w:rsidRDefault="000F56C2" w:rsidP="000F56C2">
            <w:pPr>
              <w:tabs>
                <w:tab w:val="left" w:pos="2254"/>
              </w:tabs>
              <w:ind w:right="-629"/>
              <w:jc w:val="both"/>
              <w:rPr>
                <w:rFonts w:cs="Arial"/>
                <w:color w:val="000000" w:themeColor="text1"/>
              </w:rPr>
            </w:pPr>
            <w:r w:rsidRPr="00B10CF5">
              <w:rPr>
                <w:rFonts w:cs="Arial"/>
                <w:color w:val="000000" w:themeColor="text1"/>
              </w:rPr>
              <w:t xml:space="preserve">Final scores of Mongolia EITI </w:t>
            </w:r>
            <w:r w:rsidR="00817F55">
              <w:rPr>
                <w:rFonts w:cs="Arial"/>
                <w:color w:val="000000" w:themeColor="text1"/>
              </w:rPr>
              <w:t>a</w:t>
            </w:r>
            <w:r w:rsidRPr="00B10CF5">
              <w:rPr>
                <w:rFonts w:cs="Arial"/>
                <w:color w:val="000000" w:themeColor="text1"/>
              </w:rPr>
              <w:t>ssessment</w:t>
            </w:r>
            <w:r w:rsidR="0048461B" w:rsidRPr="00B10CF5">
              <w:rPr>
                <w:rFonts w:cs="Arial"/>
                <w:color w:val="000000" w:themeColor="text1"/>
              </w:rPr>
              <w:t xml:space="preserve"> on meeting EITI standard </w:t>
            </w:r>
          </w:p>
          <w:p w:rsidR="000F56C2" w:rsidRPr="00B10CF5" w:rsidRDefault="00462B62" w:rsidP="00817F55">
            <w:pPr>
              <w:tabs>
                <w:tab w:val="left" w:pos="2254"/>
              </w:tabs>
              <w:ind w:right="-629"/>
              <w:jc w:val="both"/>
              <w:rPr>
                <w:rFonts w:cs="Arial"/>
                <w:color w:val="000000" w:themeColor="text1"/>
                <w:lang w:val="mn-MN"/>
              </w:rPr>
            </w:pPr>
            <w:r w:rsidRPr="00B10CF5">
              <w:rPr>
                <w:rFonts w:cs="Arial"/>
                <w:color w:val="000000" w:themeColor="text1"/>
              </w:rPr>
              <w:t xml:space="preserve">Mongolia EITI </w:t>
            </w:r>
            <w:r w:rsidR="000F56C2" w:rsidRPr="00B10CF5">
              <w:rPr>
                <w:rFonts w:cs="Arial"/>
                <w:color w:val="000000" w:themeColor="text1"/>
              </w:rPr>
              <w:t>201</w:t>
            </w:r>
            <w:r w:rsidRPr="00B10CF5">
              <w:rPr>
                <w:rFonts w:cs="Arial"/>
                <w:color w:val="000000" w:themeColor="text1"/>
              </w:rPr>
              <w:t>8 Report</w:t>
            </w:r>
          </w:p>
        </w:tc>
        <w:tc>
          <w:tcPr>
            <w:tcW w:w="1984" w:type="dxa"/>
          </w:tcPr>
          <w:p w:rsidR="0048461B" w:rsidRPr="00B10CF5" w:rsidRDefault="000F56C2" w:rsidP="005D3930">
            <w:pPr>
              <w:tabs>
                <w:tab w:val="left" w:pos="2254"/>
              </w:tabs>
              <w:ind w:right="-629"/>
              <w:jc w:val="both"/>
              <w:rPr>
                <w:rFonts w:cs="Arial"/>
                <w:color w:val="000000" w:themeColor="text1"/>
              </w:rPr>
            </w:pPr>
            <w:r w:rsidRPr="00B10CF5">
              <w:rPr>
                <w:rFonts w:cs="Arial"/>
                <w:color w:val="000000" w:themeColor="text1"/>
              </w:rPr>
              <w:t>Satisfied</w:t>
            </w:r>
            <w:r w:rsidR="00626C6F" w:rsidRPr="00B10CF5">
              <w:rPr>
                <w:rFonts w:cs="Arial"/>
                <w:color w:val="000000" w:themeColor="text1"/>
              </w:rPr>
              <w:t>/</w:t>
            </w:r>
          </w:p>
          <w:p w:rsidR="000F56C2" w:rsidRPr="00B10CF5" w:rsidRDefault="0048461B" w:rsidP="00FC059F">
            <w:pPr>
              <w:tabs>
                <w:tab w:val="left" w:pos="2254"/>
              </w:tabs>
              <w:ind w:right="-629"/>
              <w:jc w:val="both"/>
              <w:rPr>
                <w:rFonts w:cs="Arial"/>
                <w:color w:val="000000" w:themeColor="text1"/>
              </w:rPr>
            </w:pPr>
            <w:r w:rsidRPr="00B10CF5">
              <w:rPr>
                <w:rFonts w:cs="Arial"/>
                <w:color w:val="000000" w:themeColor="text1"/>
              </w:rPr>
              <w:t xml:space="preserve">not </w:t>
            </w:r>
            <w:r w:rsidR="00FC059F" w:rsidRPr="00B10CF5">
              <w:rPr>
                <w:rFonts w:cs="Arial"/>
                <w:color w:val="000000" w:themeColor="text1"/>
              </w:rPr>
              <w:t>satisfied</w:t>
            </w:r>
          </w:p>
        </w:tc>
      </w:tr>
      <w:tr w:rsidR="000F56C2" w:rsidRPr="00B10CF5" w:rsidTr="00BF38A7">
        <w:tc>
          <w:tcPr>
            <w:tcW w:w="1809"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Category</w:t>
            </w:r>
          </w:p>
        </w:tc>
        <w:tc>
          <w:tcPr>
            <w:tcW w:w="6096" w:type="dxa"/>
          </w:tcPr>
          <w:p w:rsidR="000F56C2" w:rsidRPr="00B10CF5" w:rsidRDefault="000F56C2" w:rsidP="005D3930">
            <w:pPr>
              <w:tabs>
                <w:tab w:val="left" w:pos="2254"/>
              </w:tabs>
              <w:ind w:right="-629"/>
              <w:jc w:val="both"/>
              <w:rPr>
                <w:rFonts w:cs="Arial"/>
                <w:color w:val="000000" w:themeColor="text1"/>
                <w:lang w:val="mn-MN"/>
              </w:rPr>
            </w:pPr>
            <w:r w:rsidRPr="00B10CF5">
              <w:rPr>
                <w:rFonts w:cs="Arial"/>
                <w:color w:val="000000" w:themeColor="text1"/>
              </w:rPr>
              <w:t>Requirements</w:t>
            </w:r>
          </w:p>
        </w:tc>
        <w:tc>
          <w:tcPr>
            <w:tcW w:w="1984" w:type="dxa"/>
          </w:tcPr>
          <w:p w:rsidR="000F56C2" w:rsidRPr="00B10CF5" w:rsidRDefault="00626C6F" w:rsidP="005D3930">
            <w:pPr>
              <w:tabs>
                <w:tab w:val="left" w:pos="2254"/>
              </w:tabs>
              <w:ind w:right="-629"/>
              <w:jc w:val="both"/>
              <w:rPr>
                <w:rFonts w:cs="Arial"/>
                <w:color w:val="000000" w:themeColor="text1"/>
              </w:rPr>
            </w:pPr>
            <w:r w:rsidRPr="00B10CF5">
              <w:rPr>
                <w:rFonts w:cs="Arial"/>
                <w:color w:val="000000" w:themeColor="text1"/>
              </w:rPr>
              <w:t>Satisfied</w:t>
            </w:r>
          </w:p>
        </w:tc>
      </w:tr>
      <w:tr w:rsidR="000F56C2" w:rsidRPr="00B10CF5" w:rsidTr="00BF38A7">
        <w:tc>
          <w:tcPr>
            <w:tcW w:w="1809" w:type="dxa"/>
            <w:vMerge w:val="restart"/>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MSG oversight</w:t>
            </w: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Government engagement 1.1</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0F56C2" w:rsidRPr="00B10CF5" w:rsidTr="00BF38A7">
        <w:tc>
          <w:tcPr>
            <w:tcW w:w="1809" w:type="dxa"/>
            <w:vMerge/>
          </w:tcPr>
          <w:p w:rsidR="000F56C2" w:rsidRPr="00B10CF5" w:rsidRDefault="000F56C2" w:rsidP="005D3930">
            <w:pPr>
              <w:tabs>
                <w:tab w:val="left" w:pos="2254"/>
              </w:tabs>
              <w:ind w:right="-629"/>
              <w:jc w:val="both"/>
              <w:rPr>
                <w:rFonts w:cs="Arial"/>
                <w:color w:val="000000" w:themeColor="text1"/>
              </w:rPr>
            </w:pP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Industry engagement 1.2</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0F56C2" w:rsidRPr="00B10CF5" w:rsidTr="00BF38A7">
        <w:tc>
          <w:tcPr>
            <w:tcW w:w="1809" w:type="dxa"/>
            <w:vMerge/>
          </w:tcPr>
          <w:p w:rsidR="000F56C2" w:rsidRPr="00B10CF5" w:rsidRDefault="000F56C2" w:rsidP="005D3930">
            <w:pPr>
              <w:tabs>
                <w:tab w:val="left" w:pos="2254"/>
              </w:tabs>
              <w:ind w:right="-629"/>
              <w:jc w:val="both"/>
              <w:rPr>
                <w:rFonts w:cs="Arial"/>
                <w:color w:val="000000" w:themeColor="text1"/>
              </w:rPr>
            </w:pP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Civil Society engagement 1.3</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0F56C2" w:rsidRPr="00B10CF5" w:rsidTr="00BF38A7">
        <w:tc>
          <w:tcPr>
            <w:tcW w:w="1809" w:type="dxa"/>
            <w:vMerge/>
          </w:tcPr>
          <w:p w:rsidR="000F56C2" w:rsidRPr="00B10CF5" w:rsidRDefault="000F56C2" w:rsidP="005D3930">
            <w:pPr>
              <w:tabs>
                <w:tab w:val="left" w:pos="2254"/>
              </w:tabs>
              <w:ind w:right="-629"/>
              <w:jc w:val="both"/>
              <w:rPr>
                <w:rFonts w:cs="Arial"/>
                <w:color w:val="000000" w:themeColor="text1"/>
              </w:rPr>
            </w:pP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MSG Governance 1.4</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0F56C2" w:rsidRPr="00B10CF5" w:rsidTr="00BF38A7">
        <w:tc>
          <w:tcPr>
            <w:tcW w:w="1809" w:type="dxa"/>
            <w:vMerge/>
          </w:tcPr>
          <w:p w:rsidR="000F56C2" w:rsidRPr="00B10CF5" w:rsidRDefault="000F56C2" w:rsidP="005D3930">
            <w:pPr>
              <w:tabs>
                <w:tab w:val="left" w:pos="2254"/>
              </w:tabs>
              <w:ind w:right="-629"/>
              <w:jc w:val="both"/>
              <w:rPr>
                <w:rFonts w:cs="Arial"/>
                <w:color w:val="000000" w:themeColor="text1"/>
              </w:rPr>
            </w:pP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Workplan 1.5</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0F56C2" w:rsidRPr="00B10CF5" w:rsidTr="00BF38A7">
        <w:tc>
          <w:tcPr>
            <w:tcW w:w="1809" w:type="dxa"/>
            <w:vMerge w:val="restart"/>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Licenses and contracts</w:t>
            </w: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Legal framework 2.1</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0F56C2" w:rsidRPr="00B10CF5" w:rsidTr="00BF38A7">
        <w:tc>
          <w:tcPr>
            <w:tcW w:w="1809" w:type="dxa"/>
            <w:vMerge/>
          </w:tcPr>
          <w:p w:rsidR="000F56C2" w:rsidRPr="00B10CF5" w:rsidRDefault="000F56C2" w:rsidP="005D3930">
            <w:pPr>
              <w:tabs>
                <w:tab w:val="left" w:pos="2254"/>
              </w:tabs>
              <w:ind w:right="-629"/>
              <w:jc w:val="both"/>
              <w:rPr>
                <w:rFonts w:cs="Arial"/>
                <w:color w:val="000000" w:themeColor="text1"/>
              </w:rPr>
            </w:pP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License allocations 2.2</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0F56C2" w:rsidRPr="00B10CF5" w:rsidTr="00BF38A7">
        <w:tc>
          <w:tcPr>
            <w:tcW w:w="1809" w:type="dxa"/>
            <w:vMerge/>
          </w:tcPr>
          <w:p w:rsidR="000F56C2" w:rsidRPr="00B10CF5" w:rsidRDefault="000F56C2" w:rsidP="005D3930">
            <w:pPr>
              <w:tabs>
                <w:tab w:val="left" w:pos="2254"/>
              </w:tabs>
              <w:ind w:right="-629"/>
              <w:jc w:val="both"/>
              <w:rPr>
                <w:rFonts w:cs="Arial"/>
                <w:color w:val="000000" w:themeColor="text1"/>
              </w:rPr>
            </w:pP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License register 2.3</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0F56C2" w:rsidRPr="00B10CF5" w:rsidTr="00BF38A7">
        <w:tc>
          <w:tcPr>
            <w:tcW w:w="1809" w:type="dxa"/>
            <w:vMerge/>
          </w:tcPr>
          <w:p w:rsidR="000F56C2" w:rsidRPr="00B10CF5" w:rsidRDefault="000F56C2" w:rsidP="005D3930">
            <w:pPr>
              <w:tabs>
                <w:tab w:val="left" w:pos="2254"/>
              </w:tabs>
              <w:ind w:right="-629"/>
              <w:jc w:val="both"/>
              <w:rPr>
                <w:rFonts w:cs="Arial"/>
                <w:color w:val="000000" w:themeColor="text1"/>
              </w:rPr>
            </w:pPr>
          </w:p>
        </w:tc>
        <w:tc>
          <w:tcPr>
            <w:tcW w:w="6096" w:type="dxa"/>
          </w:tcPr>
          <w:p w:rsidR="000F56C2" w:rsidRPr="00B10CF5" w:rsidRDefault="000F56C2" w:rsidP="005D3930">
            <w:pPr>
              <w:tabs>
                <w:tab w:val="left" w:pos="2254"/>
              </w:tabs>
              <w:ind w:right="-629"/>
              <w:jc w:val="both"/>
              <w:rPr>
                <w:rFonts w:cs="Arial"/>
                <w:color w:val="000000" w:themeColor="text1"/>
              </w:rPr>
            </w:pPr>
            <w:r w:rsidRPr="00B10CF5">
              <w:rPr>
                <w:rFonts w:cs="Arial"/>
                <w:color w:val="000000" w:themeColor="text1"/>
              </w:rPr>
              <w:t>Policy on contract disclosure 2.4</w:t>
            </w:r>
          </w:p>
        </w:tc>
        <w:tc>
          <w:tcPr>
            <w:tcW w:w="1984" w:type="dxa"/>
          </w:tcPr>
          <w:p w:rsidR="000F56C2" w:rsidRPr="00B10CF5" w:rsidRDefault="00626C6F" w:rsidP="005D3930">
            <w:pPr>
              <w:tabs>
                <w:tab w:val="left" w:pos="2254"/>
              </w:tabs>
              <w:ind w:right="-629"/>
              <w:jc w:val="both"/>
              <w:rPr>
                <w:rFonts w:cs="Arial"/>
                <w:color w:val="000000" w:themeColor="text1"/>
                <w:lang w:val="mn-MN"/>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FC059F">
            <w:pPr>
              <w:tabs>
                <w:tab w:val="left" w:pos="2254"/>
              </w:tabs>
              <w:ind w:right="-629"/>
              <w:jc w:val="both"/>
              <w:rPr>
                <w:rFonts w:cs="Arial"/>
                <w:color w:val="000000" w:themeColor="text1"/>
              </w:rPr>
            </w:pPr>
            <w:r w:rsidRPr="00B10CF5">
              <w:rPr>
                <w:rFonts w:cs="Arial"/>
                <w:color w:val="000000" w:themeColor="text1"/>
              </w:rPr>
              <w:t>Beneficial ownership 2.5</w:t>
            </w:r>
          </w:p>
        </w:tc>
        <w:tc>
          <w:tcPr>
            <w:tcW w:w="1984" w:type="dxa"/>
          </w:tcPr>
          <w:p w:rsidR="00626C6F" w:rsidRPr="00B10CF5" w:rsidRDefault="00FC059F" w:rsidP="00FC059F">
            <w:pPr>
              <w:rPr>
                <w:rFonts w:cs="Arial"/>
              </w:rPr>
            </w:pPr>
            <w:r w:rsidRPr="00B10CF5">
              <w:rPr>
                <w:rFonts w:cs="Arial"/>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State participation 2.6</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val="restart"/>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 xml:space="preserve">Monitoring </w:t>
            </w:r>
          </w:p>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production</w:t>
            </w: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Exploration data 3.1</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Production data 3.2</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Export data 3.3</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val="restart"/>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 xml:space="preserve">Revenue </w:t>
            </w:r>
          </w:p>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collection</w:t>
            </w: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Comprehensiveness 4.1</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In-kind revenues 4.2</w:t>
            </w:r>
          </w:p>
        </w:tc>
        <w:tc>
          <w:tcPr>
            <w:tcW w:w="1984" w:type="dxa"/>
          </w:tcPr>
          <w:p w:rsidR="00626C6F" w:rsidRPr="00B10CF5" w:rsidRDefault="00FC059F" w:rsidP="00FC059F">
            <w:pPr>
              <w:rPr>
                <w:rFonts w:cs="Arial"/>
              </w:rPr>
            </w:pPr>
            <w:r w:rsidRPr="00B10CF5">
              <w:rPr>
                <w:rFonts w:cs="Arial"/>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Barter agreements 4.3</w:t>
            </w:r>
          </w:p>
        </w:tc>
        <w:tc>
          <w:tcPr>
            <w:tcW w:w="1984" w:type="dxa"/>
          </w:tcPr>
          <w:p w:rsidR="00626C6F" w:rsidRPr="00B10CF5" w:rsidRDefault="00626C6F" w:rsidP="0048461B">
            <w:pPr>
              <w:rPr>
                <w:rFonts w:cs="Arial"/>
              </w:rPr>
            </w:pPr>
            <w:r w:rsidRPr="00B10CF5">
              <w:rPr>
                <w:rFonts w:cs="Arial"/>
              </w:rPr>
              <w:t xml:space="preserve">Not </w:t>
            </w:r>
            <w:r w:rsidR="0048461B" w:rsidRPr="00B10CF5">
              <w:rPr>
                <w:rFonts w:cs="Arial"/>
              </w:rPr>
              <w:t>applicable</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Transportation revenues 4.4</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SOE transactions 4.5</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Direct subnational payments 4.6</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Disaggregation 4.7</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Data timeliness 4.8</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Data quality 4.9</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val="restart"/>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 xml:space="preserve">Revenue </w:t>
            </w:r>
          </w:p>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allocation</w:t>
            </w: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Revenue management and expenditures 5.1</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Subnational transfers 5.2</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Distribution of revenues 5.3</w:t>
            </w:r>
          </w:p>
        </w:tc>
        <w:tc>
          <w:tcPr>
            <w:tcW w:w="1984" w:type="dxa"/>
          </w:tcPr>
          <w:p w:rsidR="00626C6F" w:rsidRPr="00B10CF5" w:rsidRDefault="00FC059F" w:rsidP="00FC059F">
            <w:pPr>
              <w:rPr>
                <w:rFonts w:cs="Arial"/>
              </w:rPr>
            </w:pPr>
            <w:r w:rsidRPr="00B10CF5">
              <w:rPr>
                <w:rFonts w:cs="Arial"/>
              </w:rPr>
              <w:t>Satisfied</w:t>
            </w:r>
          </w:p>
        </w:tc>
      </w:tr>
      <w:tr w:rsidR="00626C6F" w:rsidRPr="00B10CF5" w:rsidTr="00BF38A7">
        <w:tc>
          <w:tcPr>
            <w:tcW w:w="1809" w:type="dxa"/>
            <w:vMerge w:val="restart"/>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Socio-economic contribution</w:t>
            </w: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Mandatory social expenditures 6.1</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SOE quasi-fiscal expenditures 6.2</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Economic contribution 6.3</w:t>
            </w:r>
          </w:p>
        </w:tc>
        <w:tc>
          <w:tcPr>
            <w:tcW w:w="1984" w:type="dxa"/>
          </w:tcPr>
          <w:p w:rsidR="00626C6F" w:rsidRPr="00B10CF5" w:rsidRDefault="00FC059F" w:rsidP="00FC059F">
            <w:pPr>
              <w:rPr>
                <w:rFonts w:cs="Arial"/>
              </w:rPr>
            </w:pPr>
            <w:r w:rsidRPr="00B10CF5">
              <w:rPr>
                <w:rFonts w:cs="Arial"/>
                <w:color w:val="000000" w:themeColor="text1"/>
              </w:rPr>
              <w:t>Satisfied</w:t>
            </w:r>
          </w:p>
        </w:tc>
      </w:tr>
      <w:tr w:rsidR="00626C6F" w:rsidRPr="00B10CF5" w:rsidTr="00BF38A7">
        <w:tc>
          <w:tcPr>
            <w:tcW w:w="1809" w:type="dxa"/>
            <w:vMerge w:val="restart"/>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 xml:space="preserve">Outcomes and </w:t>
            </w:r>
          </w:p>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impact</w:t>
            </w: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Public debate 7.1</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Data accessibility 7.2</w:t>
            </w:r>
          </w:p>
        </w:tc>
        <w:tc>
          <w:tcPr>
            <w:tcW w:w="1984" w:type="dxa"/>
          </w:tcPr>
          <w:p w:rsidR="00626C6F" w:rsidRPr="00B10CF5" w:rsidRDefault="00FC059F" w:rsidP="00FC059F">
            <w:pPr>
              <w:rPr>
                <w:rFonts w:cs="Arial"/>
              </w:rPr>
            </w:pPr>
            <w:r w:rsidRPr="00B10CF5">
              <w:rPr>
                <w:rFonts w:cs="Arial"/>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Follow up on recommendations 7.3</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vMerge/>
          </w:tcPr>
          <w:p w:rsidR="00626C6F" w:rsidRPr="00B10CF5" w:rsidRDefault="00626C6F" w:rsidP="005D3930">
            <w:pPr>
              <w:tabs>
                <w:tab w:val="left" w:pos="2254"/>
              </w:tabs>
              <w:ind w:right="-629"/>
              <w:jc w:val="both"/>
              <w:rPr>
                <w:rFonts w:cs="Arial"/>
                <w:color w:val="000000" w:themeColor="text1"/>
              </w:rPr>
            </w:pPr>
          </w:p>
        </w:tc>
        <w:tc>
          <w:tcPr>
            <w:tcW w:w="6096"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Outcomes and impact of implementation 7.4</w:t>
            </w:r>
          </w:p>
        </w:tc>
        <w:tc>
          <w:tcPr>
            <w:tcW w:w="1984" w:type="dxa"/>
          </w:tcPr>
          <w:p w:rsidR="00626C6F" w:rsidRPr="00B10CF5" w:rsidRDefault="00626C6F">
            <w:pPr>
              <w:rPr>
                <w:rFonts w:cs="Arial"/>
              </w:rPr>
            </w:pPr>
            <w:r w:rsidRPr="00B10CF5">
              <w:rPr>
                <w:rFonts w:cs="Arial"/>
                <w:color w:val="000000" w:themeColor="text1"/>
              </w:rPr>
              <w:t>Satisfied</w:t>
            </w:r>
          </w:p>
        </w:tc>
      </w:tr>
      <w:tr w:rsidR="00626C6F" w:rsidRPr="00B10CF5" w:rsidTr="00BF38A7">
        <w:tc>
          <w:tcPr>
            <w:tcW w:w="1809" w:type="dxa"/>
          </w:tcPr>
          <w:p w:rsidR="00626C6F" w:rsidRPr="00B10CF5" w:rsidRDefault="00626C6F" w:rsidP="005D3930">
            <w:pPr>
              <w:tabs>
                <w:tab w:val="left" w:pos="2254"/>
              </w:tabs>
              <w:ind w:right="-629"/>
              <w:jc w:val="both"/>
              <w:rPr>
                <w:rFonts w:cs="Arial"/>
                <w:color w:val="000000" w:themeColor="text1"/>
              </w:rPr>
            </w:pPr>
            <w:r w:rsidRPr="00B10CF5">
              <w:rPr>
                <w:rFonts w:cs="Arial"/>
                <w:color w:val="000000" w:themeColor="text1"/>
              </w:rPr>
              <w:t>Overall progress</w:t>
            </w:r>
          </w:p>
        </w:tc>
        <w:tc>
          <w:tcPr>
            <w:tcW w:w="6096" w:type="dxa"/>
          </w:tcPr>
          <w:p w:rsidR="00626C6F" w:rsidRPr="00B10CF5" w:rsidRDefault="00626C6F" w:rsidP="005D3930">
            <w:pPr>
              <w:tabs>
                <w:tab w:val="left" w:pos="2254"/>
              </w:tabs>
              <w:ind w:right="-629"/>
              <w:jc w:val="both"/>
              <w:rPr>
                <w:rFonts w:cs="Arial"/>
                <w:color w:val="000000" w:themeColor="text1"/>
              </w:rPr>
            </w:pPr>
          </w:p>
        </w:tc>
        <w:tc>
          <w:tcPr>
            <w:tcW w:w="1984" w:type="dxa"/>
          </w:tcPr>
          <w:p w:rsidR="00626C6F" w:rsidRPr="00B10CF5" w:rsidRDefault="00626C6F">
            <w:pPr>
              <w:rPr>
                <w:rFonts w:cs="Arial"/>
              </w:rPr>
            </w:pPr>
            <w:r w:rsidRPr="00B10CF5">
              <w:rPr>
                <w:rFonts w:cs="Arial"/>
                <w:color w:val="000000" w:themeColor="text1"/>
              </w:rPr>
              <w:t>Satisfied</w:t>
            </w:r>
          </w:p>
        </w:tc>
      </w:tr>
    </w:tbl>
    <w:p w:rsidR="003938D5" w:rsidRPr="00B10CF5" w:rsidRDefault="003938D5" w:rsidP="005D3930">
      <w:pPr>
        <w:tabs>
          <w:tab w:val="left" w:pos="2254"/>
        </w:tabs>
        <w:spacing w:after="0" w:line="240" w:lineRule="auto"/>
        <w:ind w:right="-629"/>
        <w:jc w:val="both"/>
        <w:rPr>
          <w:rFonts w:cs="Arial"/>
          <w:color w:val="000000" w:themeColor="text1"/>
          <w:lang w:val="mn-MN"/>
        </w:rPr>
      </w:pPr>
    </w:p>
    <w:p w:rsidR="0048461B" w:rsidRPr="00B10CF5" w:rsidRDefault="0048461B" w:rsidP="0048461B">
      <w:pPr>
        <w:pStyle w:val="Heading1"/>
        <w:tabs>
          <w:tab w:val="left" w:pos="2254"/>
        </w:tabs>
        <w:rPr>
          <w:sz w:val="22"/>
          <w:szCs w:val="22"/>
        </w:rPr>
      </w:pPr>
      <w:bookmarkStart w:id="16" w:name="_Toc28686587"/>
      <w:r w:rsidRPr="00B10CF5">
        <w:rPr>
          <w:sz w:val="22"/>
          <w:szCs w:val="22"/>
        </w:rPr>
        <w:t>Four</w:t>
      </w:r>
      <w:r w:rsidRPr="00B10CF5">
        <w:rPr>
          <w:sz w:val="22"/>
          <w:szCs w:val="22"/>
          <w:lang w:val="mn-MN"/>
        </w:rPr>
        <w:t xml:space="preserve">. </w:t>
      </w:r>
      <w:r w:rsidRPr="00B10CF5">
        <w:rPr>
          <w:sz w:val="22"/>
          <w:szCs w:val="22"/>
        </w:rPr>
        <w:t xml:space="preserve">Status of implementation recommendations under </w:t>
      </w:r>
      <w:r w:rsidR="005C58ED" w:rsidRPr="00B10CF5">
        <w:rPr>
          <w:sz w:val="22"/>
          <w:szCs w:val="22"/>
        </w:rPr>
        <w:t>Mongolia EITI Report 201</w:t>
      </w:r>
      <w:r w:rsidR="00FC059F" w:rsidRPr="00B10CF5">
        <w:rPr>
          <w:sz w:val="22"/>
          <w:szCs w:val="22"/>
        </w:rPr>
        <w:t>7</w:t>
      </w:r>
      <w:bookmarkEnd w:id="16"/>
      <w:r w:rsidR="005C58ED" w:rsidRPr="00B10CF5">
        <w:rPr>
          <w:sz w:val="22"/>
          <w:szCs w:val="22"/>
        </w:rPr>
        <w:t xml:space="preserve"> </w:t>
      </w:r>
    </w:p>
    <w:tbl>
      <w:tblPr>
        <w:tblStyle w:val="TableGrid"/>
        <w:tblW w:w="9625" w:type="dxa"/>
        <w:tblLayout w:type="fixed"/>
        <w:tblLook w:val="04A0" w:firstRow="1" w:lastRow="0" w:firstColumn="1" w:lastColumn="0" w:noHBand="0" w:noVBand="1"/>
      </w:tblPr>
      <w:tblGrid>
        <w:gridCol w:w="6115"/>
        <w:gridCol w:w="3510"/>
      </w:tblGrid>
      <w:tr w:rsidR="00C27D19" w:rsidRPr="00B10CF5" w:rsidTr="00883042">
        <w:trPr>
          <w:trHeight w:val="253"/>
        </w:trPr>
        <w:tc>
          <w:tcPr>
            <w:tcW w:w="6115" w:type="dxa"/>
            <w:vMerge w:val="restart"/>
          </w:tcPr>
          <w:p w:rsidR="00C27D19" w:rsidRPr="00B10CF5" w:rsidRDefault="00C27D19" w:rsidP="00C23201">
            <w:pPr>
              <w:rPr>
                <w:rFonts w:cs="Arial"/>
                <w:b/>
              </w:rPr>
            </w:pPr>
            <w:r w:rsidRPr="00B10CF5">
              <w:rPr>
                <w:rFonts w:cs="Arial"/>
                <w:b/>
              </w:rPr>
              <w:t xml:space="preserve">Recommendations </w:t>
            </w:r>
          </w:p>
        </w:tc>
        <w:tc>
          <w:tcPr>
            <w:tcW w:w="3510" w:type="dxa"/>
            <w:vMerge w:val="restart"/>
          </w:tcPr>
          <w:p w:rsidR="00C27D19" w:rsidRPr="00B10CF5" w:rsidRDefault="00C27D19" w:rsidP="00883042">
            <w:pPr>
              <w:rPr>
                <w:rFonts w:cs="Arial"/>
                <w:b/>
              </w:rPr>
            </w:pPr>
            <w:r w:rsidRPr="00B10CF5">
              <w:rPr>
                <w:rFonts w:cs="Arial"/>
                <w:b/>
              </w:rPr>
              <w:t>Reference to Mongolia EITI 201</w:t>
            </w:r>
            <w:r w:rsidR="00883042" w:rsidRPr="00B10CF5">
              <w:rPr>
                <w:rFonts w:cs="Arial"/>
                <w:b/>
              </w:rPr>
              <w:t>8</w:t>
            </w:r>
            <w:r w:rsidRPr="00B10CF5">
              <w:rPr>
                <w:rFonts w:cs="Arial"/>
                <w:b/>
              </w:rPr>
              <w:t xml:space="preserve"> Report</w:t>
            </w:r>
          </w:p>
        </w:tc>
      </w:tr>
      <w:tr w:rsidR="00C27D19" w:rsidRPr="00B10CF5" w:rsidTr="00883042">
        <w:trPr>
          <w:trHeight w:val="261"/>
        </w:trPr>
        <w:tc>
          <w:tcPr>
            <w:tcW w:w="6115" w:type="dxa"/>
            <w:vMerge/>
          </w:tcPr>
          <w:p w:rsidR="00C27D19" w:rsidRPr="00B10CF5" w:rsidRDefault="00C27D19" w:rsidP="00C23201">
            <w:pPr>
              <w:spacing w:line="248" w:lineRule="auto"/>
              <w:rPr>
                <w:rFonts w:cs="Arial"/>
                <w:b/>
              </w:rPr>
            </w:pPr>
          </w:p>
        </w:tc>
        <w:tc>
          <w:tcPr>
            <w:tcW w:w="3510" w:type="dxa"/>
            <w:vMerge/>
          </w:tcPr>
          <w:p w:rsidR="00C27D19" w:rsidRPr="00B10CF5" w:rsidRDefault="00C27D19" w:rsidP="00C23201">
            <w:pPr>
              <w:rPr>
                <w:rFonts w:cs="Arial"/>
                <w:b/>
              </w:rPr>
            </w:pPr>
          </w:p>
        </w:tc>
      </w:tr>
      <w:tr w:rsidR="00C27D19" w:rsidRPr="00B10CF5" w:rsidTr="00883042">
        <w:trPr>
          <w:trHeight w:val="926"/>
        </w:trPr>
        <w:tc>
          <w:tcPr>
            <w:tcW w:w="6115" w:type="dxa"/>
          </w:tcPr>
          <w:p w:rsidR="00C27D19" w:rsidRPr="00B10CF5" w:rsidRDefault="00C27D19" w:rsidP="00883042">
            <w:pPr>
              <w:jc w:val="both"/>
              <w:rPr>
                <w:rFonts w:eastAsia="Arial" w:cs="Arial"/>
              </w:rPr>
            </w:pPr>
            <w:r w:rsidRPr="00B10CF5">
              <w:rPr>
                <w:rFonts w:cs="Arial"/>
              </w:rPr>
              <w:lastRenderedPageBreak/>
              <w:t>We recommend that the Law on Transparency in the Extractive Industries should be adopted promptly, replacing and nullifying the provisions of above-mentioned national laws restricting the disclosure of mineral related information.</w:t>
            </w:r>
          </w:p>
        </w:tc>
        <w:tc>
          <w:tcPr>
            <w:tcW w:w="3510" w:type="dxa"/>
          </w:tcPr>
          <w:p w:rsidR="00C27D19" w:rsidRPr="00B10CF5" w:rsidRDefault="00C27D19" w:rsidP="00883042">
            <w:pPr>
              <w:rPr>
                <w:rFonts w:cs="Arial"/>
              </w:rPr>
            </w:pPr>
            <w:r w:rsidRPr="00B10CF5">
              <w:rPr>
                <w:rFonts w:cs="Arial"/>
              </w:rPr>
              <w:t xml:space="preserve">The mentioned have not been amended. However, the Government pursuant to resolution No.263 of 2017 </w:t>
            </w:r>
            <w:r w:rsidR="00883042" w:rsidRPr="00B10CF5">
              <w:rPr>
                <w:rFonts w:cs="Arial"/>
              </w:rPr>
              <w:t>the information can be released.</w:t>
            </w:r>
          </w:p>
        </w:tc>
      </w:tr>
      <w:tr w:rsidR="00C27D19" w:rsidRPr="00B10CF5" w:rsidTr="00883042">
        <w:tc>
          <w:tcPr>
            <w:tcW w:w="6115" w:type="dxa"/>
          </w:tcPr>
          <w:p w:rsidR="00C27D19" w:rsidRPr="00B10CF5" w:rsidRDefault="00C27D19" w:rsidP="00C27D19">
            <w:pPr>
              <w:jc w:val="both"/>
              <w:rPr>
                <w:rFonts w:cs="Arial"/>
              </w:rPr>
            </w:pPr>
            <w:r w:rsidRPr="00B10CF5">
              <w:rPr>
                <w:rFonts w:cs="Arial"/>
              </w:rPr>
              <w:t>Previous EITI reports have recommended that PSAs should be published and there appear to be no legal or practical barriers preventing such disclosure, since the Government passed a resolution (Number 222) on July 4,</w:t>
            </w:r>
            <w:r w:rsidRPr="00B10CF5">
              <w:rPr>
                <w:rFonts w:cs="Arial"/>
                <w:lang w:val="mn-MN"/>
              </w:rPr>
              <w:t xml:space="preserve"> 201</w:t>
            </w:r>
            <w:r w:rsidRPr="00B10CF5">
              <w:rPr>
                <w:rFonts w:cs="Arial"/>
              </w:rPr>
              <w:t xml:space="preserve">5 requiring PSAs to be published. </w:t>
            </w:r>
          </w:p>
          <w:p w:rsidR="00C27D19" w:rsidRPr="00B10CF5" w:rsidRDefault="00C27D19" w:rsidP="00883042">
            <w:pPr>
              <w:jc w:val="both"/>
              <w:rPr>
                <w:rFonts w:cs="Arial"/>
              </w:rPr>
            </w:pPr>
            <w:r w:rsidRPr="00B10CF5">
              <w:rPr>
                <w:rFonts w:cs="Arial"/>
              </w:rPr>
              <w:t xml:space="preserve">Accordingly, we recommend the National Council should engage with the necessary authorities to ensure that PSAs are duly made public.  </w:t>
            </w:r>
          </w:p>
        </w:tc>
        <w:tc>
          <w:tcPr>
            <w:tcW w:w="3510" w:type="dxa"/>
          </w:tcPr>
          <w:p w:rsidR="00C27D19" w:rsidRPr="00B10CF5" w:rsidRDefault="00883042" w:rsidP="00C23201">
            <w:pPr>
              <w:rPr>
                <w:rFonts w:cs="Arial"/>
              </w:rPr>
            </w:pPr>
            <w:r w:rsidRPr="00B10CF5">
              <w:rPr>
                <w:rFonts w:cs="Arial"/>
              </w:rPr>
              <w:t xml:space="preserve">All concluded PSAs are posted at </w:t>
            </w:r>
            <w:hyperlink r:id="rId9" w:history="1">
              <w:r w:rsidRPr="00B10CF5">
                <w:rPr>
                  <w:rStyle w:val="Hyperlink"/>
                  <w:rFonts w:cs="Arial"/>
                </w:rPr>
                <w:t>www.iltodgeree.mn</w:t>
              </w:r>
            </w:hyperlink>
            <w:r w:rsidRPr="00B10CF5">
              <w:rPr>
                <w:rFonts w:cs="Arial"/>
              </w:rPr>
              <w:t xml:space="preserve"> since April, 2019.</w:t>
            </w:r>
          </w:p>
        </w:tc>
      </w:tr>
      <w:tr w:rsidR="00C27D19" w:rsidRPr="00B10CF5" w:rsidTr="00883042">
        <w:tc>
          <w:tcPr>
            <w:tcW w:w="6115" w:type="dxa"/>
          </w:tcPr>
          <w:p w:rsidR="00C27D19" w:rsidRPr="00B10CF5" w:rsidRDefault="00C27D19" w:rsidP="00883042">
            <w:pPr>
              <w:jc w:val="both"/>
              <w:rPr>
                <w:rFonts w:cs="Arial"/>
              </w:rPr>
            </w:pPr>
            <w:r w:rsidRPr="00B10CF5">
              <w:rPr>
                <w:rFonts w:cs="Arial"/>
              </w:rPr>
              <w:t xml:space="preserve">We recommend that MRPAM should ensure that as a minimum, publicly available </w:t>
            </w:r>
            <w:proofErr w:type="spellStart"/>
            <w:r w:rsidRPr="00B10CF5">
              <w:rPr>
                <w:rFonts w:cs="Arial"/>
              </w:rPr>
              <w:t>licence</w:t>
            </w:r>
            <w:proofErr w:type="spellEnd"/>
            <w:r w:rsidRPr="00B10CF5">
              <w:rPr>
                <w:rFonts w:cs="Arial"/>
              </w:rPr>
              <w:t xml:space="preserve"> information complies in all respects with the minimum requirements of the EITI Standard for all minerals (and oil) on a timely basis and should ensure that the published information is up to date. (</w:t>
            </w:r>
            <w:r w:rsidRPr="00B10CF5">
              <w:rPr>
                <w:rFonts w:cs="Arial"/>
                <w:i/>
                <w:iCs/>
              </w:rPr>
              <w:t>recommendation made in previous years</w:t>
            </w:r>
            <w:r w:rsidRPr="00B10CF5">
              <w:rPr>
                <w:rFonts w:cs="Arial"/>
              </w:rPr>
              <w:t>)</w:t>
            </w:r>
          </w:p>
        </w:tc>
        <w:tc>
          <w:tcPr>
            <w:tcW w:w="3510" w:type="dxa"/>
          </w:tcPr>
          <w:p w:rsidR="00C27D19" w:rsidRPr="00B10CF5" w:rsidRDefault="00883042" w:rsidP="00883042">
            <w:pPr>
              <w:rPr>
                <w:rFonts w:cs="Arial"/>
              </w:rPr>
            </w:pPr>
            <w:r w:rsidRPr="00B10CF5">
              <w:rPr>
                <w:rFonts w:cs="Arial"/>
              </w:rPr>
              <w:t xml:space="preserve">MPAM are disclosing licenses, updating in timely manner is not strictly complied.  </w:t>
            </w:r>
          </w:p>
        </w:tc>
      </w:tr>
      <w:tr w:rsidR="00C27D19" w:rsidRPr="00B10CF5" w:rsidTr="00883042">
        <w:tc>
          <w:tcPr>
            <w:tcW w:w="6115" w:type="dxa"/>
          </w:tcPr>
          <w:p w:rsidR="00C27D19" w:rsidRPr="00B10CF5" w:rsidRDefault="00C27D19" w:rsidP="00C27D19">
            <w:pPr>
              <w:jc w:val="both"/>
              <w:rPr>
                <w:rFonts w:cs="Arial"/>
              </w:rPr>
            </w:pPr>
            <w:r w:rsidRPr="00B10CF5">
              <w:rPr>
                <w:rFonts w:cs="Arial"/>
              </w:rPr>
              <w:t>We recommend that the National Council and MEITI Secretariat should engage with MRPAM to ensure that this information is made available for reporting on 2018 extractive industry performance.</w:t>
            </w:r>
          </w:p>
          <w:p w:rsidR="00C27D19" w:rsidRPr="00B10CF5" w:rsidRDefault="00C27D19" w:rsidP="00C27D19">
            <w:pPr>
              <w:rPr>
                <w:rFonts w:cs="Arial"/>
              </w:rPr>
            </w:pPr>
          </w:p>
        </w:tc>
        <w:tc>
          <w:tcPr>
            <w:tcW w:w="3510" w:type="dxa"/>
          </w:tcPr>
          <w:p w:rsidR="00C27D19" w:rsidRPr="00B10CF5" w:rsidRDefault="00883042" w:rsidP="00C23201">
            <w:pPr>
              <w:rPr>
                <w:rFonts w:cs="Arial"/>
              </w:rPr>
            </w:pPr>
            <w:r w:rsidRPr="00B10CF5">
              <w:rPr>
                <w:rFonts w:cs="Arial"/>
              </w:rPr>
              <w:t>MPAM are disclosing data on production on monthly basis, but it is observed some details are missing.</w:t>
            </w:r>
          </w:p>
        </w:tc>
      </w:tr>
      <w:tr w:rsidR="00C27D19" w:rsidRPr="00B10CF5" w:rsidTr="00883042">
        <w:tc>
          <w:tcPr>
            <w:tcW w:w="6115" w:type="dxa"/>
          </w:tcPr>
          <w:p w:rsidR="00C27D19" w:rsidRPr="00B10CF5" w:rsidRDefault="00C27D19" w:rsidP="00C27D19">
            <w:pPr>
              <w:spacing w:after="120"/>
              <w:jc w:val="both"/>
              <w:rPr>
                <w:rFonts w:cs="Arial"/>
              </w:rPr>
            </w:pPr>
            <w:r w:rsidRPr="00B10CF5">
              <w:rPr>
                <w:rFonts w:cs="Arial"/>
              </w:rPr>
              <w:t>We recommend that the National Council should follow up any government department and SOE which did not provide a letter of representation signed in accordance with its requirements or which did not provide the requested audit report, and ensure that all such missing assurance documentation is provided promptly to the MEITI secretariat, to be documented in the next EITI report.</w:t>
            </w:r>
          </w:p>
          <w:p w:rsidR="00C27D19" w:rsidRPr="00B10CF5" w:rsidRDefault="00C27D19" w:rsidP="00883042">
            <w:pPr>
              <w:jc w:val="both"/>
              <w:rPr>
                <w:rFonts w:cs="Arial"/>
              </w:rPr>
            </w:pPr>
            <w:r w:rsidRPr="00B10CF5">
              <w:rPr>
                <w:rFonts w:cs="Arial"/>
              </w:rPr>
              <w:t xml:space="preserve">We recommend that the MEITI Secretariat should engage further with companies which did not use the e-Reporting system, or which did not provide the required assurance documentation so that all companies </w:t>
            </w:r>
            <w:proofErr w:type="spellStart"/>
            <w:r w:rsidRPr="00B10CF5">
              <w:rPr>
                <w:rFonts w:cs="Arial"/>
              </w:rPr>
              <w:t>recognise</w:t>
            </w:r>
            <w:proofErr w:type="spellEnd"/>
            <w:r w:rsidRPr="00B10CF5">
              <w:rPr>
                <w:rFonts w:cs="Arial"/>
              </w:rPr>
              <w:t xml:space="preserve"> the importance of these areas, with a view to compliance being improved for the next EITI report.  </w:t>
            </w:r>
          </w:p>
        </w:tc>
        <w:tc>
          <w:tcPr>
            <w:tcW w:w="3510" w:type="dxa"/>
          </w:tcPr>
          <w:p w:rsidR="00C27D19" w:rsidRPr="00B10CF5" w:rsidRDefault="00883042" w:rsidP="00883042">
            <w:pPr>
              <w:rPr>
                <w:rFonts w:cs="Arial"/>
              </w:rPr>
            </w:pPr>
            <w:r w:rsidRPr="00B10CF5">
              <w:rPr>
                <w:rFonts w:cs="Arial"/>
              </w:rPr>
              <w:t xml:space="preserve">A legal working group has been established at MMHI, which will draft a bill on transparency in mineral resources sector again, so this work is scheduled to cover this issue. </w:t>
            </w:r>
          </w:p>
        </w:tc>
      </w:tr>
      <w:tr w:rsidR="00C27D19" w:rsidRPr="00B10CF5" w:rsidTr="00883042">
        <w:tc>
          <w:tcPr>
            <w:tcW w:w="6115" w:type="dxa"/>
          </w:tcPr>
          <w:p w:rsidR="00C27D19" w:rsidRPr="00B10CF5" w:rsidRDefault="00C27D19" w:rsidP="00883042">
            <w:pPr>
              <w:jc w:val="both"/>
              <w:rPr>
                <w:rFonts w:eastAsia="Arial" w:cs="Arial"/>
              </w:rPr>
            </w:pPr>
            <w:r w:rsidRPr="00B10CF5">
              <w:rPr>
                <w:rFonts w:cs="Arial"/>
                <w:lang w:bidi="en-US"/>
              </w:rPr>
              <w:t xml:space="preserve">We recommend that the National Council and MSWG should provide support to resolve these issues and to increase the understanding of the CGA management on the legal grounds of the EITI in order to assist CGA with the submission of more accurate initial reports for EITI.   </w:t>
            </w:r>
          </w:p>
        </w:tc>
        <w:tc>
          <w:tcPr>
            <w:tcW w:w="3510" w:type="dxa"/>
          </w:tcPr>
          <w:p w:rsidR="00C27D19" w:rsidRPr="00B10CF5" w:rsidRDefault="00883042" w:rsidP="00C23201">
            <w:pPr>
              <w:rPr>
                <w:rFonts w:cs="Arial"/>
              </w:rPr>
            </w:pPr>
            <w:r w:rsidRPr="00B10CF5">
              <w:rPr>
                <w:rFonts w:cs="Arial"/>
              </w:rPr>
              <w:t>There is basement to consider attitude of CGA is slightly becoming positive.</w:t>
            </w:r>
          </w:p>
        </w:tc>
      </w:tr>
      <w:tr w:rsidR="00C27D19" w:rsidRPr="00B10CF5" w:rsidTr="00883042">
        <w:tc>
          <w:tcPr>
            <w:tcW w:w="6115" w:type="dxa"/>
          </w:tcPr>
          <w:p w:rsidR="00C27D19" w:rsidRPr="00B10CF5" w:rsidRDefault="00C27D19" w:rsidP="00883042">
            <w:pPr>
              <w:jc w:val="both"/>
              <w:rPr>
                <w:rFonts w:cs="Arial"/>
              </w:rPr>
            </w:pPr>
            <w:r w:rsidRPr="00B10CF5">
              <w:rPr>
                <w:rFonts w:cs="Arial"/>
              </w:rPr>
              <w:t xml:space="preserve">We recommend that the MSWG, advised by the MEITI secretariat, should specify the standard </w:t>
            </w:r>
            <w:proofErr w:type="spellStart"/>
            <w:r w:rsidRPr="00B10CF5">
              <w:rPr>
                <w:rFonts w:cs="Arial"/>
              </w:rPr>
              <w:t>non revenue</w:t>
            </w:r>
            <w:proofErr w:type="spellEnd"/>
            <w:r w:rsidRPr="00B10CF5">
              <w:rPr>
                <w:rFonts w:cs="Arial"/>
              </w:rPr>
              <w:t xml:space="preserve"> information which will be required each year to meet the requirements of the EITI Standard and request the relevant government entities to be prepared to provide the data for the next EITI report, if it is not already published. </w:t>
            </w:r>
          </w:p>
        </w:tc>
        <w:tc>
          <w:tcPr>
            <w:tcW w:w="3510" w:type="dxa"/>
          </w:tcPr>
          <w:p w:rsidR="00C27D19" w:rsidRPr="00B10CF5" w:rsidRDefault="00883042" w:rsidP="00C23201">
            <w:pPr>
              <w:rPr>
                <w:rFonts w:cs="Arial"/>
              </w:rPr>
            </w:pPr>
            <w:r w:rsidRPr="00B10CF5">
              <w:rPr>
                <w:rFonts w:cs="Arial"/>
              </w:rPr>
              <w:t>A legal working group has been established at MMHI, which will draft a bill on transparency in mineral resources sector again, so this work is scheduled to cover this issue.</w:t>
            </w:r>
          </w:p>
        </w:tc>
      </w:tr>
      <w:tr w:rsidR="00C27D19" w:rsidRPr="00B10CF5" w:rsidTr="00883042">
        <w:tc>
          <w:tcPr>
            <w:tcW w:w="6115" w:type="dxa"/>
          </w:tcPr>
          <w:p w:rsidR="00C27D19" w:rsidRPr="00B10CF5" w:rsidRDefault="00C27D19" w:rsidP="00C27D19">
            <w:pPr>
              <w:spacing w:after="120"/>
              <w:jc w:val="both"/>
              <w:rPr>
                <w:rFonts w:cs="Arial"/>
              </w:rPr>
            </w:pPr>
            <w:r w:rsidRPr="00B10CF5">
              <w:rPr>
                <w:rFonts w:cs="Arial"/>
              </w:rPr>
              <w:t xml:space="preserve">We recommend that the requirement to disclose beneficial ownership is included in the Law on Transparency in the Extractive Industry, nullifying the limitations in other laws and improving consistency between the laws. </w:t>
            </w:r>
          </w:p>
          <w:p w:rsidR="00C27D19" w:rsidRPr="00B10CF5" w:rsidRDefault="00C27D19" w:rsidP="00883042">
            <w:pPr>
              <w:jc w:val="both"/>
              <w:rPr>
                <w:rFonts w:cs="Arial"/>
              </w:rPr>
            </w:pPr>
            <w:r w:rsidRPr="00B10CF5">
              <w:rPr>
                <w:rFonts w:cs="Arial"/>
              </w:rPr>
              <w:lastRenderedPageBreak/>
              <w:t xml:space="preserve">We further recommend that training sessions </w:t>
            </w:r>
            <w:r w:rsidRPr="00B10CF5">
              <w:rPr>
                <w:rFonts w:cs="Arial"/>
                <w:lang w:val="mn-MN"/>
              </w:rPr>
              <w:t xml:space="preserve"> </w:t>
            </w:r>
            <w:r w:rsidRPr="00B10CF5">
              <w:rPr>
                <w:rFonts w:cs="Arial"/>
              </w:rPr>
              <w:t>and multi stage discussions are arranged for the companies.</w:t>
            </w:r>
          </w:p>
        </w:tc>
        <w:tc>
          <w:tcPr>
            <w:tcW w:w="3510" w:type="dxa"/>
          </w:tcPr>
          <w:p w:rsidR="00C27D19" w:rsidRPr="00B10CF5" w:rsidRDefault="00883042" w:rsidP="00C23201">
            <w:pPr>
              <w:rPr>
                <w:rFonts w:cs="Arial"/>
              </w:rPr>
            </w:pPr>
            <w:r w:rsidRPr="00B10CF5">
              <w:rPr>
                <w:rFonts w:cs="Arial"/>
              </w:rPr>
              <w:lastRenderedPageBreak/>
              <w:t>A legal working group has been established at MMHI, which will draft a bill on transparency in mineral resources sector again, so this work is scheduled to cover this issue.</w:t>
            </w:r>
          </w:p>
        </w:tc>
      </w:tr>
      <w:tr w:rsidR="00C27D19" w:rsidRPr="00B10CF5" w:rsidTr="00883042">
        <w:tc>
          <w:tcPr>
            <w:tcW w:w="6115" w:type="dxa"/>
          </w:tcPr>
          <w:p w:rsidR="00C27D19" w:rsidRPr="00B10CF5" w:rsidRDefault="00C27D19" w:rsidP="00883042">
            <w:pPr>
              <w:jc w:val="both"/>
              <w:rPr>
                <w:rFonts w:cs="Arial"/>
              </w:rPr>
            </w:pPr>
            <w:r w:rsidRPr="00B10CF5">
              <w:rPr>
                <w:rFonts w:cs="Arial"/>
              </w:rPr>
              <w:t xml:space="preserve">We recommend that a suitably qualified body, such as the MNAO, should follow up the matters raised in the SOE reports which were qualified, so that the relevant SOEs are required to make improvements on the areas identified, and should in particular </w:t>
            </w:r>
            <w:r w:rsidRPr="00B10CF5">
              <w:rPr>
                <w:rFonts w:cs="Arial"/>
                <w:lang w:bidi="en-US"/>
              </w:rPr>
              <w:t xml:space="preserve">consider the incorrect material representation relating to the stock valuation of </w:t>
            </w:r>
            <w:proofErr w:type="spellStart"/>
            <w:r w:rsidRPr="00B10CF5">
              <w:rPr>
                <w:rFonts w:cs="Arial"/>
                <w:lang w:bidi="en-US"/>
              </w:rPr>
              <w:t>Erdenes</w:t>
            </w:r>
            <w:proofErr w:type="spellEnd"/>
            <w:r w:rsidRPr="00B10CF5">
              <w:rPr>
                <w:rFonts w:cs="Arial"/>
                <w:lang w:bidi="en-US"/>
              </w:rPr>
              <w:t xml:space="preserve"> </w:t>
            </w:r>
            <w:proofErr w:type="spellStart"/>
            <w:r w:rsidRPr="00B10CF5">
              <w:rPr>
                <w:rFonts w:cs="Arial"/>
                <w:lang w:bidi="en-US"/>
              </w:rPr>
              <w:t>Tavantolgoi</w:t>
            </w:r>
            <w:proofErr w:type="spellEnd"/>
            <w:r w:rsidRPr="00B10CF5">
              <w:rPr>
                <w:rFonts w:cs="Arial"/>
                <w:lang w:bidi="en-US"/>
              </w:rPr>
              <w:t xml:space="preserve"> JSC and give its own opinion on the correctness of financial statements</w:t>
            </w:r>
            <w:r w:rsidR="00883042" w:rsidRPr="00B10CF5">
              <w:rPr>
                <w:rFonts w:cs="Arial"/>
                <w:lang w:bidi="en-US"/>
              </w:rPr>
              <w:t>.</w:t>
            </w:r>
          </w:p>
        </w:tc>
        <w:tc>
          <w:tcPr>
            <w:tcW w:w="3510" w:type="dxa"/>
          </w:tcPr>
          <w:p w:rsidR="00C27D19" w:rsidRPr="00B10CF5" w:rsidRDefault="003421D0" w:rsidP="003421D0">
            <w:pPr>
              <w:rPr>
                <w:rFonts w:cs="Arial"/>
              </w:rPr>
            </w:pPr>
            <w:r w:rsidRPr="00B10CF5">
              <w:rPr>
                <w:rFonts w:cs="Arial"/>
              </w:rPr>
              <w:t xml:space="preserve">Audit reports of SOEs are available at audit report section of </w:t>
            </w:r>
            <w:hyperlink r:id="rId10" w:history="1">
              <w:r w:rsidRPr="00B10CF5">
                <w:rPr>
                  <w:rStyle w:val="Hyperlink"/>
                  <w:rFonts w:cs="Arial"/>
                </w:rPr>
                <w:t>www.audit.mn</w:t>
              </w:r>
            </w:hyperlink>
            <w:r w:rsidRPr="00B10CF5">
              <w:rPr>
                <w:rFonts w:cs="Arial"/>
              </w:rPr>
              <w:t>.</w:t>
            </w:r>
          </w:p>
        </w:tc>
      </w:tr>
      <w:tr w:rsidR="003421D0" w:rsidRPr="00B10CF5" w:rsidTr="00883042">
        <w:tc>
          <w:tcPr>
            <w:tcW w:w="6115" w:type="dxa"/>
          </w:tcPr>
          <w:p w:rsidR="003421D0" w:rsidRPr="00B10CF5" w:rsidRDefault="003421D0" w:rsidP="003421D0">
            <w:pPr>
              <w:jc w:val="both"/>
              <w:rPr>
                <w:rFonts w:cs="Arial"/>
              </w:rPr>
            </w:pPr>
            <w:r w:rsidRPr="00B10CF5">
              <w:rPr>
                <w:rFonts w:cs="Arial"/>
              </w:rPr>
              <w:t>We recommend that the complete audited financial statements for all extractive SOEs should be published on the internet via, for example, the website of MNAO, the relevant SOE, MEITI or MRPAM.</w:t>
            </w:r>
          </w:p>
        </w:tc>
        <w:tc>
          <w:tcPr>
            <w:tcW w:w="3510" w:type="dxa"/>
          </w:tcPr>
          <w:p w:rsidR="003421D0" w:rsidRPr="00B10CF5" w:rsidRDefault="003421D0" w:rsidP="003421D0">
            <w:pPr>
              <w:rPr>
                <w:rFonts w:cs="Arial"/>
              </w:rPr>
            </w:pPr>
            <w:r w:rsidRPr="00B10CF5">
              <w:rPr>
                <w:rFonts w:cs="Arial"/>
              </w:rPr>
              <w:t xml:space="preserve">Audit reports of SOEs are available at audit report section of </w:t>
            </w:r>
            <w:hyperlink r:id="rId11" w:history="1">
              <w:r w:rsidRPr="00B10CF5">
                <w:rPr>
                  <w:rStyle w:val="Hyperlink"/>
                  <w:rFonts w:cs="Arial"/>
                </w:rPr>
                <w:t>www.audit.mn</w:t>
              </w:r>
            </w:hyperlink>
            <w:r w:rsidRPr="00B10CF5">
              <w:rPr>
                <w:rFonts w:cs="Arial"/>
              </w:rPr>
              <w:t>.</w:t>
            </w:r>
          </w:p>
        </w:tc>
      </w:tr>
      <w:tr w:rsidR="003421D0" w:rsidRPr="00B10CF5" w:rsidTr="00883042">
        <w:tc>
          <w:tcPr>
            <w:tcW w:w="6115" w:type="dxa"/>
          </w:tcPr>
          <w:p w:rsidR="003421D0" w:rsidRPr="00B10CF5" w:rsidRDefault="003421D0" w:rsidP="003421D0">
            <w:pPr>
              <w:jc w:val="both"/>
              <w:rPr>
                <w:rFonts w:cs="Arial"/>
              </w:rPr>
            </w:pPr>
            <w:r w:rsidRPr="00B10CF5">
              <w:rPr>
                <w:rFonts w:cs="Arial"/>
              </w:rPr>
              <w:t>We recommend that the MEITI Secretariat should amend the e-Reporting templates to facilitate the gathering of information by project.</w:t>
            </w:r>
          </w:p>
        </w:tc>
        <w:tc>
          <w:tcPr>
            <w:tcW w:w="3510" w:type="dxa"/>
          </w:tcPr>
          <w:p w:rsidR="003421D0" w:rsidRPr="00B10CF5" w:rsidRDefault="003421D0" w:rsidP="003421D0">
            <w:pPr>
              <w:rPr>
                <w:rFonts w:cs="Arial"/>
              </w:rPr>
            </w:pPr>
            <w:r w:rsidRPr="00B10CF5">
              <w:rPr>
                <w:rFonts w:cs="Arial"/>
              </w:rPr>
              <w:t xml:space="preserve">Relevant templates are updated, will be approved by MSG and National Council, then submitted to National Statistical Committee for endorsement, a respective </w:t>
            </w:r>
            <w:proofErr w:type="spellStart"/>
            <w:r w:rsidRPr="00B10CF5">
              <w:rPr>
                <w:rFonts w:cs="Arial"/>
              </w:rPr>
              <w:t>activitiy</w:t>
            </w:r>
            <w:proofErr w:type="spellEnd"/>
            <w:r w:rsidRPr="00B10CF5">
              <w:rPr>
                <w:rFonts w:cs="Arial"/>
              </w:rPr>
              <w:t xml:space="preserve"> is available in 2020 workplan. </w:t>
            </w:r>
          </w:p>
        </w:tc>
      </w:tr>
      <w:tr w:rsidR="003421D0" w:rsidRPr="00B10CF5" w:rsidTr="00883042">
        <w:tc>
          <w:tcPr>
            <w:tcW w:w="6115" w:type="dxa"/>
          </w:tcPr>
          <w:p w:rsidR="003421D0" w:rsidRPr="00B10CF5" w:rsidRDefault="003421D0" w:rsidP="003421D0">
            <w:pPr>
              <w:spacing w:after="120"/>
              <w:jc w:val="both"/>
              <w:rPr>
                <w:rFonts w:cs="Arial"/>
              </w:rPr>
            </w:pPr>
            <w:r w:rsidRPr="00B10CF5">
              <w:rPr>
                <w:rFonts w:cs="Arial"/>
              </w:rPr>
              <w:t>We recommend that the MSWG should request MRPAM to investigate this further and the Ministry of Finance should review the accounts of the company to determine whether the financial statements of the company have been properly expressed and are compliant with the requirements of Mongolian law; and given the materiality of PetroChina to EITI reporting, that the MSWG should be provided with the results of these investigations so that it may be satisfied that that EITI reporting is being properly carried out.</w:t>
            </w:r>
          </w:p>
          <w:p w:rsidR="003421D0" w:rsidRPr="00B10CF5" w:rsidRDefault="003421D0" w:rsidP="003421D0">
            <w:pPr>
              <w:spacing w:after="120"/>
              <w:jc w:val="both"/>
              <w:rPr>
                <w:rFonts w:cs="Arial"/>
              </w:rPr>
            </w:pPr>
            <w:r w:rsidRPr="00B10CF5">
              <w:rPr>
                <w:rFonts w:cs="Arial"/>
              </w:rPr>
              <w:t xml:space="preserve">We recommend that the MSWG should develop and implement a policy on public participation to ensure the transparency of financial information of mining and petroleum companies. </w:t>
            </w:r>
          </w:p>
          <w:p w:rsidR="003421D0" w:rsidRPr="00B10CF5" w:rsidRDefault="003421D0" w:rsidP="003421D0">
            <w:pPr>
              <w:jc w:val="both"/>
              <w:rPr>
                <w:rFonts w:cs="Arial"/>
              </w:rPr>
            </w:pPr>
            <w:r w:rsidRPr="00B10CF5">
              <w:rPr>
                <w:rFonts w:cs="Arial"/>
              </w:rPr>
              <w:t xml:space="preserve">Pursuant to the Resolution # 222 of the Government in 2012, the confidentiality provisions of relevant laws were nullified for the purpose of information to be used in the EITI. But the state officials are not fully aware of this, so that the financial reports of mining companies are still not fully transparent. </w:t>
            </w:r>
          </w:p>
        </w:tc>
        <w:tc>
          <w:tcPr>
            <w:tcW w:w="3510" w:type="dxa"/>
          </w:tcPr>
          <w:p w:rsidR="003421D0" w:rsidRPr="00B10CF5" w:rsidRDefault="003421D0" w:rsidP="003421D0">
            <w:pPr>
              <w:rPr>
                <w:rFonts w:cs="Arial"/>
              </w:rPr>
            </w:pPr>
            <w:r w:rsidRPr="00B10CF5">
              <w:rPr>
                <w:rFonts w:cs="Arial"/>
              </w:rPr>
              <w:t>Many EITI activities have not been implemented because of financial gap.</w:t>
            </w:r>
          </w:p>
          <w:p w:rsidR="003421D0" w:rsidRPr="00B10CF5" w:rsidRDefault="003421D0" w:rsidP="003421D0">
            <w:pPr>
              <w:rPr>
                <w:rFonts w:cs="Arial"/>
              </w:rPr>
            </w:pPr>
          </w:p>
          <w:p w:rsidR="003421D0" w:rsidRPr="00B10CF5" w:rsidRDefault="003421D0" w:rsidP="003421D0">
            <w:pPr>
              <w:rPr>
                <w:rFonts w:cs="Arial"/>
              </w:rPr>
            </w:pPr>
          </w:p>
          <w:p w:rsidR="003421D0" w:rsidRPr="00B10CF5" w:rsidRDefault="003421D0" w:rsidP="003421D0">
            <w:pPr>
              <w:rPr>
                <w:rFonts w:cs="Arial"/>
              </w:rPr>
            </w:pPr>
          </w:p>
          <w:p w:rsidR="003421D0" w:rsidRPr="00B10CF5" w:rsidRDefault="003421D0" w:rsidP="003421D0">
            <w:pPr>
              <w:rPr>
                <w:rFonts w:cs="Arial"/>
              </w:rPr>
            </w:pPr>
          </w:p>
          <w:p w:rsidR="003421D0" w:rsidRPr="00B10CF5" w:rsidRDefault="003421D0" w:rsidP="003421D0">
            <w:pPr>
              <w:rPr>
                <w:rFonts w:cs="Arial"/>
              </w:rPr>
            </w:pPr>
          </w:p>
          <w:p w:rsidR="003421D0" w:rsidRPr="00B10CF5" w:rsidRDefault="003421D0" w:rsidP="003421D0">
            <w:pPr>
              <w:rPr>
                <w:rFonts w:cs="Arial"/>
              </w:rPr>
            </w:pPr>
          </w:p>
          <w:p w:rsidR="003421D0" w:rsidRPr="00B10CF5" w:rsidRDefault="003421D0" w:rsidP="003421D0">
            <w:pPr>
              <w:rPr>
                <w:rFonts w:cs="Arial"/>
              </w:rPr>
            </w:pPr>
            <w:r w:rsidRPr="00B10CF5">
              <w:rPr>
                <w:rFonts w:cs="Arial"/>
              </w:rPr>
              <w:t>The issue can be resolved with passing a bill on transparency in mineral resources sector.</w:t>
            </w:r>
            <w:r w:rsidR="00F16D70" w:rsidRPr="00B10CF5">
              <w:rPr>
                <w:rFonts w:cs="Arial"/>
              </w:rPr>
              <w:t xml:space="preserve"> 2020 Work plan will assist in resolving financial issues, it can be more clear.</w:t>
            </w:r>
          </w:p>
        </w:tc>
      </w:tr>
    </w:tbl>
    <w:p w:rsidR="00883042" w:rsidRPr="00B10CF5" w:rsidRDefault="00883042" w:rsidP="005D3930">
      <w:pPr>
        <w:pStyle w:val="Heading1"/>
        <w:tabs>
          <w:tab w:val="left" w:pos="2254"/>
        </w:tabs>
        <w:rPr>
          <w:sz w:val="22"/>
          <w:szCs w:val="22"/>
        </w:rPr>
      </w:pPr>
    </w:p>
    <w:p w:rsidR="00FF0C48" w:rsidRPr="00B10CF5" w:rsidRDefault="002159EC" w:rsidP="005D3930">
      <w:pPr>
        <w:pStyle w:val="Heading1"/>
        <w:tabs>
          <w:tab w:val="left" w:pos="2254"/>
        </w:tabs>
        <w:rPr>
          <w:sz w:val="22"/>
          <w:szCs w:val="22"/>
        </w:rPr>
      </w:pPr>
      <w:bookmarkStart w:id="17" w:name="_Toc28686588"/>
      <w:r w:rsidRPr="00B10CF5">
        <w:rPr>
          <w:sz w:val="22"/>
          <w:szCs w:val="22"/>
        </w:rPr>
        <w:t>Five</w:t>
      </w:r>
      <w:r w:rsidR="00966375" w:rsidRPr="00B10CF5">
        <w:rPr>
          <w:sz w:val="22"/>
          <w:szCs w:val="22"/>
          <w:lang w:val="mn-MN"/>
        </w:rPr>
        <w:t>.</w:t>
      </w:r>
      <w:r w:rsidR="00DF733F" w:rsidRPr="00B10CF5">
        <w:rPr>
          <w:sz w:val="22"/>
          <w:szCs w:val="22"/>
        </w:rPr>
        <w:t xml:space="preserve"> </w:t>
      </w:r>
      <w:r w:rsidRPr="00B10CF5">
        <w:rPr>
          <w:sz w:val="22"/>
          <w:szCs w:val="22"/>
        </w:rPr>
        <w:t>Specific weaknesses, identified in the Mongolia EITI process</w:t>
      </w:r>
      <w:r w:rsidR="003F0EC9" w:rsidRPr="00B10CF5">
        <w:rPr>
          <w:sz w:val="22"/>
          <w:szCs w:val="22"/>
        </w:rPr>
        <w:t>, responses and lessons learnt</w:t>
      </w:r>
      <w:bookmarkEnd w:id="17"/>
      <w:r w:rsidRPr="00B10CF5">
        <w:rPr>
          <w:sz w:val="22"/>
          <w:szCs w:val="22"/>
        </w:rPr>
        <w:t xml:space="preserve"> </w:t>
      </w:r>
    </w:p>
    <w:p w:rsidR="002F52C5" w:rsidRPr="00B10CF5" w:rsidRDefault="00545C5D" w:rsidP="005D3930">
      <w:pPr>
        <w:pStyle w:val="ListParagraph"/>
        <w:numPr>
          <w:ilvl w:val="1"/>
          <w:numId w:val="3"/>
        </w:numPr>
        <w:tabs>
          <w:tab w:val="left" w:pos="2254"/>
        </w:tabs>
        <w:spacing w:after="0" w:line="240" w:lineRule="auto"/>
        <w:ind w:right="-720"/>
        <w:jc w:val="both"/>
        <w:rPr>
          <w:rFonts w:cs="Arial"/>
          <w:color w:val="000000" w:themeColor="text1"/>
          <w:lang w:val="mn-MN"/>
        </w:rPr>
      </w:pPr>
      <w:r w:rsidRPr="00B10CF5">
        <w:rPr>
          <w:rFonts w:cs="Arial"/>
          <w:color w:val="000000" w:themeColor="text1"/>
        </w:rPr>
        <w:t>Mongolia EITI has produced 1</w:t>
      </w:r>
      <w:r w:rsidR="003F0EC9" w:rsidRPr="00B10CF5">
        <w:rPr>
          <w:rFonts w:cs="Arial"/>
          <w:color w:val="000000" w:themeColor="text1"/>
        </w:rPr>
        <w:t>3</w:t>
      </w:r>
      <w:r w:rsidRPr="00B10CF5">
        <w:rPr>
          <w:rFonts w:cs="Arial"/>
          <w:color w:val="000000" w:themeColor="text1"/>
        </w:rPr>
        <w:t xml:space="preserve"> Annual Reports and number of companies covered in the reports is increasing, but still number of companies which are not reporting stays high. It is estimated that at least </w:t>
      </w:r>
      <w:r w:rsidR="00F145E6" w:rsidRPr="00B10CF5">
        <w:rPr>
          <w:rFonts w:cs="Arial"/>
          <w:color w:val="000000" w:themeColor="text1"/>
        </w:rPr>
        <w:t>5</w:t>
      </w:r>
      <w:r w:rsidRPr="00B10CF5">
        <w:rPr>
          <w:rFonts w:cs="Arial"/>
          <w:color w:val="000000" w:themeColor="text1"/>
        </w:rPr>
        <w:t>00 companies should report for EITI</w:t>
      </w:r>
      <w:r w:rsidR="00760AB4" w:rsidRPr="00B10CF5">
        <w:rPr>
          <w:rFonts w:cs="Arial"/>
          <w:color w:val="000000" w:themeColor="text1"/>
        </w:rPr>
        <w:t xml:space="preserve"> and under newly passed law on administrative violations, which is effective since July 1</w:t>
      </w:r>
      <w:r w:rsidR="00760AB4" w:rsidRPr="00B10CF5">
        <w:rPr>
          <w:rFonts w:cs="Arial"/>
          <w:color w:val="000000" w:themeColor="text1"/>
          <w:vertAlign w:val="superscript"/>
        </w:rPr>
        <w:t>st</w:t>
      </w:r>
      <w:r w:rsidR="00760AB4" w:rsidRPr="00B10CF5">
        <w:rPr>
          <w:rFonts w:cs="Arial"/>
          <w:color w:val="000000" w:themeColor="text1"/>
        </w:rPr>
        <w:t xml:space="preserve">, 2017, </w:t>
      </w:r>
      <w:r w:rsidR="005D3930" w:rsidRPr="00B10CF5">
        <w:rPr>
          <w:rFonts w:cs="Arial"/>
          <w:color w:val="000000" w:themeColor="text1"/>
        </w:rPr>
        <w:t>non-complied</w:t>
      </w:r>
      <w:r w:rsidR="00760AB4" w:rsidRPr="00B10CF5">
        <w:rPr>
          <w:rFonts w:cs="Arial"/>
          <w:color w:val="000000" w:themeColor="text1"/>
        </w:rPr>
        <w:t xml:space="preserve"> Companies shall be fined by 10 million MNT. </w:t>
      </w:r>
      <w:r w:rsidR="005D3930" w:rsidRPr="00B10CF5">
        <w:rPr>
          <w:rFonts w:cs="Arial"/>
          <w:color w:val="000000" w:themeColor="text1"/>
        </w:rPr>
        <w:t xml:space="preserve">The most companies are </w:t>
      </w:r>
      <w:r w:rsidR="003F0EC9" w:rsidRPr="00B10CF5">
        <w:rPr>
          <w:rFonts w:cs="Arial"/>
          <w:color w:val="000000" w:themeColor="text1"/>
        </w:rPr>
        <w:t xml:space="preserve">not </w:t>
      </w:r>
      <w:r w:rsidR="005D3930" w:rsidRPr="00B10CF5">
        <w:rPr>
          <w:rFonts w:cs="Arial"/>
          <w:color w:val="000000" w:themeColor="text1"/>
        </w:rPr>
        <w:t xml:space="preserve">agreeing to this fine, as result there are cases of misunderstanding between Professional Inspectorate and </w:t>
      </w:r>
      <w:r w:rsidR="00F145E6" w:rsidRPr="00B10CF5">
        <w:rPr>
          <w:rFonts w:cs="Arial"/>
          <w:color w:val="000000" w:themeColor="text1"/>
        </w:rPr>
        <w:t>EITI</w:t>
      </w:r>
      <w:r w:rsidR="005D3930" w:rsidRPr="00B10CF5">
        <w:rPr>
          <w:rFonts w:cs="Arial"/>
          <w:color w:val="000000" w:themeColor="text1"/>
        </w:rPr>
        <w:t xml:space="preserve"> Secretariat.</w:t>
      </w:r>
    </w:p>
    <w:p w:rsidR="00C51784" w:rsidRPr="00B10CF5" w:rsidRDefault="00C51784" w:rsidP="005D3930">
      <w:pPr>
        <w:pStyle w:val="ListParagraph"/>
        <w:tabs>
          <w:tab w:val="left" w:pos="2254"/>
        </w:tabs>
        <w:spacing w:after="0" w:line="240" w:lineRule="auto"/>
        <w:ind w:right="-720"/>
        <w:jc w:val="both"/>
        <w:rPr>
          <w:rFonts w:cs="Arial"/>
          <w:color w:val="000000" w:themeColor="text1"/>
          <w:lang w:val="mn-MN"/>
        </w:rPr>
      </w:pPr>
    </w:p>
    <w:p w:rsidR="00221FC2" w:rsidRPr="00B10CF5" w:rsidRDefault="00760AB4" w:rsidP="005D3930">
      <w:pPr>
        <w:pStyle w:val="ListParagraph"/>
        <w:numPr>
          <w:ilvl w:val="1"/>
          <w:numId w:val="3"/>
        </w:numPr>
        <w:tabs>
          <w:tab w:val="left" w:pos="2254"/>
        </w:tabs>
        <w:spacing w:after="0" w:line="240" w:lineRule="auto"/>
        <w:ind w:right="-720"/>
        <w:jc w:val="both"/>
        <w:rPr>
          <w:rFonts w:cs="Arial"/>
          <w:color w:val="000000" w:themeColor="text1"/>
          <w:lang w:val="mn-MN"/>
        </w:rPr>
      </w:pPr>
      <w:r w:rsidRPr="00B10CF5">
        <w:rPr>
          <w:rFonts w:cs="Arial"/>
          <w:color w:val="000000" w:themeColor="text1"/>
        </w:rPr>
        <w:lastRenderedPageBreak/>
        <w:t xml:space="preserve">Some Government entities are still ignoring to answer to questions and not cooperating with Independent </w:t>
      </w:r>
      <w:r w:rsidR="00221FC2" w:rsidRPr="00B10CF5">
        <w:rPr>
          <w:rFonts w:cs="Arial"/>
          <w:color w:val="000000" w:themeColor="text1"/>
        </w:rPr>
        <w:t>Administrator, example is about Customs Office. The issue needs to be resolved through clarification of legislative acts.</w:t>
      </w:r>
    </w:p>
    <w:p w:rsidR="00221FC2" w:rsidRPr="00B10CF5" w:rsidRDefault="00221FC2" w:rsidP="005D3930">
      <w:pPr>
        <w:pStyle w:val="ListParagraph"/>
        <w:tabs>
          <w:tab w:val="left" w:pos="2254"/>
        </w:tabs>
        <w:rPr>
          <w:rFonts w:cs="Arial"/>
          <w:color w:val="000000" w:themeColor="text1"/>
          <w:lang w:val="mn-MN"/>
        </w:rPr>
      </w:pPr>
    </w:p>
    <w:p w:rsidR="00C51784" w:rsidRPr="00B10CF5" w:rsidRDefault="00221FC2" w:rsidP="005D3930">
      <w:pPr>
        <w:pStyle w:val="ListParagraph"/>
        <w:numPr>
          <w:ilvl w:val="1"/>
          <w:numId w:val="3"/>
        </w:numPr>
        <w:tabs>
          <w:tab w:val="left" w:pos="2254"/>
        </w:tabs>
        <w:spacing w:after="0" w:line="240" w:lineRule="auto"/>
        <w:ind w:right="-720"/>
        <w:jc w:val="both"/>
        <w:rPr>
          <w:rFonts w:cs="Arial"/>
          <w:color w:val="000000" w:themeColor="text1"/>
          <w:lang w:val="mn-MN"/>
        </w:rPr>
      </w:pPr>
      <w:r w:rsidRPr="00B10CF5">
        <w:rPr>
          <w:rFonts w:cs="Arial"/>
          <w:color w:val="000000" w:themeColor="text1"/>
        </w:rPr>
        <w:t xml:space="preserve">Usage of information produced by EITI Annual Report is not high enough.  This should be improved through identifying and segmenting by focus group, and processing </w:t>
      </w:r>
      <w:r w:rsidR="002C0831" w:rsidRPr="00B10CF5">
        <w:rPr>
          <w:rFonts w:cs="Arial"/>
          <w:color w:val="000000" w:themeColor="text1"/>
        </w:rPr>
        <w:t xml:space="preserve">in easier and </w:t>
      </w:r>
      <w:r w:rsidR="005D3930" w:rsidRPr="00B10CF5">
        <w:rPr>
          <w:rFonts w:cs="Arial"/>
          <w:color w:val="000000" w:themeColor="text1"/>
        </w:rPr>
        <w:t>accessible</w:t>
      </w:r>
      <w:r w:rsidR="002C0831" w:rsidRPr="00B10CF5">
        <w:rPr>
          <w:rFonts w:cs="Arial"/>
          <w:color w:val="000000" w:themeColor="text1"/>
        </w:rPr>
        <w:t xml:space="preserve"> language, with some printed materials and training packages, and promote and activate such activities.</w:t>
      </w:r>
      <w:r w:rsidR="002C0831" w:rsidRPr="00B10CF5">
        <w:rPr>
          <w:rFonts w:cs="Arial"/>
          <w:color w:val="000000" w:themeColor="text1"/>
          <w:lang w:val="mn-MN"/>
        </w:rPr>
        <w:t xml:space="preserve"> </w:t>
      </w:r>
    </w:p>
    <w:p w:rsidR="002C0831" w:rsidRPr="00B10CF5" w:rsidRDefault="002C0831" w:rsidP="005D3930">
      <w:pPr>
        <w:pStyle w:val="ListParagraph"/>
        <w:tabs>
          <w:tab w:val="left" w:pos="2254"/>
        </w:tabs>
        <w:spacing w:after="0" w:line="240" w:lineRule="auto"/>
        <w:ind w:right="-720"/>
        <w:jc w:val="both"/>
        <w:rPr>
          <w:rFonts w:cs="Arial"/>
          <w:color w:val="000000" w:themeColor="text1"/>
          <w:lang w:val="mn-MN"/>
        </w:rPr>
      </w:pPr>
    </w:p>
    <w:p w:rsidR="002C0831" w:rsidRPr="00B10CF5" w:rsidRDefault="002C0831" w:rsidP="005D3930">
      <w:pPr>
        <w:pStyle w:val="ListParagraph"/>
        <w:numPr>
          <w:ilvl w:val="1"/>
          <w:numId w:val="3"/>
        </w:numPr>
        <w:tabs>
          <w:tab w:val="left" w:pos="2254"/>
        </w:tabs>
        <w:spacing w:after="0" w:line="240" w:lineRule="auto"/>
        <w:ind w:right="-720"/>
        <w:jc w:val="both"/>
        <w:rPr>
          <w:rFonts w:cs="Arial"/>
          <w:color w:val="000000" w:themeColor="text1"/>
          <w:lang w:val="mn-MN"/>
        </w:rPr>
      </w:pPr>
      <w:r w:rsidRPr="00B10CF5">
        <w:rPr>
          <w:rFonts w:cs="Arial"/>
          <w:color w:val="000000" w:themeColor="text1"/>
        </w:rPr>
        <w:t>Sufficient number of planned activities under Mongolia EITI Work Plan should be carried out by those Professional associations, and Civil Society organizations under principle of contracting. This shall create opportunities for improving involvement and contribution of professional organizations.</w:t>
      </w:r>
      <w:r w:rsidR="003F0EC9" w:rsidRPr="00B10CF5">
        <w:rPr>
          <w:rFonts w:cs="Arial"/>
          <w:color w:val="000000" w:themeColor="text1"/>
        </w:rPr>
        <w:t xml:space="preserve"> The 2020 work plan has action on contractual basis, which should be agreed with donors beforehand.</w:t>
      </w:r>
    </w:p>
    <w:p w:rsidR="002C0831" w:rsidRPr="00B10CF5" w:rsidRDefault="002C0831" w:rsidP="005D3930">
      <w:pPr>
        <w:pStyle w:val="ListParagraph"/>
        <w:tabs>
          <w:tab w:val="left" w:pos="2254"/>
        </w:tabs>
        <w:rPr>
          <w:rFonts w:cs="Arial"/>
          <w:color w:val="000000" w:themeColor="text1"/>
          <w:lang w:val="mn-MN"/>
        </w:rPr>
      </w:pPr>
    </w:p>
    <w:p w:rsidR="00E80C66" w:rsidRPr="00B10CF5" w:rsidRDefault="002C0831" w:rsidP="005D3930">
      <w:pPr>
        <w:pStyle w:val="ListParagraph"/>
        <w:numPr>
          <w:ilvl w:val="1"/>
          <w:numId w:val="3"/>
        </w:numPr>
        <w:tabs>
          <w:tab w:val="left" w:pos="2254"/>
        </w:tabs>
        <w:spacing w:after="0" w:line="240" w:lineRule="auto"/>
        <w:ind w:right="-720"/>
        <w:jc w:val="both"/>
        <w:rPr>
          <w:rFonts w:cs="Arial"/>
          <w:color w:val="000000" w:themeColor="text1"/>
          <w:lang w:val="mn-MN"/>
        </w:rPr>
      </w:pPr>
      <w:r w:rsidRPr="00B10CF5">
        <w:rPr>
          <w:rFonts w:cs="Arial"/>
          <w:color w:val="000000" w:themeColor="text1"/>
        </w:rPr>
        <w:t xml:space="preserve">Relatively, contribution of the Government in implementation is high enough, but participation of high ranking Government officials is still not sufficient. Turnout of members of National Council and Working Group is not good, there is still delegating low ranking officials </w:t>
      </w:r>
      <w:r w:rsidR="00E80C66" w:rsidRPr="00B10CF5">
        <w:rPr>
          <w:rFonts w:cs="Arial"/>
          <w:color w:val="000000" w:themeColor="text1"/>
        </w:rPr>
        <w:t xml:space="preserve">is taking place. </w:t>
      </w:r>
    </w:p>
    <w:p w:rsidR="009313C5" w:rsidRPr="00B10CF5" w:rsidRDefault="009313C5" w:rsidP="009313C5">
      <w:pPr>
        <w:pStyle w:val="ListParagraph"/>
        <w:rPr>
          <w:rFonts w:cs="Arial"/>
          <w:color w:val="000000" w:themeColor="text1"/>
          <w:lang w:val="mn-MN"/>
        </w:rPr>
      </w:pPr>
    </w:p>
    <w:p w:rsidR="00C51784" w:rsidRPr="00B10CF5" w:rsidRDefault="00E80C66" w:rsidP="005D3930">
      <w:pPr>
        <w:pStyle w:val="ListParagraph"/>
        <w:numPr>
          <w:ilvl w:val="1"/>
          <w:numId w:val="3"/>
        </w:numPr>
        <w:tabs>
          <w:tab w:val="left" w:pos="2254"/>
        </w:tabs>
        <w:spacing w:after="0" w:line="240" w:lineRule="auto"/>
        <w:ind w:right="-720"/>
        <w:jc w:val="both"/>
        <w:rPr>
          <w:rFonts w:cs="Arial"/>
          <w:color w:val="000000" w:themeColor="text1"/>
          <w:lang w:val="mn-MN"/>
        </w:rPr>
      </w:pPr>
      <w:r w:rsidRPr="00B10CF5">
        <w:rPr>
          <w:rFonts w:cs="Arial"/>
          <w:color w:val="000000" w:themeColor="text1"/>
        </w:rPr>
        <w:t xml:space="preserve">Participation of companies, their representative is passive, and not sufficient. Especially, participation of directors and legal managers, who can lead is still passive. </w:t>
      </w:r>
    </w:p>
    <w:p w:rsidR="009313C5" w:rsidRPr="00B10CF5" w:rsidRDefault="009313C5" w:rsidP="009313C5">
      <w:pPr>
        <w:pStyle w:val="ListParagraph"/>
        <w:rPr>
          <w:rFonts w:cs="Arial"/>
          <w:color w:val="000000" w:themeColor="text1"/>
          <w:lang w:val="mn-MN"/>
        </w:rPr>
      </w:pPr>
    </w:p>
    <w:p w:rsidR="00EC70F5" w:rsidRPr="00B10CF5" w:rsidRDefault="00E80C66" w:rsidP="005D3930">
      <w:pPr>
        <w:pStyle w:val="ListParagraph"/>
        <w:numPr>
          <w:ilvl w:val="1"/>
          <w:numId w:val="3"/>
        </w:numPr>
        <w:tabs>
          <w:tab w:val="left" w:pos="2254"/>
        </w:tabs>
        <w:spacing w:after="0" w:line="240" w:lineRule="auto"/>
        <w:ind w:right="-720"/>
        <w:jc w:val="both"/>
        <w:rPr>
          <w:rFonts w:cs="Arial"/>
          <w:color w:val="000000" w:themeColor="text1"/>
          <w:lang w:val="mn-MN"/>
        </w:rPr>
      </w:pPr>
      <w:r w:rsidRPr="00B10CF5">
        <w:rPr>
          <w:rFonts w:cs="Arial"/>
          <w:color w:val="000000" w:themeColor="text1"/>
        </w:rPr>
        <w:t xml:space="preserve">Need on aimag, capital, soum and district level to process new policy of EITI, information of the annual report and disseminate is still </w:t>
      </w:r>
      <w:r w:rsidR="00972958" w:rsidRPr="00B10CF5">
        <w:rPr>
          <w:rFonts w:cs="Arial"/>
          <w:color w:val="000000" w:themeColor="text1"/>
        </w:rPr>
        <w:t xml:space="preserve">high, also it is necessary to improve capacity of local structure, improve their legal and financial surroundings, to provide with guidelines. After every election, it is very usual to change officials engaged, which effects on linkage and leads to loss of time. Therefore, it is very important to insure with resources and opportunities for </w:t>
      </w:r>
      <w:r w:rsidR="00951A9F" w:rsidRPr="00B10CF5">
        <w:rPr>
          <w:rFonts w:cs="Arial"/>
          <w:color w:val="000000" w:themeColor="text1"/>
        </w:rPr>
        <w:t>sustainability and hard linkage.</w:t>
      </w:r>
      <w:r w:rsidR="008753EB" w:rsidRPr="00B10CF5">
        <w:rPr>
          <w:rFonts w:cs="Arial"/>
          <w:color w:val="000000" w:themeColor="text1"/>
          <w:lang w:val="mn-MN"/>
        </w:rPr>
        <w:t xml:space="preserve"> </w:t>
      </w:r>
    </w:p>
    <w:p w:rsidR="00EC70F5" w:rsidRPr="00B10CF5" w:rsidRDefault="00EC70F5" w:rsidP="005D3930">
      <w:pPr>
        <w:tabs>
          <w:tab w:val="left" w:pos="2254"/>
        </w:tabs>
        <w:spacing w:after="0" w:line="240" w:lineRule="auto"/>
        <w:ind w:right="-629"/>
        <w:jc w:val="both"/>
        <w:rPr>
          <w:rFonts w:cs="Arial"/>
          <w:b/>
          <w:color w:val="000000" w:themeColor="text1"/>
          <w:lang w:val="mn-MN"/>
        </w:rPr>
      </w:pPr>
    </w:p>
    <w:p w:rsidR="00A974EB" w:rsidRPr="00B10CF5" w:rsidRDefault="0050792F" w:rsidP="005D3930">
      <w:pPr>
        <w:pStyle w:val="Heading1"/>
        <w:tabs>
          <w:tab w:val="left" w:pos="2254"/>
        </w:tabs>
        <w:rPr>
          <w:sz w:val="22"/>
          <w:szCs w:val="22"/>
          <w:lang w:val="mn-MN"/>
        </w:rPr>
      </w:pPr>
      <w:bookmarkStart w:id="18" w:name="_Toc28686589"/>
      <w:r w:rsidRPr="00B10CF5">
        <w:rPr>
          <w:sz w:val="22"/>
          <w:szCs w:val="22"/>
        </w:rPr>
        <w:t>Six</w:t>
      </w:r>
      <w:r w:rsidR="00FF0C48" w:rsidRPr="00B10CF5">
        <w:rPr>
          <w:sz w:val="22"/>
          <w:szCs w:val="22"/>
          <w:lang w:val="mn-MN"/>
        </w:rPr>
        <w:t xml:space="preserve">. </w:t>
      </w:r>
      <w:r w:rsidR="002159EC" w:rsidRPr="00B10CF5">
        <w:rPr>
          <w:sz w:val="22"/>
          <w:szCs w:val="22"/>
        </w:rPr>
        <w:t>Cost of implementation</w:t>
      </w:r>
      <w:r w:rsidRPr="00B10CF5">
        <w:rPr>
          <w:sz w:val="22"/>
          <w:szCs w:val="22"/>
        </w:rPr>
        <w:t xml:space="preserve"> </w:t>
      </w:r>
      <w:r w:rsidR="00545C5D" w:rsidRPr="00B10CF5">
        <w:rPr>
          <w:sz w:val="22"/>
          <w:szCs w:val="22"/>
        </w:rPr>
        <w:t>in 201</w:t>
      </w:r>
      <w:r w:rsidR="003F0EC9" w:rsidRPr="00B10CF5">
        <w:rPr>
          <w:sz w:val="22"/>
          <w:szCs w:val="22"/>
        </w:rPr>
        <w:t>9</w:t>
      </w:r>
      <w:bookmarkEnd w:id="18"/>
    </w:p>
    <w:tbl>
      <w:tblPr>
        <w:tblW w:w="9796" w:type="dxa"/>
        <w:tblInd w:w="93" w:type="dxa"/>
        <w:tblLook w:val="04A0" w:firstRow="1" w:lastRow="0" w:firstColumn="1" w:lastColumn="0" w:noHBand="0" w:noVBand="1"/>
      </w:tblPr>
      <w:tblGrid>
        <w:gridCol w:w="522"/>
        <w:gridCol w:w="4838"/>
        <w:gridCol w:w="1501"/>
        <w:gridCol w:w="1493"/>
        <w:gridCol w:w="1559"/>
      </w:tblGrid>
      <w:tr w:rsidR="0096604F" w:rsidRPr="00B10CF5" w:rsidTr="00A63E4E">
        <w:trPr>
          <w:trHeight w:val="583"/>
        </w:trPr>
        <w:tc>
          <w:tcPr>
            <w:tcW w:w="522" w:type="dxa"/>
            <w:tcBorders>
              <w:top w:val="single" w:sz="4" w:space="0" w:color="auto"/>
              <w:left w:val="single" w:sz="4" w:space="0" w:color="auto"/>
              <w:right w:val="single" w:sz="4" w:space="0" w:color="auto"/>
            </w:tcBorders>
            <w:shd w:val="clear" w:color="auto" w:fill="auto"/>
            <w:noWrap/>
            <w:vAlign w:val="bottom"/>
            <w:hideMark/>
          </w:tcPr>
          <w:p w:rsidR="001054BA" w:rsidRPr="00B10CF5" w:rsidRDefault="001054BA" w:rsidP="005D3930">
            <w:pPr>
              <w:tabs>
                <w:tab w:val="left" w:pos="2254"/>
              </w:tabs>
              <w:spacing w:after="0" w:line="240" w:lineRule="auto"/>
              <w:rPr>
                <w:rFonts w:eastAsia="Times New Roman" w:cs="Arial"/>
                <w:color w:val="000000"/>
              </w:rPr>
            </w:pPr>
            <w:r w:rsidRPr="00B10CF5">
              <w:rPr>
                <w:rFonts w:eastAsia="Times New Roman" w:cs="Arial"/>
                <w:color w:val="000000"/>
              </w:rPr>
              <w:t> </w:t>
            </w:r>
          </w:p>
          <w:p w:rsidR="001054BA" w:rsidRPr="00B10CF5" w:rsidRDefault="001054BA"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9274" w:type="dxa"/>
            <w:gridSpan w:val="4"/>
            <w:tcBorders>
              <w:top w:val="single" w:sz="4" w:space="0" w:color="auto"/>
              <w:left w:val="nil"/>
              <w:bottom w:val="single" w:sz="4" w:space="0" w:color="auto"/>
              <w:right w:val="single" w:sz="4" w:space="0" w:color="auto"/>
            </w:tcBorders>
            <w:shd w:val="clear" w:color="auto" w:fill="auto"/>
            <w:noWrap/>
            <w:hideMark/>
          </w:tcPr>
          <w:p w:rsidR="003F0EC9" w:rsidRPr="00B10CF5" w:rsidRDefault="001054BA" w:rsidP="003F0EC9">
            <w:pPr>
              <w:tabs>
                <w:tab w:val="left" w:pos="2254"/>
              </w:tabs>
              <w:spacing w:after="0" w:line="240" w:lineRule="auto"/>
              <w:jc w:val="center"/>
              <w:rPr>
                <w:rFonts w:eastAsia="Times New Roman" w:cs="Arial"/>
                <w:b/>
                <w:bCs/>
                <w:color w:val="000000"/>
              </w:rPr>
            </w:pPr>
            <w:r w:rsidRPr="00B10CF5">
              <w:rPr>
                <w:rFonts w:eastAsia="Times New Roman" w:cs="Arial"/>
                <w:b/>
                <w:bCs/>
                <w:color w:val="000000"/>
              </w:rPr>
              <w:t xml:space="preserve">TOTAL DISBURSEMENT OF IMPLEMENTATION MONGOLIA EITI </w:t>
            </w:r>
          </w:p>
          <w:p w:rsidR="001054BA" w:rsidRPr="00B10CF5" w:rsidRDefault="001054BA" w:rsidP="00817C26">
            <w:pPr>
              <w:tabs>
                <w:tab w:val="left" w:pos="2254"/>
              </w:tabs>
              <w:spacing w:after="0" w:line="240" w:lineRule="auto"/>
              <w:jc w:val="center"/>
              <w:rPr>
                <w:rFonts w:eastAsia="Times New Roman" w:cs="Arial"/>
                <w:b/>
                <w:bCs/>
                <w:color w:val="000000"/>
              </w:rPr>
            </w:pPr>
          </w:p>
        </w:tc>
      </w:tr>
      <w:tr w:rsidR="0096604F" w:rsidRPr="00B10CF5" w:rsidTr="00A63E4E">
        <w:trPr>
          <w:trHeight w:val="413"/>
        </w:trPr>
        <w:tc>
          <w:tcPr>
            <w:tcW w:w="522" w:type="dxa"/>
            <w:vMerge w:val="restart"/>
            <w:tcBorders>
              <w:top w:val="nil"/>
              <w:left w:val="single" w:sz="4" w:space="0" w:color="auto"/>
              <w:right w:val="single" w:sz="4" w:space="0" w:color="auto"/>
            </w:tcBorders>
            <w:shd w:val="clear" w:color="auto" w:fill="auto"/>
            <w:noWrap/>
            <w:vAlign w:val="bottom"/>
            <w:hideMark/>
          </w:tcPr>
          <w:p w:rsidR="001054BA" w:rsidRPr="00B10CF5" w:rsidRDefault="001054BA" w:rsidP="005D3930">
            <w:pPr>
              <w:tabs>
                <w:tab w:val="left" w:pos="2254"/>
              </w:tabs>
              <w:spacing w:after="0" w:line="240" w:lineRule="auto"/>
              <w:rPr>
                <w:rFonts w:eastAsia="Times New Roman" w:cs="Arial"/>
                <w:color w:val="000000"/>
              </w:rPr>
            </w:pPr>
            <w:r w:rsidRPr="00B10CF5">
              <w:rPr>
                <w:rFonts w:eastAsia="Times New Roman" w:cs="Arial"/>
                <w:color w:val="000000"/>
              </w:rPr>
              <w:t> </w:t>
            </w:r>
          </w:p>
          <w:p w:rsidR="001054BA" w:rsidRPr="00B10CF5" w:rsidRDefault="001054BA"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4838"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054BA" w:rsidRPr="00B10CF5" w:rsidRDefault="001054BA" w:rsidP="005D3930">
            <w:pPr>
              <w:tabs>
                <w:tab w:val="left" w:pos="2254"/>
              </w:tabs>
              <w:spacing w:after="0" w:line="240" w:lineRule="auto"/>
              <w:jc w:val="center"/>
              <w:rPr>
                <w:rFonts w:eastAsia="Times New Roman" w:cs="Arial"/>
                <w:color w:val="000000"/>
              </w:rPr>
            </w:pPr>
            <w:r w:rsidRPr="00B10CF5">
              <w:rPr>
                <w:rFonts w:eastAsia="Times New Roman" w:cs="Arial"/>
                <w:color w:val="000000"/>
              </w:rPr>
              <w:t>Item</w:t>
            </w:r>
          </w:p>
        </w:tc>
        <w:tc>
          <w:tcPr>
            <w:tcW w:w="1384" w:type="dxa"/>
            <w:tcBorders>
              <w:top w:val="single" w:sz="4" w:space="0" w:color="auto"/>
              <w:left w:val="nil"/>
              <w:bottom w:val="single" w:sz="4" w:space="0" w:color="auto"/>
              <w:right w:val="single" w:sz="4" w:space="0" w:color="auto"/>
            </w:tcBorders>
            <w:shd w:val="clear" w:color="000000" w:fill="BFBFBF"/>
            <w:noWrap/>
            <w:vAlign w:val="bottom"/>
            <w:hideMark/>
          </w:tcPr>
          <w:p w:rsidR="001054BA" w:rsidRPr="00B10CF5" w:rsidRDefault="001054BA" w:rsidP="005D3930">
            <w:pPr>
              <w:tabs>
                <w:tab w:val="left" w:pos="2254"/>
              </w:tabs>
              <w:spacing w:after="0" w:line="240" w:lineRule="auto"/>
              <w:rPr>
                <w:rFonts w:eastAsia="Times New Roman" w:cs="Arial"/>
                <w:color w:val="000000"/>
              </w:rPr>
            </w:pPr>
            <w:r w:rsidRPr="00B10CF5">
              <w:rPr>
                <w:rFonts w:eastAsia="Times New Roman" w:cs="Arial"/>
                <w:color w:val="000000"/>
              </w:rPr>
              <w:t>Work plan</w:t>
            </w:r>
          </w:p>
        </w:tc>
        <w:tc>
          <w:tcPr>
            <w:tcW w:w="1493" w:type="dxa"/>
            <w:tcBorders>
              <w:top w:val="single" w:sz="4" w:space="0" w:color="auto"/>
              <w:left w:val="nil"/>
              <w:bottom w:val="single" w:sz="4" w:space="0" w:color="auto"/>
              <w:right w:val="single" w:sz="4" w:space="0" w:color="auto"/>
            </w:tcBorders>
            <w:shd w:val="clear" w:color="000000" w:fill="BFBFBF"/>
            <w:noWrap/>
            <w:vAlign w:val="bottom"/>
            <w:hideMark/>
          </w:tcPr>
          <w:p w:rsidR="001054BA" w:rsidRPr="00B10CF5" w:rsidRDefault="001054BA" w:rsidP="005D3930">
            <w:pPr>
              <w:tabs>
                <w:tab w:val="left" w:pos="2254"/>
              </w:tabs>
              <w:spacing w:after="0" w:line="240" w:lineRule="auto"/>
              <w:rPr>
                <w:rFonts w:eastAsia="Times New Roman" w:cs="Arial"/>
                <w:color w:val="000000"/>
              </w:rPr>
            </w:pPr>
            <w:r w:rsidRPr="00B10CF5">
              <w:rPr>
                <w:rFonts w:eastAsia="Times New Roman" w:cs="Arial"/>
                <w:color w:val="000000"/>
              </w:rPr>
              <w:t>Disbursed</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054BA" w:rsidRPr="00B10CF5" w:rsidRDefault="001054BA" w:rsidP="005D3930">
            <w:pPr>
              <w:tabs>
                <w:tab w:val="left" w:pos="2254"/>
              </w:tabs>
              <w:spacing w:after="0" w:line="240" w:lineRule="auto"/>
              <w:jc w:val="center"/>
              <w:rPr>
                <w:rFonts w:eastAsia="Times New Roman" w:cs="Arial"/>
                <w:color w:val="000000"/>
              </w:rPr>
            </w:pPr>
            <w:r w:rsidRPr="00B10CF5">
              <w:rPr>
                <w:rFonts w:eastAsia="Times New Roman" w:cs="Arial"/>
                <w:color w:val="000000"/>
              </w:rPr>
              <w:t>Funding source</w:t>
            </w:r>
          </w:p>
        </w:tc>
      </w:tr>
      <w:tr w:rsidR="0096604F" w:rsidRPr="00B10CF5" w:rsidTr="00A63E4E">
        <w:trPr>
          <w:trHeight w:val="349"/>
        </w:trPr>
        <w:tc>
          <w:tcPr>
            <w:tcW w:w="522" w:type="dxa"/>
            <w:vMerge/>
            <w:tcBorders>
              <w:left w:val="single" w:sz="4" w:space="0" w:color="auto"/>
              <w:bottom w:val="single" w:sz="4" w:space="0" w:color="auto"/>
              <w:right w:val="single" w:sz="4" w:space="0" w:color="auto"/>
            </w:tcBorders>
            <w:shd w:val="clear" w:color="auto" w:fill="auto"/>
            <w:noWrap/>
            <w:vAlign w:val="bottom"/>
            <w:hideMark/>
          </w:tcPr>
          <w:p w:rsidR="001054BA" w:rsidRPr="00B10CF5" w:rsidRDefault="001054BA" w:rsidP="005D3930">
            <w:pPr>
              <w:tabs>
                <w:tab w:val="left" w:pos="2254"/>
              </w:tabs>
              <w:spacing w:after="0" w:line="240" w:lineRule="auto"/>
              <w:rPr>
                <w:rFonts w:eastAsia="Times New Roman" w:cs="Arial"/>
                <w:color w:val="000000"/>
              </w:rPr>
            </w:pPr>
          </w:p>
        </w:tc>
        <w:tc>
          <w:tcPr>
            <w:tcW w:w="4838" w:type="dxa"/>
            <w:vMerge/>
            <w:tcBorders>
              <w:top w:val="nil"/>
              <w:left w:val="single" w:sz="4" w:space="0" w:color="auto"/>
              <w:bottom w:val="single" w:sz="4" w:space="0" w:color="auto"/>
              <w:right w:val="single" w:sz="4" w:space="0" w:color="auto"/>
            </w:tcBorders>
            <w:vAlign w:val="center"/>
            <w:hideMark/>
          </w:tcPr>
          <w:p w:rsidR="001054BA" w:rsidRPr="00B10CF5" w:rsidRDefault="001054BA" w:rsidP="005D3930">
            <w:pPr>
              <w:tabs>
                <w:tab w:val="left" w:pos="2254"/>
              </w:tabs>
              <w:spacing w:after="0" w:line="240" w:lineRule="auto"/>
              <w:rPr>
                <w:rFonts w:eastAsia="Times New Roman" w:cs="Arial"/>
                <w:color w:val="000000"/>
              </w:rPr>
            </w:pPr>
          </w:p>
        </w:tc>
        <w:tc>
          <w:tcPr>
            <w:tcW w:w="1384" w:type="dxa"/>
            <w:tcBorders>
              <w:top w:val="nil"/>
              <w:left w:val="nil"/>
              <w:bottom w:val="single" w:sz="4" w:space="0" w:color="auto"/>
              <w:right w:val="single" w:sz="4" w:space="0" w:color="auto"/>
            </w:tcBorders>
            <w:shd w:val="clear" w:color="000000" w:fill="BFBFBF"/>
            <w:noWrap/>
            <w:vAlign w:val="bottom"/>
            <w:hideMark/>
          </w:tcPr>
          <w:p w:rsidR="001054BA" w:rsidRPr="00B10CF5" w:rsidRDefault="001054BA" w:rsidP="005D3930">
            <w:pPr>
              <w:tabs>
                <w:tab w:val="left" w:pos="2254"/>
              </w:tabs>
              <w:spacing w:after="0" w:line="240" w:lineRule="auto"/>
              <w:jc w:val="center"/>
              <w:rPr>
                <w:rFonts w:eastAsia="Times New Roman" w:cs="Arial"/>
                <w:color w:val="000000"/>
              </w:rPr>
            </w:pPr>
            <w:r w:rsidRPr="00B10CF5">
              <w:rPr>
                <w:rFonts w:eastAsia="Times New Roman" w:cs="Arial"/>
                <w:color w:val="000000"/>
              </w:rPr>
              <w:t>MNT</w:t>
            </w:r>
          </w:p>
        </w:tc>
        <w:tc>
          <w:tcPr>
            <w:tcW w:w="1493" w:type="dxa"/>
            <w:tcBorders>
              <w:top w:val="nil"/>
              <w:left w:val="nil"/>
              <w:bottom w:val="single" w:sz="4" w:space="0" w:color="auto"/>
              <w:right w:val="single" w:sz="4" w:space="0" w:color="auto"/>
            </w:tcBorders>
            <w:shd w:val="clear" w:color="000000" w:fill="BFBFBF"/>
            <w:noWrap/>
            <w:vAlign w:val="bottom"/>
            <w:hideMark/>
          </w:tcPr>
          <w:p w:rsidR="001054BA" w:rsidRPr="00B10CF5" w:rsidRDefault="001054BA" w:rsidP="005D3930">
            <w:pPr>
              <w:tabs>
                <w:tab w:val="left" w:pos="2254"/>
              </w:tabs>
              <w:spacing w:after="0" w:line="240" w:lineRule="auto"/>
              <w:jc w:val="center"/>
              <w:rPr>
                <w:rFonts w:eastAsia="Times New Roman" w:cs="Arial"/>
                <w:color w:val="000000"/>
              </w:rPr>
            </w:pPr>
            <w:r w:rsidRPr="00B10CF5">
              <w:rPr>
                <w:rFonts w:eastAsia="Times New Roman" w:cs="Arial"/>
                <w:color w:val="000000"/>
              </w:rPr>
              <w:t>MNT</w:t>
            </w:r>
          </w:p>
        </w:tc>
        <w:tc>
          <w:tcPr>
            <w:tcW w:w="1559" w:type="dxa"/>
            <w:vMerge/>
            <w:tcBorders>
              <w:top w:val="nil"/>
              <w:left w:val="single" w:sz="4" w:space="0" w:color="auto"/>
              <w:bottom w:val="single" w:sz="4" w:space="0" w:color="auto"/>
              <w:right w:val="single" w:sz="4" w:space="0" w:color="auto"/>
            </w:tcBorders>
            <w:vAlign w:val="center"/>
            <w:hideMark/>
          </w:tcPr>
          <w:p w:rsidR="001054BA" w:rsidRPr="00B10CF5" w:rsidRDefault="001054BA" w:rsidP="005D3930">
            <w:pPr>
              <w:tabs>
                <w:tab w:val="left" w:pos="2254"/>
              </w:tabs>
              <w:spacing w:after="0" w:line="240" w:lineRule="auto"/>
              <w:rPr>
                <w:rFonts w:eastAsia="Times New Roman" w:cs="Arial"/>
                <w:color w:val="000000"/>
              </w:rPr>
            </w:pPr>
          </w:p>
        </w:tc>
      </w:tr>
      <w:tr w:rsidR="0096604F" w:rsidRPr="00B10CF5" w:rsidTr="00A63E4E">
        <w:trPr>
          <w:trHeight w:val="765"/>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1054BA" w:rsidP="005A7E0C">
            <w:pPr>
              <w:tabs>
                <w:tab w:val="left" w:pos="2254"/>
              </w:tabs>
              <w:spacing w:after="0" w:line="240" w:lineRule="auto"/>
              <w:rPr>
                <w:rFonts w:eastAsia="Times New Roman" w:cs="Arial"/>
                <w:color w:val="000000"/>
              </w:rPr>
            </w:pPr>
            <w:r w:rsidRPr="00B10CF5">
              <w:rPr>
                <w:rFonts w:eastAsia="Times New Roman" w:cs="Arial"/>
                <w:color w:val="000000"/>
              </w:rPr>
              <w:t>1</w:t>
            </w:r>
          </w:p>
        </w:tc>
        <w:tc>
          <w:tcPr>
            <w:tcW w:w="4838" w:type="dxa"/>
            <w:tcBorders>
              <w:top w:val="nil"/>
              <w:left w:val="nil"/>
              <w:bottom w:val="single" w:sz="4" w:space="0" w:color="auto"/>
              <w:right w:val="single" w:sz="4" w:space="0" w:color="auto"/>
            </w:tcBorders>
            <w:shd w:val="clear" w:color="auto" w:fill="auto"/>
            <w:hideMark/>
          </w:tcPr>
          <w:p w:rsidR="0050792F" w:rsidRPr="00B10CF5" w:rsidRDefault="0050792F" w:rsidP="005A7E0C">
            <w:pPr>
              <w:tabs>
                <w:tab w:val="left" w:pos="2254"/>
              </w:tabs>
              <w:spacing w:after="0" w:line="240" w:lineRule="auto"/>
              <w:rPr>
                <w:rFonts w:eastAsia="Times New Roman" w:cs="Arial"/>
                <w:color w:val="000000"/>
              </w:rPr>
            </w:pPr>
            <w:r w:rsidRPr="00B10CF5">
              <w:rPr>
                <w:rFonts w:eastAsia="Times New Roman" w:cs="Arial"/>
                <w:color w:val="000000"/>
              </w:rPr>
              <w:t xml:space="preserve">Regular </w:t>
            </w:r>
            <w:r w:rsidR="003F0EC9" w:rsidRPr="00B10CF5">
              <w:rPr>
                <w:rFonts w:eastAsia="Times New Roman" w:cs="Arial"/>
                <w:color w:val="000000"/>
              </w:rPr>
              <w:t xml:space="preserve">National Council and </w:t>
            </w:r>
            <w:r w:rsidRPr="00B10CF5">
              <w:rPr>
                <w:rFonts w:eastAsia="Times New Roman" w:cs="Arial"/>
                <w:color w:val="000000"/>
              </w:rPr>
              <w:t>MSG Meetings</w:t>
            </w:r>
            <w:r w:rsidR="003F0EC9" w:rsidRPr="00B10CF5">
              <w:rPr>
                <w:rFonts w:eastAsia="Times New Roman" w:cs="Arial"/>
                <w:color w:val="000000"/>
              </w:rPr>
              <w:t>, consultations</w:t>
            </w:r>
            <w:r w:rsidRPr="00B10CF5">
              <w:rPr>
                <w:rFonts w:eastAsia="Times New Roman" w:cs="Arial"/>
                <w:color w:val="000000"/>
              </w:rPr>
              <w:t xml:space="preserve"> (including communications training for the MSG and reporting template enhancement workshop)</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3F0EC9" w:rsidP="003F0EC9">
            <w:pPr>
              <w:tabs>
                <w:tab w:val="left" w:pos="2254"/>
              </w:tabs>
              <w:spacing w:after="0" w:line="240" w:lineRule="auto"/>
              <w:jc w:val="right"/>
              <w:rPr>
                <w:rFonts w:eastAsia="Times New Roman" w:cs="Arial"/>
                <w:color w:val="000000"/>
              </w:rPr>
            </w:pPr>
            <w:r w:rsidRPr="00B10CF5">
              <w:rPr>
                <w:rFonts w:eastAsia="Times New Roman" w:cs="Arial"/>
                <w:color w:val="000000"/>
              </w:rPr>
              <w:t>3</w:t>
            </w:r>
            <w:r w:rsidR="001054BA" w:rsidRPr="00B10CF5">
              <w:rPr>
                <w:rFonts w:eastAsia="Times New Roman" w:cs="Arial"/>
                <w:color w:val="000000"/>
              </w:rPr>
              <w:t>.</w:t>
            </w:r>
            <w:r w:rsidRPr="00B10CF5">
              <w:rPr>
                <w:rFonts w:eastAsia="Times New Roman" w:cs="Arial"/>
                <w:color w:val="000000"/>
              </w:rPr>
              <w:t>500</w:t>
            </w:r>
            <w:r w:rsidR="001054BA" w:rsidRPr="00B10CF5">
              <w:rPr>
                <w:rFonts w:eastAsia="Times New Roman" w:cs="Arial"/>
                <w:color w:val="000000"/>
              </w:rPr>
              <w:t>.</w:t>
            </w:r>
            <w:r w:rsidRPr="00B10CF5">
              <w:rPr>
                <w:rFonts w:eastAsia="Times New Roman" w:cs="Arial"/>
                <w:color w:val="000000"/>
              </w:rPr>
              <w:t>00</w:t>
            </w:r>
            <w:r w:rsidR="0050792F" w:rsidRPr="00B10CF5">
              <w:rPr>
                <w:rFonts w:eastAsia="Times New Roman" w:cs="Arial"/>
                <w:color w:val="000000"/>
              </w:rPr>
              <w:t>0</w:t>
            </w:r>
          </w:p>
        </w:tc>
        <w:tc>
          <w:tcPr>
            <w:tcW w:w="1493" w:type="dxa"/>
            <w:tcBorders>
              <w:top w:val="nil"/>
              <w:left w:val="nil"/>
              <w:bottom w:val="single" w:sz="4" w:space="0" w:color="auto"/>
              <w:right w:val="single" w:sz="4" w:space="0" w:color="auto"/>
            </w:tcBorders>
            <w:shd w:val="clear" w:color="auto" w:fill="auto"/>
            <w:noWrap/>
            <w:hideMark/>
          </w:tcPr>
          <w:p w:rsidR="0050792F" w:rsidRPr="00B10CF5" w:rsidRDefault="003F0EC9" w:rsidP="003F0EC9">
            <w:pPr>
              <w:tabs>
                <w:tab w:val="left" w:pos="2254"/>
              </w:tabs>
              <w:spacing w:after="0" w:line="240" w:lineRule="auto"/>
              <w:jc w:val="right"/>
              <w:rPr>
                <w:rFonts w:eastAsia="Times New Roman" w:cs="Arial"/>
                <w:color w:val="000000"/>
              </w:rPr>
            </w:pPr>
            <w:r w:rsidRPr="00B10CF5">
              <w:rPr>
                <w:rFonts w:eastAsia="Times New Roman" w:cs="Arial"/>
                <w:color w:val="000000"/>
              </w:rPr>
              <w:t>3</w:t>
            </w:r>
            <w:r w:rsidR="001054BA" w:rsidRPr="00B10CF5">
              <w:rPr>
                <w:rFonts w:eastAsia="Times New Roman" w:cs="Arial"/>
                <w:color w:val="000000"/>
              </w:rPr>
              <w:t>.</w:t>
            </w:r>
            <w:r w:rsidRPr="00B10CF5">
              <w:rPr>
                <w:rFonts w:eastAsia="Times New Roman" w:cs="Arial"/>
                <w:color w:val="000000"/>
              </w:rPr>
              <w:t>028</w:t>
            </w:r>
            <w:r w:rsidR="001054BA" w:rsidRPr="00B10CF5">
              <w:rPr>
                <w:rFonts w:eastAsia="Times New Roman" w:cs="Arial"/>
                <w:color w:val="000000"/>
              </w:rPr>
              <w:t>.</w:t>
            </w:r>
            <w:r w:rsidRPr="00B10CF5">
              <w:rPr>
                <w:rFonts w:eastAsia="Times New Roman" w:cs="Arial"/>
                <w:color w:val="000000"/>
              </w:rPr>
              <w:t>563</w:t>
            </w:r>
          </w:p>
        </w:tc>
        <w:tc>
          <w:tcPr>
            <w:tcW w:w="1559" w:type="dxa"/>
            <w:tcBorders>
              <w:top w:val="nil"/>
              <w:left w:val="nil"/>
              <w:bottom w:val="single" w:sz="4" w:space="0" w:color="auto"/>
              <w:right w:val="single" w:sz="4" w:space="0" w:color="auto"/>
            </w:tcBorders>
            <w:shd w:val="clear" w:color="auto" w:fill="auto"/>
            <w:noWrap/>
            <w:hideMark/>
          </w:tcPr>
          <w:p w:rsidR="0050792F" w:rsidRPr="00B10CF5" w:rsidRDefault="0050792F" w:rsidP="005A7E0C">
            <w:pPr>
              <w:tabs>
                <w:tab w:val="left" w:pos="2254"/>
              </w:tabs>
              <w:spacing w:after="0" w:line="240" w:lineRule="auto"/>
              <w:rPr>
                <w:rFonts w:eastAsia="Times New Roman" w:cs="Arial"/>
                <w:color w:val="000000"/>
              </w:rPr>
            </w:pPr>
            <w:r w:rsidRPr="00B10CF5">
              <w:rPr>
                <w:rFonts w:eastAsia="Times New Roman" w:cs="Arial"/>
                <w:color w:val="000000"/>
              </w:rPr>
              <w:t>Grant</w:t>
            </w:r>
            <w:r w:rsidR="003F0EC9" w:rsidRPr="00B10CF5">
              <w:rPr>
                <w:rFonts w:eastAsia="Times New Roman" w:cs="Arial"/>
                <w:color w:val="000000"/>
              </w:rPr>
              <w:t xml:space="preserve"> of ADB, EBRD</w:t>
            </w:r>
          </w:p>
        </w:tc>
      </w:tr>
      <w:tr w:rsidR="0096604F" w:rsidRPr="00B10CF5" w:rsidTr="00A63E4E">
        <w:trPr>
          <w:trHeight w:val="548"/>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1054BA" w:rsidP="005A7E0C">
            <w:pPr>
              <w:tabs>
                <w:tab w:val="left" w:pos="2254"/>
              </w:tabs>
              <w:spacing w:after="0" w:line="240" w:lineRule="auto"/>
              <w:rPr>
                <w:rFonts w:eastAsia="Times New Roman" w:cs="Arial"/>
                <w:color w:val="000000"/>
              </w:rPr>
            </w:pPr>
            <w:r w:rsidRPr="00B10CF5">
              <w:rPr>
                <w:rFonts w:eastAsia="Times New Roman" w:cs="Arial"/>
                <w:color w:val="000000"/>
              </w:rPr>
              <w:t>2</w:t>
            </w:r>
          </w:p>
        </w:tc>
        <w:tc>
          <w:tcPr>
            <w:tcW w:w="4838" w:type="dxa"/>
            <w:tcBorders>
              <w:top w:val="nil"/>
              <w:left w:val="nil"/>
              <w:bottom w:val="single" w:sz="4" w:space="0" w:color="auto"/>
              <w:right w:val="single" w:sz="4" w:space="0" w:color="auto"/>
            </w:tcBorders>
            <w:shd w:val="clear" w:color="auto" w:fill="auto"/>
            <w:hideMark/>
          </w:tcPr>
          <w:p w:rsidR="0050792F" w:rsidRPr="00B10CF5" w:rsidRDefault="001054BA" w:rsidP="00406E4E">
            <w:pPr>
              <w:tabs>
                <w:tab w:val="left" w:pos="2254"/>
              </w:tabs>
              <w:spacing w:after="0" w:line="240" w:lineRule="auto"/>
              <w:rPr>
                <w:rFonts w:eastAsia="Times New Roman" w:cs="Arial"/>
                <w:color w:val="000000"/>
              </w:rPr>
            </w:pPr>
            <w:r w:rsidRPr="00B10CF5">
              <w:rPr>
                <w:rFonts w:eastAsia="Times New Roman" w:cs="Arial"/>
                <w:color w:val="000000"/>
              </w:rPr>
              <w:t xml:space="preserve">Hiring </w:t>
            </w:r>
            <w:r w:rsidR="0050792F" w:rsidRPr="00B10CF5">
              <w:rPr>
                <w:rFonts w:eastAsia="Times New Roman" w:cs="Arial"/>
                <w:color w:val="000000"/>
              </w:rPr>
              <w:t xml:space="preserve">of </w:t>
            </w:r>
            <w:r w:rsidR="005D3930" w:rsidRPr="00B10CF5">
              <w:rPr>
                <w:rFonts w:eastAsia="Times New Roman" w:cs="Arial"/>
                <w:color w:val="000000"/>
              </w:rPr>
              <w:t>Independent</w:t>
            </w:r>
            <w:r w:rsidR="0050792F" w:rsidRPr="00B10CF5">
              <w:rPr>
                <w:rFonts w:eastAsia="Times New Roman" w:cs="Arial"/>
                <w:color w:val="000000"/>
              </w:rPr>
              <w:t xml:space="preserve"> Administrator for the 1</w:t>
            </w:r>
            <w:r w:rsidR="00406E4E" w:rsidRPr="00B10CF5">
              <w:rPr>
                <w:rFonts w:eastAsia="Times New Roman" w:cs="Arial"/>
                <w:color w:val="000000"/>
              </w:rPr>
              <w:t>3</w:t>
            </w:r>
            <w:r w:rsidR="0050792F" w:rsidRPr="00B10CF5">
              <w:rPr>
                <w:rFonts w:eastAsia="Times New Roman" w:cs="Arial"/>
                <w:color w:val="000000"/>
              </w:rPr>
              <w:t xml:space="preserve">th </w:t>
            </w:r>
            <w:r w:rsidRPr="00B10CF5">
              <w:rPr>
                <w:rFonts w:eastAsia="Times New Roman" w:cs="Arial"/>
                <w:color w:val="000000"/>
              </w:rPr>
              <w:t xml:space="preserve">Mongolia </w:t>
            </w:r>
            <w:r w:rsidR="0050792F" w:rsidRPr="00B10CF5">
              <w:rPr>
                <w:rFonts w:eastAsia="Times New Roman" w:cs="Arial"/>
                <w:color w:val="000000"/>
              </w:rPr>
              <w:t>EITI Report</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jc w:val="right"/>
              <w:rPr>
                <w:rFonts w:eastAsia="Times New Roman" w:cs="Arial"/>
                <w:color w:val="000000"/>
              </w:rPr>
            </w:pPr>
            <w:r w:rsidRPr="00B10CF5">
              <w:rPr>
                <w:rFonts w:eastAsia="Times New Roman" w:cs="Arial"/>
                <w:color w:val="000000"/>
              </w:rPr>
              <w:t>196</w:t>
            </w:r>
            <w:r w:rsidR="001054BA" w:rsidRPr="00B10CF5">
              <w:rPr>
                <w:rFonts w:eastAsia="Times New Roman" w:cs="Arial"/>
                <w:color w:val="000000"/>
              </w:rPr>
              <w:t>.</w:t>
            </w:r>
            <w:r w:rsidRPr="00B10CF5">
              <w:rPr>
                <w:rFonts w:eastAsia="Times New Roman" w:cs="Arial"/>
                <w:color w:val="000000"/>
              </w:rPr>
              <w:t>213</w:t>
            </w:r>
            <w:r w:rsidR="001054BA" w:rsidRPr="00B10CF5">
              <w:rPr>
                <w:rFonts w:eastAsia="Times New Roman" w:cs="Arial"/>
                <w:color w:val="000000"/>
              </w:rPr>
              <w:t>.</w:t>
            </w:r>
            <w:r w:rsidR="0050792F" w:rsidRPr="00B10CF5">
              <w:rPr>
                <w:rFonts w:eastAsia="Times New Roman" w:cs="Arial"/>
                <w:color w:val="000000"/>
              </w:rPr>
              <w:t>000</w:t>
            </w:r>
          </w:p>
        </w:tc>
        <w:tc>
          <w:tcPr>
            <w:tcW w:w="1493" w:type="dxa"/>
            <w:tcBorders>
              <w:top w:val="nil"/>
              <w:left w:val="nil"/>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jc w:val="right"/>
              <w:rPr>
                <w:rFonts w:eastAsia="Times New Roman" w:cs="Arial"/>
                <w:color w:val="000000"/>
              </w:rPr>
            </w:pPr>
            <w:r w:rsidRPr="00B10CF5">
              <w:rPr>
                <w:rFonts w:eastAsia="Times New Roman" w:cs="Arial"/>
                <w:color w:val="000000"/>
              </w:rPr>
              <w:t>196</w:t>
            </w:r>
            <w:r w:rsidR="001054BA" w:rsidRPr="00B10CF5">
              <w:rPr>
                <w:rFonts w:eastAsia="Times New Roman" w:cs="Arial"/>
                <w:color w:val="000000"/>
              </w:rPr>
              <w:t>.</w:t>
            </w:r>
            <w:r w:rsidRPr="00B10CF5">
              <w:rPr>
                <w:rFonts w:eastAsia="Times New Roman" w:cs="Arial"/>
                <w:color w:val="000000"/>
              </w:rPr>
              <w:t>213</w:t>
            </w:r>
            <w:r w:rsidR="001054BA" w:rsidRPr="00B10CF5">
              <w:rPr>
                <w:rFonts w:eastAsia="Times New Roman" w:cs="Arial"/>
                <w:color w:val="000000"/>
              </w:rPr>
              <w:t>.</w:t>
            </w:r>
            <w:r w:rsidR="0050792F" w:rsidRPr="00B10CF5">
              <w:rPr>
                <w:rFonts w:eastAsia="Times New Roman" w:cs="Arial"/>
                <w:color w:val="000000"/>
              </w:rPr>
              <w:t>000</w:t>
            </w:r>
          </w:p>
        </w:tc>
        <w:tc>
          <w:tcPr>
            <w:tcW w:w="1559" w:type="dxa"/>
            <w:tcBorders>
              <w:top w:val="nil"/>
              <w:left w:val="nil"/>
              <w:bottom w:val="single" w:sz="4" w:space="0" w:color="auto"/>
              <w:right w:val="single" w:sz="4" w:space="0" w:color="auto"/>
            </w:tcBorders>
            <w:shd w:val="clear" w:color="auto" w:fill="auto"/>
            <w:noWrap/>
            <w:hideMark/>
          </w:tcPr>
          <w:p w:rsidR="0050792F" w:rsidRPr="00B10CF5" w:rsidRDefault="0050792F" w:rsidP="005A7E0C">
            <w:pPr>
              <w:tabs>
                <w:tab w:val="left" w:pos="2254"/>
              </w:tabs>
              <w:spacing w:after="0" w:line="240" w:lineRule="auto"/>
              <w:rPr>
                <w:rFonts w:eastAsia="Times New Roman" w:cs="Arial"/>
                <w:color w:val="000000"/>
              </w:rPr>
            </w:pPr>
            <w:r w:rsidRPr="00B10CF5">
              <w:rPr>
                <w:rFonts w:eastAsia="Times New Roman" w:cs="Arial"/>
                <w:color w:val="000000"/>
              </w:rPr>
              <w:t>GOM</w:t>
            </w:r>
          </w:p>
        </w:tc>
      </w:tr>
      <w:tr w:rsidR="0096604F" w:rsidRPr="00B10CF5" w:rsidTr="00A63E4E">
        <w:trPr>
          <w:trHeight w:val="429"/>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1054BA" w:rsidP="005A7E0C">
            <w:pPr>
              <w:tabs>
                <w:tab w:val="left" w:pos="2254"/>
              </w:tabs>
              <w:spacing w:after="0" w:line="240" w:lineRule="auto"/>
              <w:rPr>
                <w:rFonts w:eastAsia="Times New Roman" w:cs="Arial"/>
                <w:color w:val="000000"/>
              </w:rPr>
            </w:pPr>
            <w:r w:rsidRPr="00B10CF5">
              <w:rPr>
                <w:rFonts w:eastAsia="Times New Roman" w:cs="Arial"/>
                <w:color w:val="000000"/>
              </w:rPr>
              <w:t>3</w:t>
            </w:r>
          </w:p>
        </w:tc>
        <w:tc>
          <w:tcPr>
            <w:tcW w:w="4838" w:type="dxa"/>
            <w:tcBorders>
              <w:top w:val="nil"/>
              <w:left w:val="nil"/>
              <w:bottom w:val="single" w:sz="4" w:space="0" w:color="auto"/>
              <w:right w:val="single" w:sz="4" w:space="0" w:color="auto"/>
            </w:tcBorders>
            <w:shd w:val="clear" w:color="auto" w:fill="auto"/>
            <w:hideMark/>
          </w:tcPr>
          <w:p w:rsidR="0050792F" w:rsidRPr="00B10CF5" w:rsidRDefault="00406E4E" w:rsidP="00406E4E">
            <w:pPr>
              <w:tabs>
                <w:tab w:val="left" w:pos="2254"/>
              </w:tabs>
              <w:spacing w:after="0" w:line="240" w:lineRule="auto"/>
              <w:rPr>
                <w:rFonts w:eastAsia="Times New Roman" w:cs="Arial"/>
                <w:color w:val="000000"/>
              </w:rPr>
            </w:pPr>
            <w:r w:rsidRPr="00B10CF5">
              <w:rPr>
                <w:rFonts w:eastAsia="Times New Roman" w:cs="Arial"/>
                <w:color w:val="000000"/>
              </w:rPr>
              <w:t>Translation work</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1054BA" w:rsidP="00406E4E">
            <w:pPr>
              <w:tabs>
                <w:tab w:val="left" w:pos="2254"/>
              </w:tabs>
              <w:spacing w:after="0" w:line="240" w:lineRule="auto"/>
              <w:jc w:val="right"/>
              <w:rPr>
                <w:rFonts w:eastAsia="Times New Roman" w:cs="Arial"/>
                <w:color w:val="000000"/>
              </w:rPr>
            </w:pPr>
            <w:r w:rsidRPr="00B10CF5">
              <w:rPr>
                <w:rFonts w:eastAsia="Times New Roman" w:cs="Arial"/>
                <w:color w:val="000000"/>
              </w:rPr>
              <w:t>2.</w:t>
            </w:r>
            <w:r w:rsidR="0050792F" w:rsidRPr="00B10CF5">
              <w:rPr>
                <w:rFonts w:eastAsia="Times New Roman" w:cs="Arial"/>
                <w:color w:val="000000"/>
              </w:rPr>
              <w:t>000</w:t>
            </w:r>
            <w:r w:rsidRPr="00B10CF5">
              <w:rPr>
                <w:rFonts w:eastAsia="Times New Roman" w:cs="Arial"/>
                <w:color w:val="000000"/>
              </w:rPr>
              <w:t>.</w:t>
            </w:r>
            <w:r w:rsidR="0050792F" w:rsidRPr="00B10CF5">
              <w:rPr>
                <w:rFonts w:eastAsia="Times New Roman" w:cs="Arial"/>
                <w:color w:val="000000"/>
              </w:rPr>
              <w:t>000</w:t>
            </w:r>
          </w:p>
        </w:tc>
        <w:tc>
          <w:tcPr>
            <w:tcW w:w="1493" w:type="dxa"/>
            <w:tcBorders>
              <w:top w:val="nil"/>
              <w:left w:val="nil"/>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jc w:val="right"/>
              <w:rPr>
                <w:rFonts w:eastAsia="Times New Roman" w:cs="Arial"/>
                <w:color w:val="000000"/>
              </w:rPr>
            </w:pPr>
            <w:r w:rsidRPr="00B10CF5">
              <w:rPr>
                <w:rFonts w:eastAsia="Times New Roman" w:cs="Arial"/>
                <w:color w:val="000000"/>
              </w:rPr>
              <w:t>1.800</w:t>
            </w:r>
            <w:r w:rsidR="001054BA" w:rsidRPr="00B10CF5">
              <w:rPr>
                <w:rFonts w:eastAsia="Times New Roman" w:cs="Arial"/>
                <w:color w:val="000000"/>
              </w:rPr>
              <w:t>.</w:t>
            </w:r>
            <w:r w:rsidRPr="00B10CF5">
              <w:rPr>
                <w:rFonts w:eastAsia="Times New Roman" w:cs="Arial"/>
                <w:color w:val="000000"/>
              </w:rPr>
              <w:t>0</w:t>
            </w:r>
            <w:r w:rsidR="001054BA" w:rsidRPr="00B10CF5">
              <w:rPr>
                <w:rFonts w:eastAsia="Times New Roman" w:cs="Arial"/>
                <w:color w:val="000000"/>
              </w:rPr>
              <w:t>00</w:t>
            </w:r>
          </w:p>
        </w:tc>
        <w:tc>
          <w:tcPr>
            <w:tcW w:w="1559" w:type="dxa"/>
            <w:tcBorders>
              <w:top w:val="nil"/>
              <w:left w:val="nil"/>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rPr>
                <w:rFonts w:eastAsia="Times New Roman" w:cs="Arial"/>
                <w:color w:val="000000"/>
              </w:rPr>
            </w:pPr>
            <w:r w:rsidRPr="00B10CF5">
              <w:rPr>
                <w:rFonts w:eastAsia="Times New Roman" w:cs="Arial"/>
                <w:color w:val="000000"/>
              </w:rPr>
              <w:t>Grant of EBRD</w:t>
            </w:r>
          </w:p>
        </w:tc>
      </w:tr>
      <w:tr w:rsidR="0096604F" w:rsidRPr="00B10CF5" w:rsidTr="00406E4E">
        <w:trPr>
          <w:trHeight w:val="538"/>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rPr>
                <w:rFonts w:eastAsia="Times New Roman" w:cs="Arial"/>
                <w:color w:val="000000"/>
              </w:rPr>
            </w:pPr>
            <w:r w:rsidRPr="00B10CF5">
              <w:rPr>
                <w:rFonts w:eastAsia="Times New Roman" w:cs="Arial"/>
                <w:color w:val="000000"/>
              </w:rPr>
              <w:t>4</w:t>
            </w:r>
          </w:p>
        </w:tc>
        <w:tc>
          <w:tcPr>
            <w:tcW w:w="4838" w:type="dxa"/>
            <w:tcBorders>
              <w:top w:val="nil"/>
              <w:left w:val="nil"/>
              <w:bottom w:val="single" w:sz="4" w:space="0" w:color="auto"/>
              <w:right w:val="single" w:sz="4" w:space="0" w:color="auto"/>
            </w:tcBorders>
            <w:shd w:val="clear" w:color="auto" w:fill="auto"/>
            <w:hideMark/>
          </w:tcPr>
          <w:p w:rsidR="0050792F" w:rsidRPr="00B10CF5" w:rsidRDefault="0050792F" w:rsidP="00406E4E">
            <w:pPr>
              <w:tabs>
                <w:tab w:val="left" w:pos="2254"/>
              </w:tabs>
              <w:spacing w:after="0" w:line="240" w:lineRule="auto"/>
              <w:rPr>
                <w:rFonts w:eastAsia="Times New Roman" w:cs="Arial"/>
                <w:color w:val="000000"/>
              </w:rPr>
            </w:pPr>
            <w:r w:rsidRPr="00B10CF5">
              <w:rPr>
                <w:rFonts w:eastAsia="Times New Roman" w:cs="Arial"/>
                <w:color w:val="000000"/>
              </w:rPr>
              <w:t>Printing of 1</w:t>
            </w:r>
            <w:r w:rsidR="00406E4E" w:rsidRPr="00B10CF5">
              <w:rPr>
                <w:rFonts w:eastAsia="Times New Roman" w:cs="Arial"/>
                <w:color w:val="000000"/>
              </w:rPr>
              <w:t>3</w:t>
            </w:r>
            <w:r w:rsidRPr="00B10CF5">
              <w:rPr>
                <w:rFonts w:eastAsia="Times New Roman" w:cs="Arial"/>
                <w:color w:val="000000"/>
              </w:rPr>
              <w:t xml:space="preserve">th </w:t>
            </w:r>
            <w:r w:rsidR="005A7E0C" w:rsidRPr="00B10CF5">
              <w:rPr>
                <w:rFonts w:eastAsia="Times New Roman" w:cs="Arial"/>
                <w:color w:val="000000"/>
              </w:rPr>
              <w:t xml:space="preserve">Mongolia </w:t>
            </w:r>
            <w:r w:rsidRPr="00B10CF5">
              <w:rPr>
                <w:rFonts w:eastAsia="Times New Roman" w:cs="Arial"/>
                <w:color w:val="000000"/>
              </w:rPr>
              <w:t xml:space="preserve">EITI Report </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jc w:val="right"/>
              <w:rPr>
                <w:rFonts w:eastAsia="Times New Roman" w:cs="Arial"/>
                <w:color w:val="000000"/>
              </w:rPr>
            </w:pPr>
            <w:r w:rsidRPr="00B10CF5">
              <w:rPr>
                <w:rFonts w:eastAsia="Times New Roman" w:cs="Arial"/>
                <w:color w:val="000000"/>
              </w:rPr>
              <w:t>19</w:t>
            </w:r>
            <w:r w:rsidR="005A7E0C" w:rsidRPr="00B10CF5">
              <w:rPr>
                <w:rFonts w:eastAsia="Times New Roman" w:cs="Arial"/>
                <w:color w:val="000000"/>
              </w:rPr>
              <w:t>.</w:t>
            </w:r>
            <w:r w:rsidRPr="00B10CF5">
              <w:rPr>
                <w:rFonts w:eastAsia="Times New Roman" w:cs="Arial"/>
                <w:color w:val="000000"/>
              </w:rPr>
              <w:t>754</w:t>
            </w:r>
            <w:r w:rsidR="005A7E0C" w:rsidRPr="00B10CF5">
              <w:rPr>
                <w:rFonts w:eastAsia="Times New Roman" w:cs="Arial"/>
                <w:color w:val="000000"/>
              </w:rPr>
              <w:t>.000</w:t>
            </w:r>
          </w:p>
        </w:tc>
        <w:tc>
          <w:tcPr>
            <w:tcW w:w="1493" w:type="dxa"/>
            <w:tcBorders>
              <w:top w:val="nil"/>
              <w:left w:val="nil"/>
              <w:bottom w:val="single" w:sz="4" w:space="0" w:color="auto"/>
              <w:right w:val="single" w:sz="4" w:space="0" w:color="auto"/>
            </w:tcBorders>
            <w:shd w:val="clear" w:color="auto" w:fill="auto"/>
            <w:noWrap/>
          </w:tcPr>
          <w:p w:rsidR="0050792F" w:rsidRPr="00B10CF5" w:rsidRDefault="00406E4E" w:rsidP="005A7E0C">
            <w:pPr>
              <w:tabs>
                <w:tab w:val="left" w:pos="2254"/>
              </w:tabs>
              <w:spacing w:after="0" w:line="240" w:lineRule="auto"/>
              <w:jc w:val="right"/>
              <w:rPr>
                <w:rFonts w:eastAsia="Times New Roman" w:cs="Arial"/>
                <w:color w:val="000000"/>
              </w:rPr>
            </w:pPr>
            <w:r w:rsidRPr="00B10CF5">
              <w:rPr>
                <w:rFonts w:eastAsia="Times New Roman" w:cs="Arial"/>
                <w:color w:val="000000"/>
              </w:rPr>
              <w:t>11.544.000</w:t>
            </w:r>
          </w:p>
        </w:tc>
        <w:tc>
          <w:tcPr>
            <w:tcW w:w="1559" w:type="dxa"/>
            <w:tcBorders>
              <w:top w:val="nil"/>
              <w:left w:val="nil"/>
              <w:bottom w:val="single" w:sz="4" w:space="0" w:color="auto"/>
              <w:right w:val="single" w:sz="4" w:space="0" w:color="auto"/>
            </w:tcBorders>
            <w:shd w:val="clear" w:color="auto" w:fill="auto"/>
            <w:noWrap/>
          </w:tcPr>
          <w:p w:rsidR="0050792F" w:rsidRPr="00B10CF5" w:rsidRDefault="00406E4E" w:rsidP="005A7E0C">
            <w:pPr>
              <w:tabs>
                <w:tab w:val="left" w:pos="2254"/>
              </w:tabs>
              <w:spacing w:after="0" w:line="240" w:lineRule="auto"/>
              <w:rPr>
                <w:rFonts w:eastAsia="Times New Roman" w:cs="Arial"/>
                <w:color w:val="000000"/>
              </w:rPr>
            </w:pPr>
            <w:r w:rsidRPr="00B10CF5">
              <w:rPr>
                <w:rFonts w:eastAsia="Times New Roman" w:cs="Arial"/>
                <w:color w:val="000000"/>
              </w:rPr>
              <w:t>Grant of EBRD</w:t>
            </w:r>
          </w:p>
        </w:tc>
      </w:tr>
      <w:tr w:rsidR="0096604F" w:rsidRPr="00B10CF5" w:rsidTr="00A63E4E">
        <w:trPr>
          <w:trHeight w:val="435"/>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rPr>
                <w:rFonts w:eastAsia="Times New Roman" w:cs="Arial"/>
                <w:color w:val="000000"/>
              </w:rPr>
            </w:pPr>
            <w:r w:rsidRPr="00B10CF5">
              <w:rPr>
                <w:rFonts w:eastAsia="Times New Roman" w:cs="Arial"/>
                <w:color w:val="000000"/>
              </w:rPr>
              <w:t>5</w:t>
            </w:r>
          </w:p>
        </w:tc>
        <w:tc>
          <w:tcPr>
            <w:tcW w:w="4838" w:type="dxa"/>
            <w:tcBorders>
              <w:top w:val="nil"/>
              <w:left w:val="nil"/>
              <w:bottom w:val="single" w:sz="4" w:space="0" w:color="auto"/>
              <w:right w:val="single" w:sz="4" w:space="0" w:color="auto"/>
            </w:tcBorders>
            <w:shd w:val="clear" w:color="auto" w:fill="auto"/>
            <w:hideMark/>
          </w:tcPr>
          <w:p w:rsidR="0050792F" w:rsidRPr="00B10CF5" w:rsidRDefault="0050792F" w:rsidP="005A7E0C">
            <w:pPr>
              <w:tabs>
                <w:tab w:val="left" w:pos="2254"/>
              </w:tabs>
              <w:spacing w:after="0" w:line="240" w:lineRule="auto"/>
              <w:rPr>
                <w:rFonts w:eastAsia="Times New Roman" w:cs="Arial"/>
                <w:color w:val="000000"/>
              </w:rPr>
            </w:pPr>
            <w:r w:rsidRPr="00B10CF5">
              <w:rPr>
                <w:rFonts w:eastAsia="Times New Roman" w:cs="Arial"/>
                <w:color w:val="000000"/>
              </w:rPr>
              <w:t>EITI Membership fee</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50792F" w:rsidP="00406E4E">
            <w:pPr>
              <w:tabs>
                <w:tab w:val="left" w:pos="2254"/>
              </w:tabs>
              <w:spacing w:after="0" w:line="240" w:lineRule="auto"/>
              <w:jc w:val="right"/>
              <w:rPr>
                <w:rFonts w:eastAsia="Times New Roman" w:cs="Arial"/>
                <w:color w:val="000000"/>
              </w:rPr>
            </w:pPr>
            <w:r w:rsidRPr="00B10CF5">
              <w:rPr>
                <w:rFonts w:eastAsia="Times New Roman" w:cs="Arial"/>
                <w:color w:val="000000"/>
              </w:rPr>
              <w:t>2</w:t>
            </w:r>
            <w:r w:rsidR="005A7E0C" w:rsidRPr="00B10CF5">
              <w:rPr>
                <w:rFonts w:eastAsia="Times New Roman" w:cs="Arial"/>
                <w:color w:val="000000"/>
              </w:rPr>
              <w:t>5.</w:t>
            </w:r>
            <w:r w:rsidR="00406E4E" w:rsidRPr="00B10CF5">
              <w:rPr>
                <w:rFonts w:eastAsia="Times New Roman" w:cs="Arial"/>
                <w:color w:val="000000"/>
              </w:rPr>
              <w:t>02</w:t>
            </w:r>
            <w:r w:rsidR="005A7E0C" w:rsidRPr="00B10CF5">
              <w:rPr>
                <w:rFonts w:eastAsia="Times New Roman" w:cs="Arial"/>
                <w:color w:val="000000"/>
              </w:rPr>
              <w:t>0.00</w:t>
            </w:r>
            <w:r w:rsidRPr="00B10CF5">
              <w:rPr>
                <w:rFonts w:eastAsia="Times New Roman" w:cs="Arial"/>
                <w:color w:val="000000"/>
              </w:rPr>
              <w:t>0</w:t>
            </w:r>
          </w:p>
        </w:tc>
        <w:tc>
          <w:tcPr>
            <w:tcW w:w="1493" w:type="dxa"/>
            <w:tcBorders>
              <w:top w:val="nil"/>
              <w:left w:val="nil"/>
              <w:bottom w:val="single" w:sz="4" w:space="0" w:color="auto"/>
              <w:right w:val="single" w:sz="4" w:space="0" w:color="auto"/>
            </w:tcBorders>
            <w:shd w:val="clear" w:color="auto" w:fill="auto"/>
            <w:noWrap/>
            <w:hideMark/>
          </w:tcPr>
          <w:p w:rsidR="0050792F" w:rsidRPr="00B10CF5" w:rsidRDefault="005A7E0C" w:rsidP="00406E4E">
            <w:pPr>
              <w:tabs>
                <w:tab w:val="left" w:pos="2254"/>
              </w:tabs>
              <w:spacing w:after="0" w:line="240" w:lineRule="auto"/>
              <w:jc w:val="right"/>
              <w:rPr>
                <w:rFonts w:eastAsia="Times New Roman" w:cs="Arial"/>
                <w:color w:val="000000"/>
              </w:rPr>
            </w:pPr>
            <w:r w:rsidRPr="00B10CF5">
              <w:rPr>
                <w:rFonts w:eastAsia="Times New Roman" w:cs="Arial"/>
                <w:color w:val="000000"/>
              </w:rPr>
              <w:t>25.</w:t>
            </w:r>
            <w:r w:rsidR="00406E4E" w:rsidRPr="00B10CF5">
              <w:rPr>
                <w:rFonts w:eastAsia="Times New Roman" w:cs="Arial"/>
                <w:color w:val="000000"/>
              </w:rPr>
              <w:t>020</w:t>
            </w:r>
            <w:r w:rsidRPr="00B10CF5">
              <w:rPr>
                <w:rFonts w:eastAsia="Times New Roman" w:cs="Arial"/>
                <w:color w:val="000000"/>
              </w:rPr>
              <w:t>.</w:t>
            </w:r>
            <w:r w:rsidR="00406E4E" w:rsidRPr="00B10CF5">
              <w:rPr>
                <w:rFonts w:eastAsia="Times New Roman" w:cs="Arial"/>
                <w:color w:val="000000"/>
              </w:rPr>
              <w:t>000</w:t>
            </w:r>
          </w:p>
        </w:tc>
        <w:tc>
          <w:tcPr>
            <w:tcW w:w="1559" w:type="dxa"/>
            <w:tcBorders>
              <w:top w:val="nil"/>
              <w:left w:val="nil"/>
              <w:bottom w:val="single" w:sz="4" w:space="0" w:color="auto"/>
              <w:right w:val="single" w:sz="4" w:space="0" w:color="auto"/>
            </w:tcBorders>
            <w:shd w:val="clear" w:color="auto" w:fill="auto"/>
            <w:noWrap/>
            <w:hideMark/>
          </w:tcPr>
          <w:p w:rsidR="0050792F" w:rsidRPr="00B10CF5" w:rsidRDefault="0050792F" w:rsidP="005A7E0C">
            <w:pPr>
              <w:tabs>
                <w:tab w:val="left" w:pos="2254"/>
              </w:tabs>
              <w:spacing w:after="0" w:line="240" w:lineRule="auto"/>
              <w:rPr>
                <w:rFonts w:eastAsia="Times New Roman" w:cs="Arial"/>
                <w:color w:val="000000"/>
              </w:rPr>
            </w:pPr>
            <w:r w:rsidRPr="00B10CF5">
              <w:rPr>
                <w:rFonts w:eastAsia="Times New Roman" w:cs="Arial"/>
                <w:color w:val="000000"/>
              </w:rPr>
              <w:t>GOM</w:t>
            </w:r>
          </w:p>
        </w:tc>
      </w:tr>
      <w:tr w:rsidR="0096604F" w:rsidRPr="00B10CF5" w:rsidTr="00A63E4E">
        <w:trPr>
          <w:trHeight w:val="28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4838" w:type="dxa"/>
            <w:tcBorders>
              <w:top w:val="nil"/>
              <w:left w:val="nil"/>
              <w:bottom w:val="single" w:sz="4" w:space="0" w:color="auto"/>
              <w:right w:val="single" w:sz="4" w:space="0" w:color="auto"/>
            </w:tcBorders>
            <w:shd w:val="clear" w:color="auto" w:fill="auto"/>
            <w:vAlign w:val="bottom"/>
            <w:hideMark/>
          </w:tcPr>
          <w:p w:rsidR="0050792F" w:rsidRPr="00B10CF5" w:rsidRDefault="0050792F" w:rsidP="005D3930">
            <w:pPr>
              <w:tabs>
                <w:tab w:val="left" w:pos="2254"/>
              </w:tabs>
              <w:spacing w:after="0" w:line="240" w:lineRule="auto"/>
              <w:rPr>
                <w:rFonts w:eastAsia="Times New Roman" w:cs="Arial"/>
                <w:color w:val="000000"/>
              </w:rPr>
            </w:pPr>
            <w:r w:rsidRPr="00B10CF5">
              <w:rPr>
                <w:rFonts w:eastAsia="Times New Roman" w:cs="Arial"/>
                <w:color w:val="000000"/>
              </w:rPr>
              <w:t xml:space="preserve">Management of the Mongolia EITI </w:t>
            </w:r>
            <w:r w:rsidR="005D3930" w:rsidRPr="00B10CF5">
              <w:rPr>
                <w:rFonts w:eastAsia="Times New Roman" w:cs="Arial"/>
                <w:color w:val="000000"/>
              </w:rPr>
              <w:t>Secretariat</w:t>
            </w:r>
          </w:p>
        </w:tc>
        <w:tc>
          <w:tcPr>
            <w:tcW w:w="1384" w:type="dxa"/>
            <w:tcBorders>
              <w:top w:val="nil"/>
              <w:left w:val="nil"/>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1493" w:type="dxa"/>
            <w:tcBorders>
              <w:top w:val="nil"/>
              <w:left w:val="nil"/>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jc w:val="center"/>
              <w:rPr>
                <w:rFonts w:eastAsia="Times New Roman" w:cs="Arial"/>
                <w:color w:val="000000"/>
              </w:rPr>
            </w:pPr>
            <w:r w:rsidRPr="00B10CF5">
              <w:rPr>
                <w:rFonts w:eastAsia="Times New Roman" w:cs="Arial"/>
                <w:color w:val="000000"/>
              </w:rPr>
              <w:t> </w:t>
            </w:r>
          </w:p>
        </w:tc>
      </w:tr>
      <w:tr w:rsidR="0096604F" w:rsidRPr="00B10CF5" w:rsidTr="00A63E4E">
        <w:trPr>
          <w:trHeight w:val="28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4838" w:type="dxa"/>
            <w:tcBorders>
              <w:top w:val="nil"/>
              <w:left w:val="nil"/>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1384" w:type="dxa"/>
            <w:tcBorders>
              <w:top w:val="nil"/>
              <w:left w:val="nil"/>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1493" w:type="dxa"/>
            <w:tcBorders>
              <w:top w:val="nil"/>
              <w:left w:val="nil"/>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rPr>
                <w:rFonts w:eastAsia="Times New Roman" w:cs="Arial"/>
                <w:color w:val="000000"/>
              </w:rPr>
            </w:pPr>
            <w:r w:rsidRPr="00B10CF5">
              <w:rPr>
                <w:rFonts w:eastAsia="Times New Roman" w:cs="Arial"/>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50792F" w:rsidRPr="00B10CF5" w:rsidRDefault="0050792F" w:rsidP="005D3930">
            <w:pPr>
              <w:tabs>
                <w:tab w:val="left" w:pos="2254"/>
              </w:tabs>
              <w:spacing w:after="0" w:line="240" w:lineRule="auto"/>
              <w:jc w:val="center"/>
              <w:rPr>
                <w:rFonts w:eastAsia="Times New Roman" w:cs="Arial"/>
                <w:color w:val="000000"/>
              </w:rPr>
            </w:pPr>
            <w:r w:rsidRPr="00B10CF5">
              <w:rPr>
                <w:rFonts w:eastAsia="Times New Roman" w:cs="Arial"/>
                <w:color w:val="000000"/>
              </w:rPr>
              <w:t> </w:t>
            </w:r>
          </w:p>
        </w:tc>
      </w:tr>
      <w:tr w:rsidR="0096604F" w:rsidRPr="00B10CF5" w:rsidTr="00A63E4E">
        <w:trPr>
          <w:trHeight w:val="360"/>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50792F" w:rsidP="00406E4E">
            <w:pPr>
              <w:tabs>
                <w:tab w:val="left" w:pos="2254"/>
              </w:tabs>
              <w:spacing w:after="0" w:line="240" w:lineRule="auto"/>
              <w:rPr>
                <w:rFonts w:eastAsia="Times New Roman" w:cs="Arial"/>
                <w:color w:val="000000"/>
              </w:rPr>
            </w:pPr>
            <w:r w:rsidRPr="00B10CF5">
              <w:rPr>
                <w:rFonts w:eastAsia="Times New Roman" w:cs="Arial"/>
                <w:color w:val="000000"/>
              </w:rPr>
              <w:lastRenderedPageBreak/>
              <w:t> </w:t>
            </w:r>
            <w:r w:rsidR="00406E4E" w:rsidRPr="00B10CF5">
              <w:rPr>
                <w:rFonts w:eastAsia="Times New Roman" w:cs="Arial"/>
                <w:color w:val="000000"/>
              </w:rPr>
              <w:t>1</w:t>
            </w:r>
          </w:p>
        </w:tc>
        <w:tc>
          <w:tcPr>
            <w:tcW w:w="4838" w:type="dxa"/>
            <w:tcBorders>
              <w:top w:val="nil"/>
              <w:left w:val="nil"/>
              <w:bottom w:val="single" w:sz="4" w:space="0" w:color="auto"/>
              <w:right w:val="single" w:sz="4" w:space="0" w:color="auto"/>
            </w:tcBorders>
            <w:shd w:val="clear" w:color="auto" w:fill="auto"/>
            <w:noWrap/>
            <w:hideMark/>
          </w:tcPr>
          <w:p w:rsidR="0050792F" w:rsidRPr="00B10CF5" w:rsidRDefault="0050792F" w:rsidP="005A7E0C">
            <w:pPr>
              <w:tabs>
                <w:tab w:val="left" w:pos="2254"/>
              </w:tabs>
              <w:spacing w:after="0" w:line="240" w:lineRule="auto"/>
              <w:rPr>
                <w:rFonts w:eastAsia="Times New Roman" w:cs="Arial"/>
                <w:color w:val="000000"/>
              </w:rPr>
            </w:pPr>
            <w:r w:rsidRPr="00B10CF5">
              <w:rPr>
                <w:rFonts w:eastAsia="Times New Roman" w:cs="Arial"/>
                <w:color w:val="000000"/>
              </w:rPr>
              <w:t xml:space="preserve">Annual </w:t>
            </w:r>
            <w:r w:rsidR="005D3930" w:rsidRPr="00B10CF5">
              <w:rPr>
                <w:rFonts w:eastAsia="Times New Roman" w:cs="Arial"/>
                <w:color w:val="000000"/>
              </w:rPr>
              <w:t>Assessment</w:t>
            </w:r>
            <w:r w:rsidRPr="00B10CF5">
              <w:rPr>
                <w:rFonts w:eastAsia="Times New Roman" w:cs="Arial"/>
                <w:color w:val="000000"/>
              </w:rPr>
              <w:t xml:space="preserve"> and  Planning workshop</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jc w:val="right"/>
              <w:rPr>
                <w:rFonts w:eastAsia="Times New Roman" w:cs="Arial"/>
                <w:color w:val="000000"/>
              </w:rPr>
            </w:pPr>
            <w:r w:rsidRPr="00B10CF5">
              <w:rPr>
                <w:rFonts w:eastAsia="Times New Roman" w:cs="Arial"/>
                <w:color w:val="000000"/>
              </w:rPr>
              <w:t>20.000.000</w:t>
            </w:r>
            <w:r w:rsidR="0050792F" w:rsidRPr="00B10CF5">
              <w:rPr>
                <w:rFonts w:eastAsia="Times New Roman" w:cs="Arial"/>
                <w:color w:val="000000"/>
              </w:rPr>
              <w:t xml:space="preserve">    </w:t>
            </w:r>
          </w:p>
        </w:tc>
        <w:tc>
          <w:tcPr>
            <w:tcW w:w="1493" w:type="dxa"/>
            <w:tcBorders>
              <w:top w:val="nil"/>
              <w:left w:val="nil"/>
              <w:bottom w:val="single" w:sz="4" w:space="0" w:color="auto"/>
              <w:right w:val="single" w:sz="4" w:space="0" w:color="auto"/>
            </w:tcBorders>
            <w:shd w:val="clear" w:color="auto" w:fill="auto"/>
            <w:noWrap/>
            <w:hideMark/>
          </w:tcPr>
          <w:p w:rsidR="0050792F" w:rsidRPr="00B10CF5" w:rsidRDefault="0050792F" w:rsidP="00406E4E">
            <w:pPr>
              <w:tabs>
                <w:tab w:val="left" w:pos="2254"/>
              </w:tabs>
              <w:spacing w:after="0" w:line="240" w:lineRule="auto"/>
              <w:jc w:val="right"/>
              <w:rPr>
                <w:rFonts w:eastAsia="Times New Roman" w:cs="Arial"/>
                <w:color w:val="000000"/>
              </w:rPr>
            </w:pPr>
            <w:r w:rsidRPr="00B10CF5">
              <w:rPr>
                <w:rFonts w:eastAsia="Times New Roman" w:cs="Arial"/>
                <w:color w:val="000000"/>
              </w:rPr>
              <w:t xml:space="preserve">  </w:t>
            </w:r>
            <w:r w:rsidR="00406E4E" w:rsidRPr="00B10CF5">
              <w:rPr>
                <w:rFonts w:eastAsia="Times New Roman" w:cs="Arial"/>
                <w:color w:val="000000"/>
              </w:rPr>
              <w:t>19</w:t>
            </w:r>
            <w:r w:rsidR="005A7E0C" w:rsidRPr="00B10CF5">
              <w:rPr>
                <w:rFonts w:eastAsia="Times New Roman" w:cs="Arial"/>
                <w:color w:val="000000"/>
              </w:rPr>
              <w:t>.</w:t>
            </w:r>
            <w:r w:rsidR="00406E4E" w:rsidRPr="00B10CF5">
              <w:rPr>
                <w:rFonts w:eastAsia="Times New Roman" w:cs="Arial"/>
                <w:color w:val="000000"/>
              </w:rPr>
              <w:t>233</w:t>
            </w:r>
            <w:r w:rsidR="005A7E0C" w:rsidRPr="00B10CF5">
              <w:rPr>
                <w:rFonts w:eastAsia="Times New Roman" w:cs="Arial"/>
                <w:color w:val="000000"/>
              </w:rPr>
              <w:t>.</w:t>
            </w:r>
            <w:r w:rsidR="00406E4E" w:rsidRPr="00B10CF5">
              <w:rPr>
                <w:rFonts w:eastAsia="Times New Roman" w:cs="Arial"/>
                <w:color w:val="000000"/>
              </w:rPr>
              <w:t>035</w:t>
            </w:r>
          </w:p>
        </w:tc>
        <w:tc>
          <w:tcPr>
            <w:tcW w:w="1559" w:type="dxa"/>
            <w:tcBorders>
              <w:top w:val="nil"/>
              <w:left w:val="nil"/>
              <w:bottom w:val="single" w:sz="4" w:space="0" w:color="auto"/>
              <w:right w:val="single" w:sz="4" w:space="0" w:color="auto"/>
            </w:tcBorders>
            <w:shd w:val="clear" w:color="auto" w:fill="auto"/>
            <w:noWrap/>
            <w:hideMark/>
          </w:tcPr>
          <w:p w:rsidR="0050792F" w:rsidRPr="00B10CF5" w:rsidRDefault="00406E4E" w:rsidP="005A7E0C">
            <w:pPr>
              <w:tabs>
                <w:tab w:val="left" w:pos="2254"/>
              </w:tabs>
              <w:spacing w:after="0" w:line="240" w:lineRule="auto"/>
              <w:rPr>
                <w:rFonts w:eastAsia="Times New Roman" w:cs="Arial"/>
                <w:color w:val="000000"/>
              </w:rPr>
            </w:pPr>
            <w:r w:rsidRPr="00B10CF5">
              <w:rPr>
                <w:rFonts w:eastAsia="Times New Roman" w:cs="Arial"/>
                <w:color w:val="000000"/>
              </w:rPr>
              <w:t>Grant of EBRD</w:t>
            </w:r>
          </w:p>
        </w:tc>
      </w:tr>
      <w:tr w:rsidR="0096604F" w:rsidRPr="00B10CF5" w:rsidTr="0096604F">
        <w:trPr>
          <w:trHeight w:val="285"/>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50792F" w:rsidP="00406E4E">
            <w:pPr>
              <w:tabs>
                <w:tab w:val="left" w:pos="2254"/>
              </w:tabs>
              <w:spacing w:after="0" w:line="240" w:lineRule="auto"/>
              <w:rPr>
                <w:rFonts w:eastAsia="Times New Roman" w:cs="Arial"/>
                <w:color w:val="000000"/>
              </w:rPr>
            </w:pPr>
            <w:r w:rsidRPr="00B10CF5">
              <w:rPr>
                <w:rFonts w:eastAsia="Times New Roman" w:cs="Arial"/>
                <w:color w:val="000000"/>
              </w:rPr>
              <w:t> </w:t>
            </w:r>
            <w:r w:rsidR="00406E4E" w:rsidRPr="00B10CF5">
              <w:rPr>
                <w:rFonts w:eastAsia="Times New Roman" w:cs="Arial"/>
                <w:color w:val="000000"/>
              </w:rPr>
              <w:t>2</w:t>
            </w:r>
          </w:p>
        </w:tc>
        <w:tc>
          <w:tcPr>
            <w:tcW w:w="4838" w:type="dxa"/>
            <w:tcBorders>
              <w:top w:val="nil"/>
              <w:left w:val="nil"/>
              <w:bottom w:val="single" w:sz="4" w:space="0" w:color="auto"/>
              <w:right w:val="single" w:sz="4" w:space="0" w:color="auto"/>
            </w:tcBorders>
            <w:shd w:val="clear" w:color="auto" w:fill="auto"/>
            <w:noWrap/>
            <w:hideMark/>
          </w:tcPr>
          <w:p w:rsidR="0050792F" w:rsidRPr="00B10CF5" w:rsidRDefault="005A7E0C" w:rsidP="005A7E0C">
            <w:pPr>
              <w:tabs>
                <w:tab w:val="left" w:pos="2254"/>
              </w:tabs>
              <w:spacing w:after="0" w:line="240" w:lineRule="auto"/>
              <w:rPr>
                <w:rFonts w:eastAsia="Times New Roman" w:cs="Arial"/>
                <w:color w:val="000000"/>
              </w:rPr>
            </w:pPr>
            <w:r w:rsidRPr="00B10CF5">
              <w:rPr>
                <w:rFonts w:eastAsia="Times New Roman" w:cs="Arial"/>
                <w:color w:val="000000"/>
              </w:rPr>
              <w:t>S</w:t>
            </w:r>
            <w:r w:rsidR="0050792F" w:rsidRPr="00B10CF5">
              <w:rPr>
                <w:rFonts w:eastAsia="Times New Roman" w:cs="Arial"/>
                <w:color w:val="000000"/>
              </w:rPr>
              <w:t>alaries of the EITI Secretariat</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jc w:val="right"/>
              <w:rPr>
                <w:rFonts w:eastAsia="Times New Roman" w:cs="Arial"/>
                <w:color w:val="000000"/>
              </w:rPr>
            </w:pPr>
            <w:r w:rsidRPr="00B10CF5">
              <w:rPr>
                <w:rFonts w:eastAsia="Times New Roman" w:cs="Arial"/>
                <w:color w:val="000000"/>
              </w:rPr>
              <w:t>75.000.000</w:t>
            </w:r>
          </w:p>
        </w:tc>
        <w:tc>
          <w:tcPr>
            <w:tcW w:w="1493" w:type="dxa"/>
            <w:tcBorders>
              <w:top w:val="nil"/>
              <w:left w:val="nil"/>
              <w:bottom w:val="single" w:sz="4" w:space="0" w:color="auto"/>
              <w:right w:val="single" w:sz="4" w:space="0" w:color="auto"/>
            </w:tcBorders>
            <w:shd w:val="clear" w:color="auto" w:fill="auto"/>
            <w:noWrap/>
            <w:hideMark/>
          </w:tcPr>
          <w:p w:rsidR="0050792F" w:rsidRPr="00B10CF5" w:rsidRDefault="00406E4E" w:rsidP="00406E4E">
            <w:pPr>
              <w:tabs>
                <w:tab w:val="left" w:pos="2254"/>
              </w:tabs>
              <w:spacing w:after="0" w:line="240" w:lineRule="auto"/>
              <w:jc w:val="right"/>
              <w:rPr>
                <w:rFonts w:eastAsia="Times New Roman" w:cs="Arial"/>
                <w:color w:val="000000"/>
              </w:rPr>
            </w:pPr>
            <w:r w:rsidRPr="00B10CF5">
              <w:rPr>
                <w:rFonts w:eastAsia="Times New Roman" w:cs="Arial"/>
                <w:color w:val="000000"/>
              </w:rPr>
              <w:t>74.868.750</w:t>
            </w:r>
          </w:p>
        </w:tc>
        <w:tc>
          <w:tcPr>
            <w:tcW w:w="1559" w:type="dxa"/>
            <w:tcBorders>
              <w:top w:val="nil"/>
              <w:left w:val="nil"/>
              <w:bottom w:val="single" w:sz="4" w:space="0" w:color="auto"/>
              <w:right w:val="single" w:sz="4" w:space="0" w:color="auto"/>
            </w:tcBorders>
            <w:shd w:val="clear" w:color="auto" w:fill="auto"/>
            <w:noWrap/>
          </w:tcPr>
          <w:p w:rsidR="0050792F" w:rsidRPr="00B10CF5" w:rsidRDefault="0096604F" w:rsidP="005A7E0C">
            <w:pPr>
              <w:tabs>
                <w:tab w:val="left" w:pos="2254"/>
              </w:tabs>
              <w:spacing w:after="0" w:line="240" w:lineRule="auto"/>
              <w:rPr>
                <w:rFonts w:eastAsia="Times New Roman" w:cs="Arial"/>
                <w:color w:val="000000"/>
              </w:rPr>
            </w:pPr>
            <w:r w:rsidRPr="00B10CF5">
              <w:rPr>
                <w:rFonts w:eastAsia="Times New Roman" w:cs="Arial"/>
                <w:color w:val="000000"/>
              </w:rPr>
              <w:t>Grant of EBRD</w:t>
            </w:r>
          </w:p>
        </w:tc>
      </w:tr>
      <w:tr w:rsidR="0096604F" w:rsidRPr="00B10CF5" w:rsidTr="0096604F">
        <w:trPr>
          <w:trHeight w:val="510"/>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50792F" w:rsidP="00406E4E">
            <w:pPr>
              <w:tabs>
                <w:tab w:val="left" w:pos="2254"/>
              </w:tabs>
              <w:spacing w:after="0" w:line="240" w:lineRule="auto"/>
              <w:rPr>
                <w:rFonts w:eastAsia="Times New Roman" w:cs="Arial"/>
                <w:color w:val="000000"/>
              </w:rPr>
            </w:pPr>
            <w:r w:rsidRPr="00B10CF5">
              <w:rPr>
                <w:rFonts w:eastAsia="Times New Roman" w:cs="Arial"/>
                <w:color w:val="000000"/>
              </w:rPr>
              <w:t> </w:t>
            </w:r>
            <w:r w:rsidR="00406E4E" w:rsidRPr="00B10CF5">
              <w:rPr>
                <w:rFonts w:eastAsia="Times New Roman" w:cs="Arial"/>
                <w:color w:val="000000"/>
              </w:rPr>
              <w:t>3</w:t>
            </w:r>
          </w:p>
        </w:tc>
        <w:tc>
          <w:tcPr>
            <w:tcW w:w="4838" w:type="dxa"/>
            <w:tcBorders>
              <w:top w:val="nil"/>
              <w:left w:val="nil"/>
              <w:bottom w:val="single" w:sz="4" w:space="0" w:color="auto"/>
              <w:right w:val="single" w:sz="4" w:space="0" w:color="auto"/>
            </w:tcBorders>
            <w:shd w:val="clear" w:color="auto" w:fill="auto"/>
            <w:hideMark/>
          </w:tcPr>
          <w:p w:rsidR="0050792F" w:rsidRPr="00B10CF5" w:rsidRDefault="0050792F" w:rsidP="005A7E0C">
            <w:pPr>
              <w:tabs>
                <w:tab w:val="left" w:pos="2254"/>
              </w:tabs>
              <w:spacing w:after="0" w:line="240" w:lineRule="auto"/>
              <w:rPr>
                <w:rFonts w:eastAsia="Times New Roman" w:cs="Arial"/>
                <w:color w:val="000000"/>
              </w:rPr>
            </w:pPr>
            <w:r w:rsidRPr="00B10CF5">
              <w:rPr>
                <w:rFonts w:eastAsia="Times New Roman" w:cs="Arial"/>
                <w:color w:val="000000"/>
              </w:rPr>
              <w:t xml:space="preserve">Operational Expenses (equipment, Rental, communications, </w:t>
            </w:r>
            <w:r w:rsidR="005D3930" w:rsidRPr="00B10CF5">
              <w:rPr>
                <w:rFonts w:eastAsia="Times New Roman" w:cs="Arial"/>
                <w:color w:val="000000"/>
              </w:rPr>
              <w:t>representation</w:t>
            </w:r>
            <w:r w:rsidRPr="00B10CF5">
              <w:rPr>
                <w:rFonts w:eastAsia="Times New Roman" w:cs="Arial"/>
                <w:color w:val="000000"/>
              </w:rPr>
              <w:t xml:space="preserve"> and transportation)</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96604F" w:rsidP="0096604F">
            <w:pPr>
              <w:tabs>
                <w:tab w:val="left" w:pos="2254"/>
              </w:tabs>
              <w:spacing w:after="0" w:line="240" w:lineRule="auto"/>
              <w:jc w:val="right"/>
              <w:rPr>
                <w:rFonts w:eastAsia="Times New Roman" w:cs="Arial"/>
                <w:color w:val="000000"/>
              </w:rPr>
            </w:pPr>
            <w:r w:rsidRPr="00B10CF5">
              <w:rPr>
                <w:rFonts w:eastAsia="Times New Roman" w:cs="Arial"/>
                <w:color w:val="000000"/>
              </w:rPr>
              <w:t>45</w:t>
            </w:r>
            <w:r w:rsidR="005A7E0C" w:rsidRPr="00B10CF5">
              <w:rPr>
                <w:rFonts w:eastAsia="Times New Roman" w:cs="Arial"/>
                <w:color w:val="000000"/>
              </w:rPr>
              <w:t>.</w:t>
            </w:r>
            <w:r w:rsidRPr="00B10CF5">
              <w:rPr>
                <w:rFonts w:eastAsia="Times New Roman" w:cs="Arial"/>
                <w:color w:val="000000"/>
              </w:rPr>
              <w:t>3</w:t>
            </w:r>
            <w:r w:rsidR="005A7E0C" w:rsidRPr="00B10CF5">
              <w:rPr>
                <w:rFonts w:eastAsia="Times New Roman" w:cs="Arial"/>
                <w:color w:val="000000"/>
              </w:rPr>
              <w:t>00.000</w:t>
            </w:r>
          </w:p>
        </w:tc>
        <w:tc>
          <w:tcPr>
            <w:tcW w:w="1493" w:type="dxa"/>
            <w:tcBorders>
              <w:top w:val="nil"/>
              <w:left w:val="nil"/>
              <w:bottom w:val="single" w:sz="4" w:space="0" w:color="auto"/>
              <w:right w:val="single" w:sz="4" w:space="0" w:color="auto"/>
            </w:tcBorders>
            <w:shd w:val="clear" w:color="auto" w:fill="auto"/>
            <w:noWrap/>
            <w:hideMark/>
          </w:tcPr>
          <w:p w:rsidR="0050792F" w:rsidRPr="00B10CF5" w:rsidRDefault="0096604F" w:rsidP="0096604F">
            <w:pPr>
              <w:tabs>
                <w:tab w:val="left" w:pos="2254"/>
              </w:tabs>
              <w:spacing w:after="0" w:line="240" w:lineRule="auto"/>
              <w:jc w:val="right"/>
              <w:rPr>
                <w:rFonts w:eastAsia="Times New Roman" w:cs="Arial"/>
                <w:color w:val="000000"/>
              </w:rPr>
            </w:pPr>
            <w:r w:rsidRPr="00B10CF5">
              <w:rPr>
                <w:rFonts w:eastAsia="Times New Roman" w:cs="Arial"/>
                <w:color w:val="000000"/>
              </w:rPr>
              <w:t>36</w:t>
            </w:r>
            <w:r w:rsidR="005A7E0C" w:rsidRPr="00B10CF5">
              <w:rPr>
                <w:rFonts w:eastAsia="Times New Roman" w:cs="Arial"/>
                <w:color w:val="000000"/>
              </w:rPr>
              <w:t>.</w:t>
            </w:r>
            <w:r w:rsidRPr="00B10CF5">
              <w:rPr>
                <w:rFonts w:eastAsia="Times New Roman" w:cs="Arial"/>
                <w:color w:val="000000"/>
              </w:rPr>
              <w:t>429</w:t>
            </w:r>
            <w:r w:rsidR="005A7E0C" w:rsidRPr="00B10CF5">
              <w:rPr>
                <w:rFonts w:eastAsia="Times New Roman" w:cs="Arial"/>
                <w:color w:val="000000"/>
              </w:rPr>
              <w:t>.</w:t>
            </w:r>
            <w:r w:rsidRPr="00B10CF5">
              <w:rPr>
                <w:rFonts w:eastAsia="Times New Roman" w:cs="Arial"/>
                <w:color w:val="000000"/>
              </w:rPr>
              <w:t>837</w:t>
            </w:r>
          </w:p>
        </w:tc>
        <w:tc>
          <w:tcPr>
            <w:tcW w:w="1559" w:type="dxa"/>
            <w:tcBorders>
              <w:top w:val="nil"/>
              <w:left w:val="nil"/>
              <w:bottom w:val="single" w:sz="4" w:space="0" w:color="auto"/>
              <w:right w:val="single" w:sz="4" w:space="0" w:color="auto"/>
            </w:tcBorders>
            <w:shd w:val="clear" w:color="auto" w:fill="auto"/>
            <w:noWrap/>
          </w:tcPr>
          <w:p w:rsidR="0050792F" w:rsidRPr="00B10CF5" w:rsidRDefault="0096604F" w:rsidP="005A7E0C">
            <w:pPr>
              <w:tabs>
                <w:tab w:val="left" w:pos="2254"/>
              </w:tabs>
              <w:spacing w:after="0" w:line="240" w:lineRule="auto"/>
              <w:rPr>
                <w:rFonts w:eastAsia="Times New Roman" w:cs="Arial"/>
                <w:color w:val="000000"/>
              </w:rPr>
            </w:pPr>
            <w:r w:rsidRPr="00B10CF5">
              <w:rPr>
                <w:rFonts w:eastAsia="Times New Roman" w:cs="Arial"/>
                <w:color w:val="000000"/>
              </w:rPr>
              <w:t>Grant of EBRD</w:t>
            </w:r>
          </w:p>
        </w:tc>
      </w:tr>
      <w:tr w:rsidR="0096604F" w:rsidRPr="00B10CF5" w:rsidTr="00A63E4E">
        <w:trPr>
          <w:trHeight w:val="309"/>
        </w:trPr>
        <w:tc>
          <w:tcPr>
            <w:tcW w:w="522" w:type="dxa"/>
            <w:tcBorders>
              <w:top w:val="nil"/>
              <w:left w:val="single" w:sz="4" w:space="0" w:color="auto"/>
              <w:bottom w:val="single" w:sz="4" w:space="0" w:color="auto"/>
              <w:right w:val="single" w:sz="4" w:space="0" w:color="auto"/>
            </w:tcBorders>
            <w:shd w:val="clear" w:color="auto" w:fill="auto"/>
            <w:noWrap/>
            <w:hideMark/>
          </w:tcPr>
          <w:p w:rsidR="0050792F" w:rsidRPr="00B10CF5" w:rsidRDefault="0050792F" w:rsidP="00E56A78">
            <w:pPr>
              <w:tabs>
                <w:tab w:val="left" w:pos="2254"/>
              </w:tabs>
              <w:spacing w:after="0" w:line="240" w:lineRule="auto"/>
              <w:rPr>
                <w:rFonts w:eastAsia="Times New Roman" w:cs="Arial"/>
                <w:color w:val="000000"/>
              </w:rPr>
            </w:pPr>
            <w:r w:rsidRPr="00B10CF5">
              <w:rPr>
                <w:rFonts w:eastAsia="Times New Roman" w:cs="Arial"/>
                <w:color w:val="000000"/>
              </w:rPr>
              <w:t> </w:t>
            </w:r>
          </w:p>
        </w:tc>
        <w:tc>
          <w:tcPr>
            <w:tcW w:w="4838" w:type="dxa"/>
            <w:tcBorders>
              <w:top w:val="nil"/>
              <w:left w:val="nil"/>
              <w:bottom w:val="single" w:sz="4" w:space="0" w:color="auto"/>
              <w:right w:val="single" w:sz="4" w:space="0" w:color="auto"/>
            </w:tcBorders>
            <w:shd w:val="clear" w:color="auto" w:fill="auto"/>
            <w:noWrap/>
            <w:hideMark/>
          </w:tcPr>
          <w:p w:rsidR="0050792F" w:rsidRPr="00B10CF5" w:rsidRDefault="0050792F" w:rsidP="00E56A78">
            <w:pPr>
              <w:tabs>
                <w:tab w:val="left" w:pos="2254"/>
              </w:tabs>
              <w:spacing w:after="0" w:line="240" w:lineRule="auto"/>
              <w:rPr>
                <w:rFonts w:eastAsia="Times New Roman" w:cs="Arial"/>
                <w:b/>
                <w:bCs/>
                <w:color w:val="000000"/>
              </w:rPr>
            </w:pPr>
            <w:r w:rsidRPr="00B10CF5">
              <w:rPr>
                <w:rFonts w:eastAsia="Times New Roman" w:cs="Arial"/>
                <w:b/>
                <w:bCs/>
                <w:color w:val="000000"/>
              </w:rPr>
              <w:t>TOTAL</w:t>
            </w:r>
          </w:p>
        </w:tc>
        <w:tc>
          <w:tcPr>
            <w:tcW w:w="1384" w:type="dxa"/>
            <w:tcBorders>
              <w:top w:val="nil"/>
              <w:left w:val="nil"/>
              <w:bottom w:val="single" w:sz="4" w:space="0" w:color="auto"/>
              <w:right w:val="single" w:sz="4" w:space="0" w:color="auto"/>
            </w:tcBorders>
            <w:shd w:val="clear" w:color="auto" w:fill="auto"/>
            <w:noWrap/>
            <w:hideMark/>
          </w:tcPr>
          <w:p w:rsidR="0050792F" w:rsidRPr="00B10CF5" w:rsidRDefault="0096604F" w:rsidP="0096604F">
            <w:pPr>
              <w:tabs>
                <w:tab w:val="left" w:pos="2254"/>
              </w:tabs>
              <w:spacing w:after="0" w:line="240" w:lineRule="auto"/>
              <w:jc w:val="right"/>
              <w:rPr>
                <w:rFonts w:eastAsia="Times New Roman" w:cs="Arial"/>
                <w:b/>
                <w:bCs/>
                <w:color w:val="000000"/>
              </w:rPr>
            </w:pPr>
            <w:r w:rsidRPr="00B10CF5">
              <w:rPr>
                <w:rFonts w:eastAsia="Times New Roman" w:cs="Arial"/>
                <w:b/>
                <w:bCs/>
                <w:color w:val="000000"/>
              </w:rPr>
              <w:t>419.984.000</w:t>
            </w:r>
          </w:p>
        </w:tc>
        <w:tc>
          <w:tcPr>
            <w:tcW w:w="1493" w:type="dxa"/>
            <w:tcBorders>
              <w:top w:val="nil"/>
              <w:left w:val="nil"/>
              <w:bottom w:val="single" w:sz="4" w:space="0" w:color="auto"/>
              <w:right w:val="single" w:sz="4" w:space="0" w:color="auto"/>
            </w:tcBorders>
            <w:shd w:val="clear" w:color="auto" w:fill="auto"/>
            <w:noWrap/>
            <w:hideMark/>
          </w:tcPr>
          <w:p w:rsidR="0050792F" w:rsidRPr="00B10CF5" w:rsidRDefault="0096604F" w:rsidP="0096604F">
            <w:pPr>
              <w:tabs>
                <w:tab w:val="left" w:pos="2254"/>
              </w:tabs>
              <w:spacing w:after="0" w:line="240" w:lineRule="auto"/>
              <w:jc w:val="right"/>
              <w:rPr>
                <w:rFonts w:eastAsia="Times New Roman" w:cs="Arial"/>
                <w:b/>
                <w:bCs/>
                <w:color w:val="000000"/>
              </w:rPr>
            </w:pPr>
            <w:r w:rsidRPr="00B10CF5">
              <w:rPr>
                <w:rFonts w:eastAsia="Times New Roman" w:cs="Arial"/>
                <w:b/>
                <w:bCs/>
                <w:color w:val="000000"/>
              </w:rPr>
              <w:t>368.137.133</w:t>
            </w:r>
          </w:p>
        </w:tc>
        <w:tc>
          <w:tcPr>
            <w:tcW w:w="1559" w:type="dxa"/>
            <w:tcBorders>
              <w:top w:val="nil"/>
              <w:left w:val="nil"/>
              <w:bottom w:val="single" w:sz="4" w:space="0" w:color="auto"/>
              <w:right w:val="single" w:sz="4" w:space="0" w:color="auto"/>
            </w:tcBorders>
            <w:shd w:val="clear" w:color="auto" w:fill="auto"/>
            <w:noWrap/>
            <w:hideMark/>
          </w:tcPr>
          <w:p w:rsidR="0050792F" w:rsidRPr="00B10CF5" w:rsidRDefault="0050792F" w:rsidP="00E56A78">
            <w:pPr>
              <w:tabs>
                <w:tab w:val="left" w:pos="2254"/>
              </w:tabs>
              <w:spacing w:after="0" w:line="240" w:lineRule="auto"/>
              <w:jc w:val="right"/>
              <w:rPr>
                <w:rFonts w:eastAsia="Times New Roman" w:cs="Arial"/>
                <w:color w:val="000000"/>
              </w:rPr>
            </w:pPr>
            <w:r w:rsidRPr="00B10CF5">
              <w:rPr>
                <w:rFonts w:eastAsia="Times New Roman" w:cs="Arial"/>
                <w:color w:val="000000"/>
              </w:rPr>
              <w:t> </w:t>
            </w:r>
          </w:p>
        </w:tc>
      </w:tr>
      <w:tr w:rsidR="0096604F" w:rsidRPr="00B10CF5" w:rsidTr="0096604F">
        <w:trPr>
          <w:trHeight w:val="28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6604F" w:rsidRPr="00B10CF5" w:rsidRDefault="0096604F" w:rsidP="0096604F">
            <w:pPr>
              <w:tabs>
                <w:tab w:val="left" w:pos="2254"/>
              </w:tabs>
              <w:spacing w:after="0" w:line="240" w:lineRule="auto"/>
              <w:rPr>
                <w:rFonts w:eastAsia="Times New Roman" w:cs="Arial"/>
                <w:color w:val="000000"/>
              </w:rPr>
            </w:pPr>
            <w:r w:rsidRPr="00B10CF5">
              <w:rPr>
                <w:rFonts w:eastAsia="Times New Roman" w:cs="Arial"/>
                <w:color w:val="000000"/>
              </w:rPr>
              <w:t> </w:t>
            </w:r>
          </w:p>
        </w:tc>
        <w:tc>
          <w:tcPr>
            <w:tcW w:w="4838" w:type="dxa"/>
            <w:tcBorders>
              <w:top w:val="nil"/>
              <w:left w:val="nil"/>
              <w:bottom w:val="single" w:sz="4" w:space="0" w:color="auto"/>
              <w:right w:val="single" w:sz="4" w:space="0" w:color="auto"/>
            </w:tcBorders>
            <w:shd w:val="clear" w:color="auto" w:fill="auto"/>
            <w:noWrap/>
            <w:vAlign w:val="bottom"/>
          </w:tcPr>
          <w:p w:rsidR="0096604F" w:rsidRPr="00B10CF5" w:rsidRDefault="0096604F" w:rsidP="0096604F">
            <w:pPr>
              <w:tabs>
                <w:tab w:val="left" w:pos="2254"/>
              </w:tabs>
              <w:spacing w:after="0" w:line="240" w:lineRule="auto"/>
              <w:rPr>
                <w:rFonts w:eastAsia="Times New Roman" w:cs="Arial"/>
                <w:color w:val="000000"/>
              </w:rPr>
            </w:pPr>
            <w:r w:rsidRPr="00B10CF5">
              <w:rPr>
                <w:rFonts w:eastAsia="Times New Roman" w:cs="Arial"/>
                <w:color w:val="000000"/>
              </w:rPr>
              <w:t>GOM funds</w:t>
            </w:r>
          </w:p>
        </w:tc>
        <w:tc>
          <w:tcPr>
            <w:tcW w:w="1384" w:type="dxa"/>
            <w:tcBorders>
              <w:top w:val="nil"/>
              <w:left w:val="nil"/>
              <w:bottom w:val="single" w:sz="4" w:space="0" w:color="auto"/>
              <w:right w:val="single" w:sz="4" w:space="0" w:color="auto"/>
            </w:tcBorders>
            <w:shd w:val="clear" w:color="auto" w:fill="auto"/>
            <w:noWrap/>
            <w:vAlign w:val="bottom"/>
          </w:tcPr>
          <w:p w:rsidR="0096604F" w:rsidRPr="00B10CF5" w:rsidRDefault="0096604F" w:rsidP="0096604F">
            <w:pPr>
              <w:tabs>
                <w:tab w:val="left" w:pos="2254"/>
              </w:tabs>
              <w:spacing w:after="0" w:line="240" w:lineRule="auto"/>
              <w:jc w:val="right"/>
              <w:rPr>
                <w:rFonts w:eastAsia="Times New Roman" w:cs="Arial"/>
                <w:color w:val="000000"/>
              </w:rPr>
            </w:pPr>
            <w:r w:rsidRPr="00B10CF5">
              <w:rPr>
                <w:rFonts w:eastAsia="Times New Roman" w:cs="Arial"/>
                <w:color w:val="000000"/>
              </w:rPr>
              <w:t>254.430.000</w:t>
            </w:r>
          </w:p>
        </w:tc>
        <w:tc>
          <w:tcPr>
            <w:tcW w:w="1493" w:type="dxa"/>
            <w:tcBorders>
              <w:top w:val="nil"/>
              <w:left w:val="nil"/>
              <w:bottom w:val="single" w:sz="4" w:space="0" w:color="auto"/>
              <w:right w:val="single" w:sz="4" w:space="0" w:color="auto"/>
            </w:tcBorders>
            <w:shd w:val="clear" w:color="auto" w:fill="auto"/>
            <w:noWrap/>
            <w:vAlign w:val="bottom"/>
          </w:tcPr>
          <w:p w:rsidR="0096604F" w:rsidRPr="00B10CF5" w:rsidRDefault="0096604F" w:rsidP="0096604F">
            <w:pPr>
              <w:tabs>
                <w:tab w:val="left" w:pos="2254"/>
              </w:tabs>
              <w:spacing w:after="0" w:line="240" w:lineRule="auto"/>
              <w:jc w:val="right"/>
              <w:rPr>
                <w:rFonts w:eastAsia="Times New Roman" w:cs="Arial"/>
                <w:color w:val="000000"/>
              </w:rPr>
            </w:pPr>
            <w:r w:rsidRPr="00B10CF5">
              <w:rPr>
                <w:rFonts w:eastAsia="Times New Roman" w:cs="Arial"/>
                <w:color w:val="000000"/>
              </w:rPr>
              <w:t xml:space="preserve">  221.172.948</w:t>
            </w:r>
          </w:p>
        </w:tc>
        <w:tc>
          <w:tcPr>
            <w:tcW w:w="1559" w:type="dxa"/>
            <w:tcBorders>
              <w:top w:val="nil"/>
              <w:left w:val="nil"/>
              <w:bottom w:val="single" w:sz="4" w:space="0" w:color="auto"/>
              <w:right w:val="single" w:sz="4" w:space="0" w:color="auto"/>
            </w:tcBorders>
            <w:shd w:val="clear" w:color="auto" w:fill="auto"/>
            <w:noWrap/>
            <w:vAlign w:val="bottom"/>
            <w:hideMark/>
          </w:tcPr>
          <w:p w:rsidR="0096604F" w:rsidRPr="00B10CF5" w:rsidRDefault="0096604F" w:rsidP="0096604F">
            <w:pPr>
              <w:tabs>
                <w:tab w:val="left" w:pos="2254"/>
              </w:tabs>
              <w:spacing w:after="0" w:line="240" w:lineRule="auto"/>
              <w:rPr>
                <w:rFonts w:eastAsia="Times New Roman" w:cs="Arial"/>
                <w:color w:val="000000"/>
              </w:rPr>
            </w:pPr>
            <w:r w:rsidRPr="00B10CF5">
              <w:rPr>
                <w:rFonts w:eastAsia="Times New Roman" w:cs="Arial"/>
                <w:color w:val="000000"/>
              </w:rPr>
              <w:t> </w:t>
            </w:r>
          </w:p>
        </w:tc>
      </w:tr>
      <w:tr w:rsidR="0096604F" w:rsidRPr="00B10CF5" w:rsidTr="00A63E4E">
        <w:trPr>
          <w:trHeight w:val="285"/>
        </w:trPr>
        <w:tc>
          <w:tcPr>
            <w:tcW w:w="522" w:type="dxa"/>
            <w:tcBorders>
              <w:top w:val="nil"/>
              <w:left w:val="single" w:sz="4" w:space="0" w:color="auto"/>
              <w:bottom w:val="single" w:sz="4" w:space="0" w:color="auto"/>
              <w:right w:val="single" w:sz="4" w:space="0" w:color="auto"/>
            </w:tcBorders>
            <w:shd w:val="clear" w:color="auto" w:fill="auto"/>
            <w:noWrap/>
            <w:vAlign w:val="bottom"/>
          </w:tcPr>
          <w:p w:rsidR="0096604F" w:rsidRPr="00B10CF5" w:rsidRDefault="0096604F" w:rsidP="0096604F">
            <w:pPr>
              <w:tabs>
                <w:tab w:val="left" w:pos="2254"/>
              </w:tabs>
              <w:spacing w:after="0" w:line="240" w:lineRule="auto"/>
              <w:rPr>
                <w:rFonts w:eastAsia="Times New Roman" w:cs="Arial"/>
                <w:color w:val="000000"/>
              </w:rPr>
            </w:pPr>
          </w:p>
        </w:tc>
        <w:tc>
          <w:tcPr>
            <w:tcW w:w="4838" w:type="dxa"/>
            <w:tcBorders>
              <w:top w:val="nil"/>
              <w:left w:val="nil"/>
              <w:bottom w:val="single" w:sz="4" w:space="0" w:color="auto"/>
              <w:right w:val="single" w:sz="4" w:space="0" w:color="auto"/>
            </w:tcBorders>
            <w:shd w:val="clear" w:color="auto" w:fill="auto"/>
            <w:noWrap/>
            <w:vAlign w:val="bottom"/>
          </w:tcPr>
          <w:p w:rsidR="0096604F" w:rsidRPr="00B10CF5" w:rsidRDefault="0096604F" w:rsidP="0096604F">
            <w:pPr>
              <w:tabs>
                <w:tab w:val="left" w:pos="2254"/>
              </w:tabs>
              <w:spacing w:after="0" w:line="240" w:lineRule="auto"/>
              <w:rPr>
                <w:rFonts w:eastAsia="Times New Roman" w:cs="Arial"/>
                <w:color w:val="000000"/>
              </w:rPr>
            </w:pPr>
            <w:r w:rsidRPr="00B10CF5">
              <w:rPr>
                <w:rFonts w:eastAsia="Times New Roman" w:cs="Arial"/>
                <w:color w:val="000000"/>
              </w:rPr>
              <w:t>Grant of EBRD and ADB</w:t>
            </w:r>
          </w:p>
        </w:tc>
        <w:tc>
          <w:tcPr>
            <w:tcW w:w="1384" w:type="dxa"/>
            <w:tcBorders>
              <w:top w:val="nil"/>
              <w:left w:val="nil"/>
              <w:bottom w:val="single" w:sz="4" w:space="0" w:color="auto"/>
              <w:right w:val="single" w:sz="4" w:space="0" w:color="auto"/>
            </w:tcBorders>
            <w:shd w:val="clear" w:color="auto" w:fill="auto"/>
            <w:noWrap/>
            <w:vAlign w:val="bottom"/>
          </w:tcPr>
          <w:p w:rsidR="0096604F" w:rsidRPr="00B10CF5" w:rsidRDefault="0096604F" w:rsidP="0096604F">
            <w:pPr>
              <w:tabs>
                <w:tab w:val="left" w:pos="2254"/>
              </w:tabs>
              <w:spacing w:after="0" w:line="240" w:lineRule="auto"/>
              <w:jc w:val="right"/>
              <w:rPr>
                <w:rFonts w:eastAsia="Times New Roman" w:cs="Arial"/>
                <w:color w:val="000000"/>
              </w:rPr>
            </w:pPr>
            <w:r w:rsidRPr="00B10CF5">
              <w:rPr>
                <w:rFonts w:eastAsia="Times New Roman" w:cs="Arial"/>
                <w:color w:val="000000"/>
              </w:rPr>
              <w:t> 165.554.000</w:t>
            </w:r>
          </w:p>
        </w:tc>
        <w:tc>
          <w:tcPr>
            <w:tcW w:w="1493" w:type="dxa"/>
            <w:tcBorders>
              <w:top w:val="nil"/>
              <w:left w:val="nil"/>
              <w:bottom w:val="single" w:sz="4" w:space="0" w:color="auto"/>
              <w:right w:val="single" w:sz="4" w:space="0" w:color="auto"/>
            </w:tcBorders>
            <w:shd w:val="clear" w:color="auto" w:fill="auto"/>
            <w:noWrap/>
            <w:vAlign w:val="bottom"/>
          </w:tcPr>
          <w:p w:rsidR="0096604F" w:rsidRPr="00B10CF5" w:rsidRDefault="0096604F" w:rsidP="0096604F">
            <w:pPr>
              <w:tabs>
                <w:tab w:val="left" w:pos="2254"/>
              </w:tabs>
              <w:spacing w:after="0" w:line="240" w:lineRule="auto"/>
              <w:jc w:val="right"/>
              <w:rPr>
                <w:rFonts w:eastAsia="Times New Roman" w:cs="Arial"/>
                <w:color w:val="000000"/>
              </w:rPr>
            </w:pPr>
            <w:r w:rsidRPr="00B10CF5">
              <w:rPr>
                <w:rFonts w:eastAsia="Times New Roman" w:cs="Arial"/>
                <w:color w:val="000000"/>
              </w:rPr>
              <w:t>146.904.185</w:t>
            </w:r>
          </w:p>
        </w:tc>
        <w:tc>
          <w:tcPr>
            <w:tcW w:w="1559" w:type="dxa"/>
            <w:tcBorders>
              <w:top w:val="nil"/>
              <w:left w:val="nil"/>
              <w:bottom w:val="single" w:sz="4" w:space="0" w:color="auto"/>
              <w:right w:val="single" w:sz="4" w:space="0" w:color="auto"/>
            </w:tcBorders>
            <w:shd w:val="clear" w:color="auto" w:fill="auto"/>
            <w:noWrap/>
            <w:vAlign w:val="bottom"/>
          </w:tcPr>
          <w:p w:rsidR="0096604F" w:rsidRPr="00B10CF5" w:rsidRDefault="0096604F" w:rsidP="0096604F">
            <w:pPr>
              <w:tabs>
                <w:tab w:val="left" w:pos="2254"/>
              </w:tabs>
              <w:spacing w:after="0" w:line="240" w:lineRule="auto"/>
              <w:rPr>
                <w:rFonts w:eastAsia="Times New Roman" w:cs="Arial"/>
                <w:color w:val="000000"/>
              </w:rPr>
            </w:pPr>
          </w:p>
        </w:tc>
      </w:tr>
    </w:tbl>
    <w:p w:rsidR="00F44237" w:rsidRPr="00B10CF5" w:rsidRDefault="00F44237" w:rsidP="005D3930">
      <w:pPr>
        <w:pStyle w:val="Heading1"/>
        <w:tabs>
          <w:tab w:val="left" w:pos="2254"/>
        </w:tabs>
        <w:rPr>
          <w:sz w:val="22"/>
          <w:szCs w:val="22"/>
        </w:rPr>
      </w:pPr>
    </w:p>
    <w:p w:rsidR="00A974EB" w:rsidRPr="00B10CF5" w:rsidRDefault="005852F7" w:rsidP="005D3930">
      <w:pPr>
        <w:pStyle w:val="Heading1"/>
        <w:tabs>
          <w:tab w:val="left" w:pos="2254"/>
        </w:tabs>
        <w:rPr>
          <w:sz w:val="22"/>
          <w:szCs w:val="22"/>
          <w:lang w:val="mn-MN"/>
        </w:rPr>
      </w:pPr>
      <w:bookmarkStart w:id="19" w:name="_Toc28686590"/>
      <w:r w:rsidRPr="00B10CF5">
        <w:rPr>
          <w:sz w:val="22"/>
          <w:szCs w:val="22"/>
        </w:rPr>
        <w:t>Seven. Meetings</w:t>
      </w:r>
      <w:r w:rsidR="00171EE0" w:rsidRPr="00B10CF5">
        <w:rPr>
          <w:sz w:val="22"/>
          <w:szCs w:val="22"/>
        </w:rPr>
        <w:t>, decisions and experience sharing</w:t>
      </w:r>
      <w:r w:rsidR="00545C5D" w:rsidRPr="00B10CF5">
        <w:rPr>
          <w:sz w:val="22"/>
          <w:szCs w:val="22"/>
        </w:rPr>
        <w:t xml:space="preserve">, </w:t>
      </w:r>
      <w:r w:rsidR="005D3930" w:rsidRPr="00B10CF5">
        <w:rPr>
          <w:sz w:val="22"/>
          <w:szCs w:val="22"/>
        </w:rPr>
        <w:t>attendance</w:t>
      </w:r>
      <w:bookmarkEnd w:id="19"/>
    </w:p>
    <w:p w:rsidR="00296DB1" w:rsidRPr="00B10CF5" w:rsidRDefault="00296DB1" w:rsidP="005D3930">
      <w:pPr>
        <w:pStyle w:val="ListParagraph"/>
        <w:keepNext/>
        <w:numPr>
          <w:ilvl w:val="0"/>
          <w:numId w:val="18"/>
        </w:numPr>
        <w:tabs>
          <w:tab w:val="left" w:pos="1134"/>
          <w:tab w:val="left" w:pos="2254"/>
        </w:tabs>
        <w:spacing w:before="280" w:after="140" w:line="240" w:lineRule="auto"/>
        <w:contextualSpacing w:val="0"/>
        <w:outlineLvl w:val="1"/>
        <w:rPr>
          <w:rFonts w:cs="Arial"/>
          <w:b/>
          <w:vanish/>
          <w:lang w:val="en-GB"/>
        </w:rPr>
      </w:pPr>
      <w:bookmarkStart w:id="20" w:name="_Toc502249758"/>
      <w:bookmarkStart w:id="21" w:name="_Toc533514912"/>
      <w:bookmarkStart w:id="22" w:name="_Toc533515601"/>
      <w:bookmarkStart w:id="23" w:name="_Toc533515671"/>
      <w:bookmarkStart w:id="24" w:name="_Toc28592620"/>
      <w:bookmarkStart w:id="25" w:name="_Toc28611782"/>
      <w:bookmarkStart w:id="26" w:name="_Toc28611932"/>
      <w:bookmarkStart w:id="27" w:name="_Toc28686591"/>
      <w:bookmarkEnd w:id="20"/>
      <w:bookmarkEnd w:id="21"/>
      <w:bookmarkEnd w:id="22"/>
      <w:bookmarkEnd w:id="23"/>
      <w:bookmarkEnd w:id="24"/>
      <w:bookmarkEnd w:id="25"/>
      <w:bookmarkEnd w:id="26"/>
      <w:bookmarkEnd w:id="27"/>
    </w:p>
    <w:p w:rsidR="00296DB1" w:rsidRPr="00B10CF5" w:rsidRDefault="00296DB1" w:rsidP="005D3930">
      <w:pPr>
        <w:pStyle w:val="ListParagraph"/>
        <w:keepNext/>
        <w:numPr>
          <w:ilvl w:val="0"/>
          <w:numId w:val="18"/>
        </w:numPr>
        <w:tabs>
          <w:tab w:val="left" w:pos="1134"/>
          <w:tab w:val="left" w:pos="2254"/>
        </w:tabs>
        <w:spacing w:before="280" w:after="140" w:line="240" w:lineRule="auto"/>
        <w:contextualSpacing w:val="0"/>
        <w:outlineLvl w:val="1"/>
        <w:rPr>
          <w:rFonts w:cs="Arial"/>
          <w:b/>
          <w:vanish/>
          <w:lang w:val="en-GB"/>
        </w:rPr>
      </w:pPr>
      <w:bookmarkStart w:id="28" w:name="_Toc502249759"/>
      <w:bookmarkStart w:id="29" w:name="_Toc533514913"/>
      <w:bookmarkStart w:id="30" w:name="_Toc533515602"/>
      <w:bookmarkStart w:id="31" w:name="_Toc533515672"/>
      <w:bookmarkStart w:id="32" w:name="_Toc28592621"/>
      <w:bookmarkStart w:id="33" w:name="_Toc28611783"/>
      <w:bookmarkStart w:id="34" w:name="_Toc28611933"/>
      <w:bookmarkStart w:id="35" w:name="_Toc28686592"/>
      <w:bookmarkEnd w:id="28"/>
      <w:bookmarkEnd w:id="29"/>
      <w:bookmarkEnd w:id="30"/>
      <w:bookmarkEnd w:id="31"/>
      <w:bookmarkEnd w:id="32"/>
      <w:bookmarkEnd w:id="33"/>
      <w:bookmarkEnd w:id="34"/>
      <w:bookmarkEnd w:id="35"/>
    </w:p>
    <w:p w:rsidR="00296DB1" w:rsidRPr="00B10CF5" w:rsidRDefault="00296DB1" w:rsidP="005D3930">
      <w:pPr>
        <w:pStyle w:val="ListParagraph"/>
        <w:keepNext/>
        <w:numPr>
          <w:ilvl w:val="0"/>
          <w:numId w:val="18"/>
        </w:numPr>
        <w:tabs>
          <w:tab w:val="left" w:pos="1134"/>
          <w:tab w:val="left" w:pos="2254"/>
        </w:tabs>
        <w:spacing w:before="280" w:after="140" w:line="240" w:lineRule="auto"/>
        <w:contextualSpacing w:val="0"/>
        <w:outlineLvl w:val="1"/>
        <w:rPr>
          <w:rFonts w:cs="Arial"/>
          <w:b/>
          <w:vanish/>
          <w:lang w:val="en-GB"/>
        </w:rPr>
      </w:pPr>
      <w:bookmarkStart w:id="36" w:name="_Toc502249760"/>
      <w:bookmarkStart w:id="37" w:name="_Toc533514914"/>
      <w:bookmarkStart w:id="38" w:name="_Toc533515603"/>
      <w:bookmarkStart w:id="39" w:name="_Toc533515673"/>
      <w:bookmarkStart w:id="40" w:name="_Toc28592622"/>
      <w:bookmarkStart w:id="41" w:name="_Toc28611784"/>
      <w:bookmarkStart w:id="42" w:name="_Toc28611934"/>
      <w:bookmarkStart w:id="43" w:name="_Toc28686593"/>
      <w:bookmarkEnd w:id="36"/>
      <w:bookmarkEnd w:id="37"/>
      <w:bookmarkEnd w:id="38"/>
      <w:bookmarkEnd w:id="39"/>
      <w:bookmarkEnd w:id="40"/>
      <w:bookmarkEnd w:id="41"/>
      <w:bookmarkEnd w:id="42"/>
      <w:bookmarkEnd w:id="43"/>
    </w:p>
    <w:p w:rsidR="00314BB9" w:rsidRPr="00B10CF5" w:rsidRDefault="00E56A78" w:rsidP="0025388D">
      <w:pPr>
        <w:pStyle w:val="Heading2"/>
        <w:numPr>
          <w:ilvl w:val="1"/>
          <w:numId w:val="24"/>
        </w:numPr>
        <w:tabs>
          <w:tab w:val="left" w:pos="2254"/>
        </w:tabs>
        <w:rPr>
          <w:rFonts w:cs="Arial"/>
          <w:sz w:val="22"/>
        </w:rPr>
      </w:pPr>
      <w:r w:rsidRPr="00B10CF5">
        <w:rPr>
          <w:rFonts w:cs="Arial"/>
          <w:sz w:val="22"/>
        </w:rPr>
        <w:t xml:space="preserve"> </w:t>
      </w:r>
      <w:bookmarkStart w:id="44" w:name="_Toc28686594"/>
      <w:r w:rsidR="00DA74E9" w:rsidRPr="00B10CF5">
        <w:rPr>
          <w:rFonts w:cs="Arial"/>
          <w:sz w:val="22"/>
        </w:rPr>
        <w:t xml:space="preserve">Meetings of Mongolia EITI </w:t>
      </w:r>
      <w:r w:rsidR="00314BB9" w:rsidRPr="00B10CF5">
        <w:rPr>
          <w:rFonts w:cs="Arial"/>
          <w:sz w:val="22"/>
        </w:rPr>
        <w:t>National Council</w:t>
      </w:r>
      <w:bookmarkEnd w:id="44"/>
    </w:p>
    <w:p w:rsidR="00314BB9" w:rsidRPr="00B10CF5" w:rsidRDefault="00314BB9" w:rsidP="005D3930">
      <w:pPr>
        <w:tabs>
          <w:tab w:val="left" w:pos="2254"/>
        </w:tabs>
        <w:spacing w:after="0" w:line="240" w:lineRule="auto"/>
        <w:ind w:right="-629"/>
        <w:jc w:val="both"/>
        <w:rPr>
          <w:rFonts w:cs="Arial"/>
          <w:b/>
          <w:color w:val="000000" w:themeColor="text1"/>
          <w:u w:val="single"/>
        </w:rPr>
      </w:pPr>
    </w:p>
    <w:p w:rsidR="00545C5D" w:rsidRPr="00B10CF5" w:rsidRDefault="005852F7" w:rsidP="005D3930">
      <w:pPr>
        <w:tabs>
          <w:tab w:val="left" w:pos="2254"/>
        </w:tabs>
        <w:spacing w:after="0" w:line="240" w:lineRule="auto"/>
        <w:ind w:right="-629"/>
        <w:jc w:val="both"/>
        <w:rPr>
          <w:rFonts w:cs="Arial"/>
          <w:b/>
          <w:color w:val="000000" w:themeColor="text1"/>
        </w:rPr>
      </w:pPr>
      <w:r w:rsidRPr="00B10CF5">
        <w:rPr>
          <w:rFonts w:cs="Arial"/>
          <w:b/>
          <w:color w:val="000000" w:themeColor="text1"/>
        </w:rPr>
        <w:t>Meeting of National Council No.1</w:t>
      </w:r>
      <w:r w:rsidR="0096604F" w:rsidRPr="00B10CF5">
        <w:rPr>
          <w:rFonts w:cs="Arial"/>
          <w:b/>
          <w:color w:val="000000" w:themeColor="text1"/>
        </w:rPr>
        <w:t>8</w:t>
      </w:r>
      <w:r w:rsidRPr="00B10CF5">
        <w:rPr>
          <w:rFonts w:cs="Arial"/>
          <w:b/>
          <w:color w:val="000000" w:themeColor="text1"/>
        </w:rPr>
        <w:t xml:space="preserve"> at the </w:t>
      </w:r>
      <w:r w:rsidR="009313C5" w:rsidRPr="00B10CF5">
        <w:rPr>
          <w:rFonts w:cs="Arial"/>
          <w:b/>
          <w:color w:val="000000" w:themeColor="text1"/>
        </w:rPr>
        <w:t>Ministry of Mining and Heavy industries</w:t>
      </w:r>
      <w:r w:rsidRPr="00B10CF5">
        <w:rPr>
          <w:rFonts w:cs="Arial"/>
          <w:b/>
          <w:color w:val="000000" w:themeColor="text1"/>
        </w:rPr>
        <w:t xml:space="preserve">, on December </w:t>
      </w:r>
      <w:r w:rsidR="009313C5" w:rsidRPr="00B10CF5">
        <w:rPr>
          <w:rFonts w:cs="Arial"/>
          <w:b/>
          <w:color w:val="000000" w:themeColor="text1"/>
        </w:rPr>
        <w:t>19</w:t>
      </w:r>
      <w:r w:rsidRPr="00B10CF5">
        <w:rPr>
          <w:rFonts w:cs="Arial"/>
          <w:b/>
          <w:color w:val="000000" w:themeColor="text1"/>
        </w:rPr>
        <w:t>, 201</w:t>
      </w:r>
      <w:r w:rsidR="0096604F" w:rsidRPr="00B10CF5">
        <w:rPr>
          <w:rFonts w:cs="Arial"/>
          <w:b/>
          <w:color w:val="000000" w:themeColor="text1"/>
        </w:rPr>
        <w:t>9</w:t>
      </w:r>
      <w:r w:rsidRPr="00B10CF5">
        <w:rPr>
          <w:rFonts w:cs="Arial"/>
          <w:b/>
          <w:color w:val="000000" w:themeColor="text1"/>
        </w:rPr>
        <w:t xml:space="preserve"> and below decisions are listed:</w:t>
      </w:r>
      <w:r w:rsidR="00545C5D" w:rsidRPr="00B10CF5">
        <w:rPr>
          <w:rFonts w:cs="Arial"/>
          <w:b/>
          <w:color w:val="000000" w:themeColor="text1"/>
          <w:lang w:val="mn-MN"/>
        </w:rPr>
        <w:t xml:space="preserve"> </w:t>
      </w:r>
    </w:p>
    <w:p w:rsidR="00545C5D" w:rsidRPr="00B10CF5" w:rsidRDefault="00545C5D" w:rsidP="005D3930">
      <w:pPr>
        <w:tabs>
          <w:tab w:val="left" w:pos="2254"/>
        </w:tabs>
        <w:spacing w:after="0" w:line="240" w:lineRule="auto"/>
        <w:ind w:right="-629"/>
        <w:jc w:val="both"/>
        <w:rPr>
          <w:rFonts w:cs="Arial"/>
          <w:b/>
          <w:color w:val="000000" w:themeColor="text1"/>
        </w:rPr>
      </w:pPr>
    </w:p>
    <w:p w:rsidR="00C23201" w:rsidRPr="00B10CF5" w:rsidRDefault="006013E0" w:rsidP="00C23201">
      <w:pPr>
        <w:pStyle w:val="ListParagraph"/>
        <w:numPr>
          <w:ilvl w:val="0"/>
          <w:numId w:val="2"/>
        </w:numPr>
        <w:tabs>
          <w:tab w:val="left" w:pos="2254"/>
        </w:tabs>
        <w:spacing w:after="0" w:line="240" w:lineRule="auto"/>
        <w:ind w:right="-629"/>
        <w:jc w:val="both"/>
        <w:rPr>
          <w:rFonts w:cs="Arial"/>
          <w:b/>
          <w:color w:val="000000" w:themeColor="text1"/>
          <w:lang w:val="mn-MN"/>
        </w:rPr>
      </w:pPr>
      <w:r w:rsidRPr="00B10CF5">
        <w:rPr>
          <w:rFonts w:eastAsia="Times New Roman" w:cs="Arial"/>
          <w:color w:val="000000"/>
          <w:shd w:val="clear" w:color="auto" w:fill="FFFFFF"/>
        </w:rPr>
        <w:t>Mongolia EITI 1</w:t>
      </w:r>
      <w:r w:rsidR="0096604F" w:rsidRPr="00B10CF5">
        <w:rPr>
          <w:rFonts w:eastAsia="Times New Roman" w:cs="Arial"/>
          <w:color w:val="000000"/>
          <w:shd w:val="clear" w:color="auto" w:fill="FFFFFF"/>
        </w:rPr>
        <w:t>3</w:t>
      </w:r>
      <w:r w:rsidRPr="00B10CF5">
        <w:rPr>
          <w:rFonts w:eastAsia="Times New Roman" w:cs="Arial"/>
          <w:color w:val="000000"/>
          <w:shd w:val="clear" w:color="auto" w:fill="FFFFFF"/>
          <w:vertAlign w:val="superscript"/>
        </w:rPr>
        <w:t>th</w:t>
      </w:r>
      <w:r w:rsidRPr="00B10CF5">
        <w:rPr>
          <w:rFonts w:eastAsia="Times New Roman" w:cs="Arial"/>
          <w:color w:val="000000"/>
          <w:shd w:val="clear" w:color="auto" w:fill="FFFFFF"/>
        </w:rPr>
        <w:t xml:space="preserve"> 201</w:t>
      </w:r>
      <w:r w:rsidR="0096604F" w:rsidRPr="00B10CF5">
        <w:rPr>
          <w:rFonts w:eastAsia="Times New Roman" w:cs="Arial"/>
          <w:color w:val="000000"/>
          <w:shd w:val="clear" w:color="auto" w:fill="FFFFFF"/>
        </w:rPr>
        <w:t>8</w:t>
      </w:r>
      <w:r w:rsidRPr="00B10CF5">
        <w:rPr>
          <w:rFonts w:eastAsia="Times New Roman" w:cs="Arial"/>
          <w:color w:val="000000"/>
          <w:shd w:val="clear" w:color="auto" w:fill="FFFFFF"/>
        </w:rPr>
        <w:t xml:space="preserve"> Report produced by consortium </w:t>
      </w:r>
      <w:r w:rsidR="009313C5" w:rsidRPr="00B10CF5">
        <w:rPr>
          <w:rFonts w:eastAsia="Times New Roman" w:cs="Arial"/>
          <w:color w:val="000000"/>
          <w:shd w:val="clear" w:color="auto" w:fill="FFFFFF"/>
        </w:rPr>
        <w:t>of Mongolian</w:t>
      </w:r>
      <w:r w:rsidR="0096604F" w:rsidRPr="00B10CF5">
        <w:rPr>
          <w:rFonts w:eastAsia="Times New Roman" w:cs="Arial"/>
          <w:color w:val="000000"/>
          <w:shd w:val="clear" w:color="auto" w:fill="FFFFFF"/>
        </w:rPr>
        <w:t xml:space="preserve"> and Tunisian BDO audit </w:t>
      </w:r>
      <w:proofErr w:type="spellStart"/>
      <w:r w:rsidR="0096604F" w:rsidRPr="00B10CF5">
        <w:rPr>
          <w:rFonts w:eastAsia="Times New Roman" w:cs="Arial"/>
          <w:color w:val="000000"/>
          <w:shd w:val="clear" w:color="auto" w:fill="FFFFFF"/>
        </w:rPr>
        <w:t>comapnie</w:t>
      </w:r>
      <w:proofErr w:type="spellEnd"/>
      <w:r w:rsidR="0096604F" w:rsidRPr="00B10CF5">
        <w:rPr>
          <w:rFonts w:eastAsia="Times New Roman" w:cs="Arial"/>
          <w:color w:val="000000"/>
          <w:shd w:val="clear" w:color="auto" w:fill="FFFFFF"/>
        </w:rPr>
        <w:t xml:space="preserve"> </w:t>
      </w:r>
      <w:r w:rsidR="00563F48" w:rsidRPr="00B10CF5">
        <w:rPr>
          <w:rFonts w:eastAsia="Times New Roman" w:cs="Arial"/>
          <w:color w:val="000000"/>
          <w:shd w:val="clear" w:color="auto" w:fill="FFFFFF"/>
        </w:rPr>
        <w:t>is</w:t>
      </w:r>
      <w:r w:rsidRPr="00B10CF5">
        <w:rPr>
          <w:rFonts w:eastAsia="Times New Roman" w:cs="Arial"/>
          <w:color w:val="000000"/>
          <w:shd w:val="clear" w:color="auto" w:fill="FFFFFF"/>
        </w:rPr>
        <w:t xml:space="preserve"> endorsed. All constituencies </w:t>
      </w:r>
      <w:r w:rsidR="00563F48" w:rsidRPr="00B10CF5">
        <w:rPr>
          <w:rFonts w:eastAsia="Times New Roman" w:cs="Arial"/>
          <w:color w:val="000000"/>
          <w:shd w:val="clear" w:color="auto" w:fill="FFFFFF"/>
        </w:rPr>
        <w:t>are</w:t>
      </w:r>
      <w:r w:rsidRPr="00B10CF5">
        <w:rPr>
          <w:rFonts w:eastAsia="Times New Roman" w:cs="Arial"/>
          <w:color w:val="000000"/>
          <w:shd w:val="clear" w:color="auto" w:fill="FFFFFF"/>
        </w:rPr>
        <w:t xml:space="preserve"> </w:t>
      </w:r>
      <w:r w:rsidR="0096604F" w:rsidRPr="00B10CF5">
        <w:rPr>
          <w:rFonts w:eastAsia="Times New Roman" w:cs="Arial"/>
          <w:color w:val="000000"/>
          <w:shd w:val="clear" w:color="auto" w:fill="FFFFFF"/>
        </w:rPr>
        <w:t>r</w:t>
      </w:r>
      <w:r w:rsidRPr="00B10CF5">
        <w:rPr>
          <w:rFonts w:eastAsia="Times New Roman" w:cs="Arial"/>
          <w:color w:val="000000"/>
          <w:shd w:val="clear" w:color="auto" w:fill="FFFFFF"/>
        </w:rPr>
        <w:t>equested to post the report in the website and Secretariat is assigned to produce summary report and disclose to public, and advertise it. The Secretariat is assigned deliver Mongolia EITI 1</w:t>
      </w:r>
      <w:r w:rsidR="0096604F" w:rsidRPr="00B10CF5">
        <w:rPr>
          <w:rFonts w:eastAsia="Times New Roman" w:cs="Arial"/>
          <w:color w:val="000000"/>
          <w:shd w:val="clear" w:color="auto" w:fill="FFFFFF"/>
        </w:rPr>
        <w:t>3</w:t>
      </w:r>
      <w:r w:rsidRPr="00B10CF5">
        <w:rPr>
          <w:rFonts w:eastAsia="Times New Roman" w:cs="Arial"/>
          <w:color w:val="000000"/>
          <w:shd w:val="clear" w:color="auto" w:fill="FFFFFF"/>
          <w:vertAlign w:val="superscript"/>
        </w:rPr>
        <w:t>th</w:t>
      </w:r>
      <w:r w:rsidRPr="00B10CF5">
        <w:rPr>
          <w:rFonts w:eastAsia="Times New Roman" w:cs="Arial"/>
          <w:color w:val="000000"/>
          <w:shd w:val="clear" w:color="auto" w:fill="FFFFFF"/>
        </w:rPr>
        <w:t xml:space="preserve"> 201</w:t>
      </w:r>
      <w:r w:rsidR="0096604F" w:rsidRPr="00B10CF5">
        <w:rPr>
          <w:rFonts w:eastAsia="Times New Roman" w:cs="Arial"/>
          <w:color w:val="000000"/>
          <w:shd w:val="clear" w:color="auto" w:fill="FFFFFF"/>
        </w:rPr>
        <w:t>8</w:t>
      </w:r>
      <w:r w:rsidRPr="00B10CF5">
        <w:rPr>
          <w:rFonts w:eastAsia="Times New Roman" w:cs="Arial"/>
          <w:color w:val="000000"/>
          <w:shd w:val="clear" w:color="auto" w:fill="FFFFFF"/>
        </w:rPr>
        <w:t xml:space="preserve"> report to EITI International Secretariat before December 31</w:t>
      </w:r>
      <w:r w:rsidRPr="00B10CF5">
        <w:rPr>
          <w:rFonts w:eastAsia="Times New Roman" w:cs="Arial"/>
          <w:color w:val="000000"/>
          <w:shd w:val="clear" w:color="auto" w:fill="FFFFFF"/>
          <w:vertAlign w:val="superscript"/>
        </w:rPr>
        <w:t>st</w:t>
      </w:r>
      <w:r w:rsidRPr="00B10CF5">
        <w:rPr>
          <w:rFonts w:eastAsia="Times New Roman" w:cs="Arial"/>
          <w:color w:val="000000"/>
          <w:shd w:val="clear" w:color="auto" w:fill="FFFFFF"/>
        </w:rPr>
        <w:t>, 201</w:t>
      </w:r>
      <w:r w:rsidR="009313C5" w:rsidRPr="00B10CF5">
        <w:rPr>
          <w:rFonts w:eastAsia="Times New Roman" w:cs="Arial"/>
          <w:color w:val="000000"/>
          <w:shd w:val="clear" w:color="auto" w:fill="FFFFFF"/>
        </w:rPr>
        <w:t>8</w:t>
      </w:r>
      <w:r w:rsidRPr="00B10CF5">
        <w:rPr>
          <w:rFonts w:eastAsia="Times New Roman" w:cs="Arial"/>
          <w:color w:val="000000"/>
          <w:shd w:val="clear" w:color="auto" w:fill="FFFFFF"/>
        </w:rPr>
        <w:t xml:space="preserve">. </w:t>
      </w:r>
      <w:r w:rsidR="00563F48" w:rsidRPr="00B10CF5">
        <w:rPr>
          <w:rFonts w:eastAsia="Times New Roman" w:cs="Arial"/>
          <w:color w:val="000000"/>
          <w:shd w:val="clear" w:color="auto" w:fill="FFFFFF"/>
        </w:rPr>
        <w:t xml:space="preserve">The Secretariat is allowed to pay </w:t>
      </w:r>
      <w:r w:rsidR="00817F55">
        <w:rPr>
          <w:rFonts w:eastAsia="Times New Roman" w:cs="Arial"/>
          <w:color w:val="000000"/>
          <w:shd w:val="clear" w:color="auto" w:fill="FFFFFF"/>
        </w:rPr>
        <w:t>remaining</w:t>
      </w:r>
      <w:r w:rsidR="00563F48" w:rsidRPr="00B10CF5">
        <w:rPr>
          <w:rFonts w:eastAsia="Times New Roman" w:cs="Arial"/>
          <w:color w:val="000000"/>
          <w:shd w:val="clear" w:color="auto" w:fill="FFFFFF"/>
        </w:rPr>
        <w:t xml:space="preserve"> sum under the contract to</w:t>
      </w:r>
      <w:r w:rsidR="009313C5" w:rsidRPr="00B10CF5">
        <w:rPr>
          <w:rFonts w:eastAsia="Times New Roman" w:cs="Arial"/>
          <w:color w:val="000000"/>
          <w:shd w:val="clear" w:color="auto" w:fill="FFFFFF"/>
        </w:rPr>
        <w:t xml:space="preserve"> consortium of </w:t>
      </w:r>
      <w:r w:rsidR="0096604F" w:rsidRPr="00B10CF5">
        <w:rPr>
          <w:rFonts w:eastAsia="Times New Roman" w:cs="Arial"/>
          <w:color w:val="000000"/>
          <w:shd w:val="clear" w:color="auto" w:fill="FFFFFF"/>
        </w:rPr>
        <w:t>BDO companies.</w:t>
      </w:r>
      <w:r w:rsidR="009313C5" w:rsidRPr="00B10CF5">
        <w:rPr>
          <w:rFonts w:eastAsia="Times New Roman" w:cs="Arial"/>
          <w:color w:val="000000"/>
          <w:shd w:val="clear" w:color="auto" w:fill="FFFFFF"/>
        </w:rPr>
        <w:t xml:space="preserve"> </w:t>
      </w:r>
    </w:p>
    <w:p w:rsidR="009B08CD" w:rsidRPr="00B10CF5" w:rsidRDefault="00563F48" w:rsidP="005D3930">
      <w:pPr>
        <w:pStyle w:val="ListParagraph"/>
        <w:numPr>
          <w:ilvl w:val="0"/>
          <w:numId w:val="2"/>
        </w:numPr>
        <w:tabs>
          <w:tab w:val="left" w:pos="2254"/>
        </w:tabs>
        <w:spacing w:after="0" w:line="240" w:lineRule="auto"/>
        <w:ind w:right="-629"/>
        <w:jc w:val="both"/>
        <w:rPr>
          <w:rFonts w:cs="Arial"/>
          <w:b/>
          <w:color w:val="000000" w:themeColor="text1"/>
          <w:lang w:val="mn-MN"/>
        </w:rPr>
      </w:pPr>
      <w:r w:rsidRPr="00B10CF5">
        <w:rPr>
          <w:rFonts w:eastAsia="Times New Roman" w:cs="Arial"/>
          <w:color w:val="000000"/>
          <w:shd w:val="clear" w:color="auto" w:fill="FFFFFF"/>
        </w:rPr>
        <w:t>Report on implementation of Mongolia EITI 201</w:t>
      </w:r>
      <w:r w:rsidR="0096604F" w:rsidRPr="00B10CF5">
        <w:rPr>
          <w:rFonts w:eastAsia="Times New Roman" w:cs="Arial"/>
          <w:color w:val="000000"/>
          <w:shd w:val="clear" w:color="auto" w:fill="FFFFFF"/>
        </w:rPr>
        <w:t>9</w:t>
      </w:r>
      <w:r w:rsidRPr="00B10CF5">
        <w:rPr>
          <w:rFonts w:eastAsia="Times New Roman" w:cs="Arial"/>
          <w:color w:val="000000"/>
          <w:shd w:val="clear" w:color="auto" w:fill="FFFFFF"/>
        </w:rPr>
        <w:t xml:space="preserve"> Work plan</w:t>
      </w:r>
      <w:r w:rsidR="0096604F" w:rsidRPr="00B10CF5">
        <w:rPr>
          <w:rFonts w:eastAsia="Times New Roman" w:cs="Arial"/>
          <w:color w:val="000000"/>
          <w:shd w:val="clear" w:color="auto" w:fill="FFFFFF"/>
        </w:rPr>
        <w:t xml:space="preserve"> is considered as sufficient</w:t>
      </w:r>
      <w:r w:rsidRPr="00B10CF5">
        <w:rPr>
          <w:rFonts w:eastAsia="Times New Roman" w:cs="Arial"/>
          <w:color w:val="000000"/>
          <w:shd w:val="clear" w:color="auto" w:fill="FFFFFF"/>
        </w:rPr>
        <w:t xml:space="preserve"> and Mongolia EITI 20</w:t>
      </w:r>
      <w:r w:rsidR="0096604F" w:rsidRPr="00B10CF5">
        <w:rPr>
          <w:rFonts w:eastAsia="Times New Roman" w:cs="Arial"/>
          <w:color w:val="000000"/>
          <w:shd w:val="clear" w:color="auto" w:fill="FFFFFF"/>
        </w:rPr>
        <w:t>20</w:t>
      </w:r>
      <w:r w:rsidRPr="00B10CF5">
        <w:rPr>
          <w:rFonts w:eastAsia="Times New Roman" w:cs="Arial"/>
          <w:color w:val="000000"/>
          <w:shd w:val="clear" w:color="auto" w:fill="FFFFFF"/>
        </w:rPr>
        <w:t xml:space="preserve"> Work Plan is approved. </w:t>
      </w:r>
      <w:proofErr w:type="spellStart"/>
      <w:r w:rsidR="0096604F" w:rsidRPr="00B10CF5">
        <w:rPr>
          <w:rFonts w:eastAsia="Times New Roman" w:cs="Arial"/>
          <w:color w:val="000000"/>
          <w:shd w:val="clear" w:color="auto" w:fill="FFFFFF"/>
        </w:rPr>
        <w:t>Activites</w:t>
      </w:r>
      <w:proofErr w:type="spellEnd"/>
      <w:r w:rsidR="0096604F" w:rsidRPr="00B10CF5">
        <w:rPr>
          <w:rFonts w:eastAsia="Times New Roman" w:cs="Arial"/>
          <w:color w:val="000000"/>
          <w:shd w:val="clear" w:color="auto" w:fill="FFFFFF"/>
        </w:rPr>
        <w:t xml:space="preserve"> specified in 2019 Work Plan, which have not been implemented will be diverted to 2020 Work plan and </w:t>
      </w:r>
      <w:proofErr w:type="spellStart"/>
      <w:r w:rsidR="0096604F" w:rsidRPr="00B10CF5">
        <w:rPr>
          <w:rFonts w:eastAsia="Times New Roman" w:cs="Arial"/>
          <w:color w:val="000000"/>
          <w:shd w:val="clear" w:color="auto" w:fill="FFFFFF"/>
        </w:rPr>
        <w:t>finncing</w:t>
      </w:r>
      <w:proofErr w:type="spellEnd"/>
      <w:r w:rsidR="0096604F" w:rsidRPr="00B10CF5">
        <w:rPr>
          <w:rFonts w:eastAsia="Times New Roman" w:cs="Arial"/>
          <w:color w:val="000000"/>
          <w:shd w:val="clear" w:color="auto" w:fill="FFFFFF"/>
        </w:rPr>
        <w:t xml:space="preserve"> should be secured by the Secretariat.</w:t>
      </w:r>
      <w:r w:rsidR="00C23201" w:rsidRPr="00B10CF5">
        <w:rPr>
          <w:rFonts w:cs="Arial"/>
          <w:lang w:val="mn-MN"/>
        </w:rPr>
        <w:t xml:space="preserve"> </w:t>
      </w:r>
    </w:p>
    <w:p w:rsidR="00C2140B" w:rsidRPr="00B10CF5" w:rsidRDefault="00563F48" w:rsidP="00C2140B">
      <w:pPr>
        <w:pStyle w:val="ListParagraph"/>
        <w:numPr>
          <w:ilvl w:val="0"/>
          <w:numId w:val="2"/>
        </w:numPr>
        <w:tabs>
          <w:tab w:val="left" w:pos="2254"/>
        </w:tabs>
        <w:spacing w:after="0" w:line="240" w:lineRule="auto"/>
        <w:ind w:right="-629"/>
        <w:jc w:val="both"/>
        <w:rPr>
          <w:rFonts w:cs="Arial"/>
          <w:b/>
          <w:color w:val="000000" w:themeColor="text1"/>
          <w:lang w:val="mn-MN"/>
        </w:rPr>
      </w:pPr>
      <w:r w:rsidRPr="00B10CF5">
        <w:rPr>
          <w:rFonts w:eastAsia="Times New Roman" w:cs="Arial"/>
          <w:color w:val="000000"/>
          <w:shd w:val="clear" w:color="auto" w:fill="FFFFFF"/>
        </w:rPr>
        <w:t xml:space="preserve">The updated </w:t>
      </w:r>
      <w:r w:rsidR="0096604F" w:rsidRPr="00B10CF5">
        <w:rPr>
          <w:rFonts w:eastAsia="Times New Roman" w:cs="Arial"/>
          <w:color w:val="000000"/>
          <w:shd w:val="clear" w:color="auto" w:fill="FFFFFF"/>
        </w:rPr>
        <w:t xml:space="preserve">templates are approved </w:t>
      </w:r>
      <w:r w:rsidR="00DA74E9" w:rsidRPr="00B10CF5">
        <w:rPr>
          <w:rFonts w:eastAsia="Times New Roman" w:cs="Arial"/>
          <w:color w:val="000000"/>
          <w:shd w:val="clear" w:color="auto" w:fill="FFFFFF"/>
        </w:rPr>
        <w:t xml:space="preserve">with proposals of Members given at the meeting. There shall be </w:t>
      </w:r>
      <w:r w:rsidR="0096604F" w:rsidRPr="00B10CF5">
        <w:rPr>
          <w:rFonts w:eastAsia="Times New Roman" w:cs="Arial"/>
          <w:color w:val="000000"/>
          <w:shd w:val="clear" w:color="auto" w:fill="FFFFFF"/>
        </w:rPr>
        <w:t xml:space="preserve">a technical working group to improve updated </w:t>
      </w:r>
      <w:r w:rsidR="00C2140B" w:rsidRPr="00B10CF5">
        <w:rPr>
          <w:rFonts w:eastAsia="Times New Roman" w:cs="Arial"/>
          <w:color w:val="000000"/>
          <w:shd w:val="clear" w:color="auto" w:fill="FFFFFF"/>
        </w:rPr>
        <w:t>templates, and it was recommended to submit finalized version to National Statistical Committee for endorsement.</w:t>
      </w:r>
    </w:p>
    <w:p w:rsidR="00F97A86" w:rsidRPr="00B10CF5" w:rsidRDefault="00DA74E9" w:rsidP="00C2140B">
      <w:pPr>
        <w:pStyle w:val="ListParagraph"/>
        <w:numPr>
          <w:ilvl w:val="0"/>
          <w:numId w:val="2"/>
        </w:numPr>
        <w:tabs>
          <w:tab w:val="left" w:pos="2254"/>
        </w:tabs>
        <w:spacing w:after="0" w:line="240" w:lineRule="auto"/>
        <w:ind w:right="-629"/>
        <w:jc w:val="both"/>
        <w:rPr>
          <w:rFonts w:cs="Arial"/>
          <w:b/>
          <w:color w:val="000000" w:themeColor="text1"/>
          <w:lang w:val="mn-MN"/>
        </w:rPr>
      </w:pPr>
      <w:r w:rsidRPr="00B10CF5">
        <w:rPr>
          <w:rFonts w:cs="Arial"/>
          <w:color w:val="222222"/>
          <w:shd w:val="clear" w:color="auto" w:fill="FFFFFF"/>
        </w:rPr>
        <w:t xml:space="preserve">It was agreed to </w:t>
      </w:r>
      <w:r w:rsidR="00C2140B" w:rsidRPr="00B10CF5">
        <w:rPr>
          <w:rFonts w:cs="Arial"/>
          <w:color w:val="222222"/>
          <w:shd w:val="clear" w:color="auto" w:fill="FFFFFF"/>
        </w:rPr>
        <w:t xml:space="preserve">postpone approval of Draft </w:t>
      </w:r>
      <w:proofErr w:type="spellStart"/>
      <w:r w:rsidR="00C2140B" w:rsidRPr="00B10CF5">
        <w:rPr>
          <w:rFonts w:cs="Arial"/>
          <w:color w:val="222222"/>
          <w:shd w:val="clear" w:color="auto" w:fill="FFFFFF"/>
        </w:rPr>
        <w:t>Goverbnment</w:t>
      </w:r>
      <w:proofErr w:type="spellEnd"/>
      <w:r w:rsidR="00C2140B" w:rsidRPr="00B10CF5">
        <w:rPr>
          <w:rFonts w:cs="Arial"/>
          <w:color w:val="222222"/>
          <w:shd w:val="clear" w:color="auto" w:fill="FFFFFF"/>
        </w:rPr>
        <w:t xml:space="preserve"> report on mainstreaming in order to coordinate with ongoing Government policy reforms, directions, programs and projects. </w:t>
      </w:r>
    </w:p>
    <w:p w:rsidR="00F97A86" w:rsidRPr="00B10CF5" w:rsidRDefault="00DA74E9" w:rsidP="0025388D">
      <w:pPr>
        <w:pStyle w:val="Heading2"/>
        <w:numPr>
          <w:ilvl w:val="1"/>
          <w:numId w:val="24"/>
        </w:numPr>
        <w:tabs>
          <w:tab w:val="left" w:pos="2254"/>
        </w:tabs>
        <w:rPr>
          <w:rFonts w:cs="Arial"/>
          <w:sz w:val="22"/>
        </w:rPr>
      </w:pPr>
      <w:bookmarkStart w:id="45" w:name="_Toc28686595"/>
      <w:r w:rsidRPr="00B10CF5">
        <w:rPr>
          <w:rFonts w:cs="Arial"/>
          <w:sz w:val="22"/>
        </w:rPr>
        <w:t>Meeting</w:t>
      </w:r>
      <w:r w:rsidR="0025388D" w:rsidRPr="00B10CF5">
        <w:rPr>
          <w:rFonts w:cs="Arial"/>
          <w:sz w:val="22"/>
        </w:rPr>
        <w:t>s</w:t>
      </w:r>
      <w:r w:rsidRPr="00B10CF5">
        <w:rPr>
          <w:rFonts w:cs="Arial"/>
          <w:sz w:val="22"/>
        </w:rPr>
        <w:t xml:space="preserve"> of Mongolia EITI </w:t>
      </w:r>
      <w:r w:rsidR="00314BB9" w:rsidRPr="00B10CF5">
        <w:rPr>
          <w:rFonts w:cs="Arial"/>
          <w:sz w:val="22"/>
        </w:rPr>
        <w:t>Working Group</w:t>
      </w:r>
      <w:bookmarkEnd w:id="45"/>
    </w:p>
    <w:p w:rsidR="00700FE7" w:rsidRPr="00B10CF5" w:rsidRDefault="00314BB9" w:rsidP="005D3930">
      <w:pPr>
        <w:tabs>
          <w:tab w:val="left" w:pos="2254"/>
        </w:tabs>
        <w:spacing w:after="0" w:line="240" w:lineRule="auto"/>
        <w:ind w:right="-629"/>
        <w:jc w:val="both"/>
        <w:rPr>
          <w:rFonts w:cs="Arial"/>
          <w:color w:val="000000" w:themeColor="text1"/>
          <w:lang w:val="mn-MN"/>
        </w:rPr>
      </w:pPr>
      <w:r w:rsidRPr="00B10CF5">
        <w:rPr>
          <w:rFonts w:cs="Arial"/>
          <w:color w:val="000000" w:themeColor="text1"/>
        </w:rPr>
        <w:t xml:space="preserve">Mongolia EITI Working Group had </w:t>
      </w:r>
      <w:r w:rsidR="00C2140B" w:rsidRPr="00B10CF5">
        <w:rPr>
          <w:rFonts w:cs="Arial"/>
          <w:color w:val="000000" w:themeColor="text1"/>
        </w:rPr>
        <w:t>one</w:t>
      </w:r>
      <w:r w:rsidR="00817F55">
        <w:rPr>
          <w:rFonts w:cs="Arial"/>
          <w:color w:val="000000" w:themeColor="text1"/>
        </w:rPr>
        <w:t xml:space="preserve"> meeting</w:t>
      </w:r>
      <w:r w:rsidRPr="00B10CF5">
        <w:rPr>
          <w:rFonts w:cs="Arial"/>
          <w:color w:val="000000" w:themeColor="text1"/>
        </w:rPr>
        <w:t xml:space="preserve"> in November, 201</w:t>
      </w:r>
      <w:r w:rsidR="00C2140B" w:rsidRPr="00B10CF5">
        <w:rPr>
          <w:rFonts w:cs="Arial"/>
          <w:color w:val="000000" w:themeColor="text1"/>
        </w:rPr>
        <w:t>9</w:t>
      </w:r>
      <w:r w:rsidR="00F97A86" w:rsidRPr="00B10CF5">
        <w:rPr>
          <w:rFonts w:cs="Arial"/>
          <w:color w:val="000000" w:themeColor="text1"/>
          <w:lang w:val="mn-MN"/>
        </w:rPr>
        <w:t xml:space="preserve">. </w:t>
      </w:r>
    </w:p>
    <w:p w:rsidR="00700FE7" w:rsidRPr="00B10CF5" w:rsidRDefault="00700FE7" w:rsidP="005D3930">
      <w:pPr>
        <w:tabs>
          <w:tab w:val="left" w:pos="2254"/>
        </w:tabs>
        <w:spacing w:after="0" w:line="240" w:lineRule="auto"/>
        <w:ind w:right="-629"/>
        <w:jc w:val="both"/>
        <w:rPr>
          <w:rFonts w:cs="Arial"/>
          <w:color w:val="000000" w:themeColor="text1"/>
          <w:lang w:val="mn-MN"/>
        </w:rPr>
      </w:pPr>
    </w:p>
    <w:p w:rsidR="00700FE7" w:rsidRPr="00B10CF5" w:rsidRDefault="007A4496" w:rsidP="005D3930">
      <w:pPr>
        <w:tabs>
          <w:tab w:val="left" w:pos="2254"/>
        </w:tabs>
        <w:spacing w:after="0" w:line="240" w:lineRule="auto"/>
        <w:ind w:right="-629"/>
        <w:jc w:val="both"/>
        <w:rPr>
          <w:rFonts w:cs="Arial"/>
          <w:b/>
          <w:color w:val="000000" w:themeColor="text1"/>
          <w:lang w:val="mn-MN"/>
        </w:rPr>
      </w:pPr>
      <w:r w:rsidRPr="00B10CF5">
        <w:rPr>
          <w:rFonts w:cs="Arial"/>
          <w:b/>
          <w:color w:val="000000" w:themeColor="text1"/>
        </w:rPr>
        <w:t>Working Group Meeting No.4</w:t>
      </w:r>
      <w:r w:rsidR="00C2140B" w:rsidRPr="00B10CF5">
        <w:rPr>
          <w:rFonts w:cs="Arial"/>
          <w:b/>
          <w:color w:val="000000" w:themeColor="text1"/>
        </w:rPr>
        <w:t>9</w:t>
      </w:r>
      <w:r w:rsidRPr="00B10CF5">
        <w:rPr>
          <w:rFonts w:cs="Arial"/>
          <w:b/>
          <w:color w:val="000000" w:themeColor="text1"/>
        </w:rPr>
        <w:t xml:space="preserve"> was organized at </w:t>
      </w:r>
      <w:r w:rsidR="0025388D" w:rsidRPr="00B10CF5">
        <w:rPr>
          <w:rFonts w:cs="Arial"/>
          <w:b/>
          <w:color w:val="000000" w:themeColor="text1"/>
        </w:rPr>
        <w:t>Puma hotel</w:t>
      </w:r>
      <w:r w:rsidRPr="00B10CF5">
        <w:rPr>
          <w:rFonts w:cs="Arial"/>
          <w:b/>
          <w:color w:val="000000" w:themeColor="text1"/>
        </w:rPr>
        <w:t xml:space="preserve"> on </w:t>
      </w:r>
      <w:r w:rsidR="0025388D" w:rsidRPr="00B10CF5">
        <w:rPr>
          <w:rFonts w:cs="Arial"/>
          <w:b/>
          <w:color w:val="000000" w:themeColor="text1"/>
        </w:rPr>
        <w:t xml:space="preserve">May 1, </w:t>
      </w:r>
      <w:r w:rsidRPr="00B10CF5">
        <w:rPr>
          <w:rFonts w:cs="Arial"/>
          <w:b/>
          <w:color w:val="000000" w:themeColor="text1"/>
        </w:rPr>
        <w:t>201</w:t>
      </w:r>
      <w:r w:rsidR="0025388D" w:rsidRPr="00B10CF5">
        <w:rPr>
          <w:rFonts w:cs="Arial"/>
          <w:b/>
          <w:color w:val="000000" w:themeColor="text1"/>
        </w:rPr>
        <w:t>8</w:t>
      </w:r>
      <w:r w:rsidRPr="00B10CF5">
        <w:rPr>
          <w:rFonts w:cs="Arial"/>
          <w:b/>
          <w:color w:val="000000" w:themeColor="text1"/>
        </w:rPr>
        <w:t xml:space="preserve"> and below decisions are listed:</w:t>
      </w:r>
      <w:r w:rsidR="00700FE7" w:rsidRPr="00B10CF5">
        <w:rPr>
          <w:rFonts w:cs="Arial"/>
          <w:b/>
          <w:color w:val="000000" w:themeColor="text1"/>
          <w:lang w:val="mn-MN"/>
        </w:rPr>
        <w:t xml:space="preserve"> </w:t>
      </w:r>
    </w:p>
    <w:p w:rsidR="00BC5BC4" w:rsidRPr="00B10CF5" w:rsidRDefault="00BC5BC4" w:rsidP="005D3930">
      <w:pPr>
        <w:tabs>
          <w:tab w:val="left" w:pos="2254"/>
        </w:tabs>
        <w:spacing w:after="0" w:line="240" w:lineRule="auto"/>
        <w:ind w:right="-629"/>
        <w:jc w:val="both"/>
        <w:rPr>
          <w:rFonts w:cs="Arial"/>
          <w:b/>
          <w:color w:val="000000" w:themeColor="text1"/>
          <w:lang w:val="mn-MN"/>
        </w:rPr>
      </w:pPr>
    </w:p>
    <w:p w:rsidR="00806E77" w:rsidRPr="00B10CF5" w:rsidRDefault="00EC291E" w:rsidP="00C2140B">
      <w:pPr>
        <w:pStyle w:val="ListParagraph"/>
        <w:numPr>
          <w:ilvl w:val="0"/>
          <w:numId w:val="16"/>
        </w:numPr>
        <w:tabs>
          <w:tab w:val="left" w:pos="2254"/>
        </w:tabs>
        <w:spacing w:after="0" w:line="240" w:lineRule="auto"/>
        <w:ind w:right="-629"/>
        <w:jc w:val="both"/>
        <w:rPr>
          <w:rFonts w:cs="Arial"/>
          <w:color w:val="000000" w:themeColor="text1"/>
          <w:lang w:val="mn-MN"/>
        </w:rPr>
      </w:pPr>
      <w:r w:rsidRPr="00B10CF5">
        <w:rPr>
          <w:rFonts w:cs="Arial"/>
          <w:color w:val="000000" w:themeColor="text1"/>
          <w:lang w:eastAsia="zh-CN" w:bidi="mn-Mong-CN"/>
        </w:rPr>
        <w:t>The draft Mongolia EITI 201</w:t>
      </w:r>
      <w:r w:rsidR="00C2140B" w:rsidRPr="00B10CF5">
        <w:rPr>
          <w:rFonts w:cs="Arial"/>
          <w:color w:val="000000" w:themeColor="text1"/>
          <w:lang w:eastAsia="zh-CN" w:bidi="mn-Mong-CN"/>
        </w:rPr>
        <w:t>8</w:t>
      </w:r>
      <w:r w:rsidRPr="00B10CF5">
        <w:rPr>
          <w:rFonts w:cs="Arial"/>
          <w:color w:val="000000" w:themeColor="text1"/>
          <w:lang w:eastAsia="zh-CN" w:bidi="mn-Mong-CN"/>
        </w:rPr>
        <w:t xml:space="preserve"> is approved in the principle. It was instructed that </w:t>
      </w:r>
      <w:r w:rsidR="00C2140B" w:rsidRPr="00B10CF5">
        <w:rPr>
          <w:rFonts w:cs="Arial"/>
          <w:color w:val="000000" w:themeColor="text1"/>
          <w:lang w:eastAsia="zh-CN" w:bidi="mn-Mong-CN"/>
        </w:rPr>
        <w:t>BDO companies consortium to</w:t>
      </w:r>
      <w:r w:rsidRPr="00B10CF5">
        <w:rPr>
          <w:rFonts w:cs="Arial"/>
          <w:color w:val="000000" w:themeColor="text1"/>
          <w:lang w:eastAsia="zh-CN" w:bidi="mn-Mong-CN"/>
        </w:rPr>
        <w:t xml:space="preserve"> prepare the Report for </w:t>
      </w:r>
      <w:r w:rsidR="00806E77" w:rsidRPr="00B10CF5">
        <w:rPr>
          <w:rFonts w:cs="Arial"/>
          <w:color w:val="000000" w:themeColor="text1"/>
          <w:lang w:eastAsia="zh-CN" w:bidi="mn-Mong-CN"/>
        </w:rPr>
        <w:t xml:space="preserve">meeting of </w:t>
      </w:r>
      <w:r w:rsidRPr="00B10CF5">
        <w:rPr>
          <w:rFonts w:cs="Arial"/>
          <w:color w:val="000000" w:themeColor="text1"/>
          <w:lang w:eastAsia="zh-CN" w:bidi="mn-Mong-CN"/>
        </w:rPr>
        <w:t xml:space="preserve">National Council. </w:t>
      </w:r>
      <w:r w:rsidR="0012519F" w:rsidRPr="00B10CF5">
        <w:rPr>
          <w:rFonts w:cs="Arial"/>
          <w:color w:val="000000" w:themeColor="text1"/>
          <w:lang w:eastAsia="zh-CN" w:bidi="mn-Mong-CN"/>
        </w:rPr>
        <w:t>T</w:t>
      </w:r>
      <w:r w:rsidR="00806E77" w:rsidRPr="00B10CF5">
        <w:rPr>
          <w:rFonts w:cs="Arial"/>
          <w:color w:val="000000" w:themeColor="text1"/>
          <w:lang w:eastAsia="zh-CN" w:bidi="mn-Mong-CN"/>
        </w:rPr>
        <w:t xml:space="preserve">he Secretariat is allowed to pay scheduled payment, which </w:t>
      </w:r>
      <w:r w:rsidR="0012519F" w:rsidRPr="00B10CF5">
        <w:rPr>
          <w:rFonts w:cs="Arial"/>
          <w:color w:val="000000" w:themeColor="text1"/>
          <w:lang w:eastAsia="zh-CN" w:bidi="mn-Mong-CN"/>
        </w:rPr>
        <w:t>5</w:t>
      </w:r>
      <w:r w:rsidR="00806E77" w:rsidRPr="00B10CF5">
        <w:rPr>
          <w:rFonts w:cs="Arial"/>
          <w:color w:val="000000" w:themeColor="text1"/>
          <w:lang w:eastAsia="zh-CN" w:bidi="mn-Mong-CN"/>
        </w:rPr>
        <w:t>0% of contract sum.</w:t>
      </w:r>
    </w:p>
    <w:p w:rsidR="00F54D79" w:rsidRPr="00B10CF5" w:rsidRDefault="00F54D79" w:rsidP="005D3930">
      <w:pPr>
        <w:pStyle w:val="ListParagraph"/>
        <w:numPr>
          <w:ilvl w:val="0"/>
          <w:numId w:val="16"/>
        </w:numPr>
        <w:tabs>
          <w:tab w:val="left" w:pos="2254"/>
        </w:tabs>
        <w:spacing w:after="0" w:line="240" w:lineRule="auto"/>
        <w:ind w:right="-629"/>
        <w:jc w:val="both"/>
        <w:rPr>
          <w:rFonts w:cs="Arial"/>
          <w:color w:val="000000" w:themeColor="text1"/>
          <w:lang w:val="mn-MN"/>
        </w:rPr>
      </w:pPr>
      <w:r w:rsidRPr="00B10CF5">
        <w:rPr>
          <w:rFonts w:cs="Arial"/>
        </w:rPr>
        <w:t xml:space="preserve">Progress of report of 2019 work plan and draft of 2020 Workplan were discussed and the Secretariat is instructed to update with comments and proposals of members of the Working group, prepare to submit them to National Council meeting. </w:t>
      </w:r>
    </w:p>
    <w:p w:rsidR="00656E28" w:rsidRPr="00B10CF5" w:rsidRDefault="00F54D79" w:rsidP="005D3930">
      <w:pPr>
        <w:pStyle w:val="ListParagraph"/>
        <w:numPr>
          <w:ilvl w:val="0"/>
          <w:numId w:val="16"/>
        </w:numPr>
        <w:tabs>
          <w:tab w:val="left" w:pos="2254"/>
        </w:tabs>
        <w:spacing w:after="0" w:line="240" w:lineRule="auto"/>
        <w:ind w:right="-629"/>
        <w:jc w:val="both"/>
        <w:rPr>
          <w:rFonts w:cs="Arial"/>
          <w:color w:val="000000" w:themeColor="text1"/>
          <w:lang w:val="mn-MN"/>
        </w:rPr>
      </w:pPr>
      <w:r w:rsidRPr="00B10CF5">
        <w:rPr>
          <w:rFonts w:cs="Arial"/>
        </w:rPr>
        <w:t>The Secretariat wa</w:t>
      </w:r>
      <w:r w:rsidR="00806E77" w:rsidRPr="00B10CF5">
        <w:rPr>
          <w:rFonts w:cs="Arial"/>
        </w:rPr>
        <w:t>s a</w:t>
      </w:r>
      <w:r w:rsidRPr="00B10CF5">
        <w:rPr>
          <w:rFonts w:cs="Arial"/>
        </w:rPr>
        <w:t xml:space="preserve">llowed to update </w:t>
      </w:r>
      <w:r w:rsidR="00656E28" w:rsidRPr="00B10CF5">
        <w:rPr>
          <w:rFonts w:cs="Arial"/>
        </w:rPr>
        <w:t>with comments and proposals of Working group reporting templates in compliance with new EITI standard and prepare for National Council meeting for endorsement.</w:t>
      </w:r>
    </w:p>
    <w:p w:rsidR="00656E28" w:rsidRPr="00B10CF5" w:rsidRDefault="00656E28" w:rsidP="00656E28">
      <w:pPr>
        <w:pStyle w:val="ListParagraph"/>
        <w:numPr>
          <w:ilvl w:val="0"/>
          <w:numId w:val="16"/>
        </w:numPr>
        <w:tabs>
          <w:tab w:val="left" w:pos="2254"/>
        </w:tabs>
        <w:spacing w:after="0" w:line="240" w:lineRule="auto"/>
        <w:ind w:right="-629"/>
        <w:jc w:val="both"/>
        <w:rPr>
          <w:rFonts w:cs="Arial"/>
          <w:color w:val="000000" w:themeColor="text1"/>
          <w:lang w:val="mn-MN"/>
        </w:rPr>
      </w:pPr>
      <w:r w:rsidRPr="00B10CF5">
        <w:rPr>
          <w:rFonts w:cs="Arial"/>
        </w:rPr>
        <w:lastRenderedPageBreak/>
        <w:t xml:space="preserve">The Secretariat was allowed to update with comments and proposals of Working group draft of Government resolution attachment on </w:t>
      </w:r>
      <w:proofErr w:type="spellStart"/>
      <w:r w:rsidRPr="00B10CF5">
        <w:rPr>
          <w:rFonts w:cs="Arial"/>
        </w:rPr>
        <w:t>mainistreaming</w:t>
      </w:r>
      <w:proofErr w:type="spellEnd"/>
      <w:r w:rsidRPr="00B10CF5">
        <w:rPr>
          <w:rFonts w:cs="Arial"/>
        </w:rPr>
        <w:t xml:space="preserve"> and prepare for National Council meeting for endorsement.</w:t>
      </w:r>
    </w:p>
    <w:p w:rsidR="00656E28" w:rsidRPr="00B10CF5" w:rsidRDefault="00656E28" w:rsidP="005D3930">
      <w:pPr>
        <w:pStyle w:val="Heading1"/>
        <w:tabs>
          <w:tab w:val="left" w:pos="2254"/>
        </w:tabs>
        <w:rPr>
          <w:sz w:val="22"/>
          <w:szCs w:val="22"/>
        </w:rPr>
      </w:pPr>
    </w:p>
    <w:p w:rsidR="00842EDA" w:rsidRPr="00B10CF5" w:rsidRDefault="00656E28" w:rsidP="005D3930">
      <w:pPr>
        <w:pStyle w:val="Heading1"/>
        <w:tabs>
          <w:tab w:val="left" w:pos="2254"/>
        </w:tabs>
        <w:rPr>
          <w:sz w:val="22"/>
          <w:szCs w:val="22"/>
          <w:lang w:val="mn-MN"/>
        </w:rPr>
      </w:pPr>
      <w:bookmarkStart w:id="46" w:name="_Toc28686596"/>
      <w:r w:rsidRPr="00B10CF5">
        <w:rPr>
          <w:sz w:val="22"/>
          <w:szCs w:val="22"/>
        </w:rPr>
        <w:t>Eight</w:t>
      </w:r>
      <w:r w:rsidR="00BE490F" w:rsidRPr="00B10CF5">
        <w:rPr>
          <w:sz w:val="22"/>
          <w:szCs w:val="22"/>
          <w:lang w:val="mn-MN"/>
        </w:rPr>
        <w:t xml:space="preserve">.  </w:t>
      </w:r>
      <w:r w:rsidR="007616E9" w:rsidRPr="00B10CF5">
        <w:rPr>
          <w:sz w:val="22"/>
          <w:szCs w:val="22"/>
        </w:rPr>
        <w:t>Attachments</w:t>
      </w:r>
      <w:r w:rsidR="00545C5D" w:rsidRPr="00B10CF5">
        <w:rPr>
          <w:sz w:val="22"/>
          <w:szCs w:val="22"/>
        </w:rPr>
        <w:t>:</w:t>
      </w:r>
      <w:bookmarkEnd w:id="46"/>
      <w:r w:rsidR="00842EDA" w:rsidRPr="00B10CF5">
        <w:rPr>
          <w:sz w:val="22"/>
          <w:szCs w:val="22"/>
          <w:lang w:val="mn-MN"/>
        </w:rPr>
        <w:t xml:space="preserve"> </w:t>
      </w:r>
    </w:p>
    <w:p w:rsidR="00842EDA" w:rsidRPr="00B10CF5" w:rsidRDefault="007616E9" w:rsidP="005D3930">
      <w:pPr>
        <w:pStyle w:val="ListParagraph"/>
        <w:numPr>
          <w:ilvl w:val="0"/>
          <w:numId w:val="4"/>
        </w:numPr>
        <w:tabs>
          <w:tab w:val="left" w:pos="2254"/>
        </w:tabs>
        <w:spacing w:after="0" w:line="240" w:lineRule="auto"/>
        <w:ind w:right="-629"/>
        <w:jc w:val="both"/>
        <w:rPr>
          <w:rFonts w:cs="Arial"/>
          <w:color w:val="000000" w:themeColor="text1"/>
          <w:lang w:val="mn-MN"/>
        </w:rPr>
      </w:pPr>
      <w:r w:rsidRPr="00B10CF5">
        <w:rPr>
          <w:rFonts w:cs="Arial"/>
          <w:color w:val="000000" w:themeColor="text1"/>
        </w:rPr>
        <w:t>Implementation of Mongolia EITI 201</w:t>
      </w:r>
      <w:r w:rsidR="00656E28" w:rsidRPr="00B10CF5">
        <w:rPr>
          <w:rFonts w:cs="Arial"/>
          <w:color w:val="000000" w:themeColor="text1"/>
        </w:rPr>
        <w:t>9</w:t>
      </w:r>
      <w:r w:rsidRPr="00B10CF5">
        <w:rPr>
          <w:rFonts w:cs="Arial"/>
          <w:color w:val="000000" w:themeColor="text1"/>
        </w:rPr>
        <w:t xml:space="preserve"> Work Plan</w:t>
      </w:r>
      <w:r w:rsidR="00817F55">
        <w:rPr>
          <w:rFonts w:cs="Arial"/>
          <w:color w:val="000000" w:themeColor="text1"/>
        </w:rPr>
        <w:t>.</w:t>
      </w:r>
    </w:p>
    <w:p w:rsidR="00842EDA" w:rsidRPr="00B10CF5" w:rsidRDefault="00A905B6" w:rsidP="005D3930">
      <w:pPr>
        <w:pStyle w:val="ListParagraph"/>
        <w:numPr>
          <w:ilvl w:val="0"/>
          <w:numId w:val="4"/>
        </w:numPr>
        <w:tabs>
          <w:tab w:val="left" w:pos="2254"/>
        </w:tabs>
        <w:spacing w:after="0" w:line="240" w:lineRule="auto"/>
        <w:ind w:right="-629"/>
        <w:jc w:val="both"/>
        <w:rPr>
          <w:rFonts w:cs="Arial"/>
          <w:color w:val="000000" w:themeColor="text1"/>
          <w:lang w:val="mn-MN"/>
        </w:rPr>
      </w:pPr>
      <w:r w:rsidRPr="00B10CF5">
        <w:rPr>
          <w:rFonts w:cs="Arial"/>
          <w:color w:val="000000" w:themeColor="text1"/>
        </w:rPr>
        <w:t>Mongolia EITI 20</w:t>
      </w:r>
      <w:r w:rsidR="00656E28" w:rsidRPr="00B10CF5">
        <w:rPr>
          <w:rFonts w:cs="Arial"/>
          <w:color w:val="000000" w:themeColor="text1"/>
        </w:rPr>
        <w:t>20</w:t>
      </w:r>
      <w:r w:rsidRPr="00B10CF5">
        <w:rPr>
          <w:rFonts w:cs="Arial"/>
          <w:color w:val="000000" w:themeColor="text1"/>
        </w:rPr>
        <w:t xml:space="preserve"> Work plan</w:t>
      </w:r>
      <w:r w:rsidR="00817F55">
        <w:rPr>
          <w:rFonts w:cs="Arial"/>
          <w:color w:val="000000" w:themeColor="text1"/>
        </w:rPr>
        <w:t>.</w:t>
      </w:r>
    </w:p>
    <w:p w:rsidR="00842EDA" w:rsidRPr="00F11D3C" w:rsidRDefault="00A905B6" w:rsidP="005D3930">
      <w:pPr>
        <w:pStyle w:val="ListParagraph"/>
        <w:numPr>
          <w:ilvl w:val="0"/>
          <w:numId w:val="4"/>
        </w:numPr>
        <w:tabs>
          <w:tab w:val="left" w:pos="2254"/>
        </w:tabs>
        <w:spacing w:after="0" w:line="240" w:lineRule="auto"/>
        <w:ind w:right="-629"/>
        <w:jc w:val="both"/>
        <w:rPr>
          <w:rFonts w:cs="Arial"/>
          <w:color w:val="000000" w:themeColor="text1"/>
          <w:lang w:val="mn-MN"/>
        </w:rPr>
      </w:pPr>
      <w:r w:rsidRPr="00B10CF5">
        <w:rPr>
          <w:rFonts w:cs="Arial"/>
          <w:color w:val="000000" w:themeColor="text1"/>
        </w:rPr>
        <w:t xml:space="preserve">Updated Road map of Mongolia </w:t>
      </w:r>
      <w:r w:rsidR="005D3930" w:rsidRPr="00B10CF5">
        <w:rPr>
          <w:rFonts w:cs="Arial"/>
          <w:color w:val="000000" w:themeColor="text1"/>
        </w:rPr>
        <w:t>EITI</w:t>
      </w:r>
      <w:r w:rsidRPr="00B10CF5">
        <w:rPr>
          <w:rFonts w:cs="Arial"/>
          <w:color w:val="000000" w:themeColor="text1"/>
        </w:rPr>
        <w:t xml:space="preserve"> Disclosure of Beneficial ownership 2020 </w:t>
      </w:r>
      <w:r w:rsidR="005D3930" w:rsidRPr="00B10CF5">
        <w:rPr>
          <w:rFonts w:cs="Arial"/>
          <w:color w:val="000000" w:themeColor="text1"/>
        </w:rPr>
        <w:t xml:space="preserve">with </w:t>
      </w:r>
      <w:proofErr w:type="spellStart"/>
      <w:r w:rsidR="005D3930" w:rsidRPr="00B10CF5">
        <w:rPr>
          <w:rFonts w:cs="Arial"/>
          <w:color w:val="000000" w:themeColor="text1"/>
        </w:rPr>
        <w:t>implementtion</w:t>
      </w:r>
      <w:proofErr w:type="spellEnd"/>
      <w:r w:rsidRPr="00B10CF5">
        <w:rPr>
          <w:rFonts w:cs="Arial"/>
          <w:color w:val="000000" w:themeColor="text1"/>
        </w:rPr>
        <w:t xml:space="preserve"> status</w:t>
      </w:r>
      <w:r w:rsidR="00817F55">
        <w:rPr>
          <w:rFonts w:cs="Arial"/>
          <w:color w:val="000000" w:themeColor="text1"/>
        </w:rPr>
        <w:t>.</w:t>
      </w:r>
    </w:p>
    <w:p w:rsidR="00F11D3C" w:rsidRPr="00B10CF5" w:rsidRDefault="00F11D3C" w:rsidP="005D3930">
      <w:pPr>
        <w:pStyle w:val="ListParagraph"/>
        <w:numPr>
          <w:ilvl w:val="0"/>
          <w:numId w:val="4"/>
        </w:numPr>
        <w:tabs>
          <w:tab w:val="left" w:pos="2254"/>
        </w:tabs>
        <w:spacing w:after="0" w:line="240" w:lineRule="auto"/>
        <w:ind w:right="-629"/>
        <w:jc w:val="both"/>
        <w:rPr>
          <w:rFonts w:cs="Arial"/>
          <w:color w:val="000000" w:themeColor="text1"/>
          <w:lang w:val="mn-MN"/>
        </w:rPr>
      </w:pPr>
      <w:r>
        <w:rPr>
          <w:rFonts w:cs="Arial"/>
          <w:color w:val="000000" w:themeColor="text1"/>
        </w:rPr>
        <w:t>Attendance sheets of National Council and MSG meetings</w:t>
      </w:r>
      <w:r w:rsidR="00817F55">
        <w:rPr>
          <w:rFonts w:cs="Arial"/>
          <w:color w:val="000000" w:themeColor="text1"/>
        </w:rPr>
        <w:t xml:space="preserve"> in 2019.</w:t>
      </w:r>
    </w:p>
    <w:sectPr w:rsidR="00F11D3C" w:rsidRPr="00B10CF5" w:rsidSect="00232ADC">
      <w:footerReference w:type="defaul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6F9" w:rsidRDefault="008E36F9" w:rsidP="003F7FB9">
      <w:pPr>
        <w:spacing w:after="0" w:line="240" w:lineRule="auto"/>
      </w:pPr>
      <w:r>
        <w:separator/>
      </w:r>
    </w:p>
  </w:endnote>
  <w:endnote w:type="continuationSeparator" w:id="0">
    <w:p w:rsidR="008E36F9" w:rsidRDefault="008E36F9" w:rsidP="003F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45 Light">
    <w:altName w:val="Calibri"/>
    <w:charset w:val="00"/>
    <w:family w:val="auto"/>
    <w:pitch w:val="variable"/>
    <w:sig w:usb0="8000002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Mon">
    <w:altName w:val="Vrinda"/>
    <w:charset w:val="00"/>
    <w:family w:val="swiss"/>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767295"/>
      <w:docPartObj>
        <w:docPartGallery w:val="Page Numbers (Bottom of Page)"/>
        <w:docPartUnique/>
      </w:docPartObj>
    </w:sdtPr>
    <w:sdtEndPr>
      <w:rPr>
        <w:sz w:val="16"/>
      </w:rPr>
    </w:sdtEndPr>
    <w:sdtContent>
      <w:p w:rsidR="00883042" w:rsidRDefault="00883042">
        <w:pPr>
          <w:pStyle w:val="Footer"/>
          <w:jc w:val="right"/>
        </w:pPr>
        <w:r w:rsidRPr="003F7FB9">
          <w:rPr>
            <w:sz w:val="16"/>
          </w:rPr>
          <w:fldChar w:fldCharType="begin"/>
        </w:r>
        <w:r w:rsidRPr="003F7FB9">
          <w:rPr>
            <w:sz w:val="16"/>
          </w:rPr>
          <w:instrText xml:space="preserve"> PAGE   \* MERGEFORMAT </w:instrText>
        </w:r>
        <w:r w:rsidRPr="003F7FB9">
          <w:rPr>
            <w:sz w:val="16"/>
          </w:rPr>
          <w:fldChar w:fldCharType="separate"/>
        </w:r>
        <w:r w:rsidR="00817F55">
          <w:rPr>
            <w:noProof/>
            <w:sz w:val="16"/>
          </w:rPr>
          <w:t>11</w:t>
        </w:r>
        <w:r w:rsidRPr="003F7FB9">
          <w:rPr>
            <w:sz w:val="16"/>
          </w:rPr>
          <w:fldChar w:fldCharType="end"/>
        </w:r>
      </w:p>
    </w:sdtContent>
  </w:sdt>
  <w:p w:rsidR="00883042" w:rsidRDefault="00883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6F9" w:rsidRDefault="008E36F9" w:rsidP="003F7FB9">
      <w:pPr>
        <w:spacing w:after="0" w:line="240" w:lineRule="auto"/>
      </w:pPr>
      <w:r>
        <w:separator/>
      </w:r>
    </w:p>
  </w:footnote>
  <w:footnote w:type="continuationSeparator" w:id="0">
    <w:p w:rsidR="008E36F9" w:rsidRDefault="008E36F9" w:rsidP="003F7FB9">
      <w:pPr>
        <w:spacing w:after="0" w:line="240" w:lineRule="auto"/>
      </w:pPr>
      <w:r>
        <w:continuationSeparator/>
      </w:r>
    </w:p>
  </w:footnote>
  <w:footnote w:id="1">
    <w:p w:rsidR="00883042" w:rsidRDefault="00883042">
      <w:pPr>
        <w:pStyle w:val="FootnoteText"/>
      </w:pPr>
      <w:r>
        <w:rPr>
          <w:rStyle w:val="FootnoteReference"/>
        </w:rPr>
        <w:footnoteRef/>
      </w:r>
      <w:r>
        <w:t xml:space="preserve"> Mongolia EITI 2018 report- 81 companies reported on used water and 49 companies reported on disposal of waste.</w:t>
      </w:r>
    </w:p>
  </w:footnote>
  <w:footnote w:id="2">
    <w:p w:rsidR="00883042" w:rsidRDefault="00883042">
      <w:pPr>
        <w:pStyle w:val="FootnoteText"/>
      </w:pPr>
      <w:r>
        <w:rPr>
          <w:rStyle w:val="FootnoteReference"/>
        </w:rPr>
        <w:footnoteRef/>
      </w:r>
      <w:r>
        <w:t xml:space="preserve"> Mongolian Mining Journal, 2018 –November Edition </w:t>
      </w:r>
    </w:p>
  </w:footnote>
  <w:footnote w:id="3">
    <w:p w:rsidR="00883042" w:rsidRDefault="00883042">
      <w:pPr>
        <w:pStyle w:val="FootnoteText"/>
      </w:pPr>
      <w:r>
        <w:rPr>
          <w:rStyle w:val="FootnoteReference"/>
        </w:rPr>
        <w:footnoteRef/>
      </w:r>
      <w:r>
        <w:t xml:space="preserve"> Implementation of Work plan of Mongolia EITI 2019 is given by attachment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EE0"/>
    <w:multiLevelType w:val="hybridMultilevel"/>
    <w:tmpl w:val="A144450A"/>
    <w:lvl w:ilvl="0" w:tplc="EC54D2BC">
      <w:start w:val="5"/>
      <w:numFmt w:val="bullet"/>
      <w:lvlText w:val="-"/>
      <w:lvlJc w:val="left"/>
      <w:pPr>
        <w:ind w:left="720" w:hanging="360"/>
      </w:pPr>
      <w:rPr>
        <w:rFonts w:ascii="Univers 45 Light" w:eastAsia="Times New Roman" w:hAnsi="Univers 45 Light" w:cs="Calibri" w:hint="default"/>
        <w:color w:val="808080" w:themeColor="background1" w:themeShade="80"/>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0F5A177E"/>
    <w:multiLevelType w:val="hybridMultilevel"/>
    <w:tmpl w:val="C3DE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861BB"/>
    <w:multiLevelType w:val="hybridMultilevel"/>
    <w:tmpl w:val="0160FCD2"/>
    <w:lvl w:ilvl="0" w:tplc="EC54D2BC">
      <w:start w:val="5"/>
      <w:numFmt w:val="bullet"/>
      <w:lvlText w:val="-"/>
      <w:lvlJc w:val="left"/>
      <w:pPr>
        <w:ind w:left="720" w:hanging="360"/>
      </w:pPr>
      <w:rPr>
        <w:rFonts w:ascii="Univers 45 Light" w:eastAsia="Times New Roman" w:hAnsi="Univers 45 Light" w:cs="Calibri" w:hint="default"/>
        <w:color w:val="808080" w:themeColor="background1" w:themeShade="80"/>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15:restartNumberingAfterBreak="0">
    <w:nsid w:val="159A6D25"/>
    <w:multiLevelType w:val="hybridMultilevel"/>
    <w:tmpl w:val="9CE6C6CC"/>
    <w:lvl w:ilvl="0" w:tplc="3E7ED8C0">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6DAE4404">
      <w:start w:val="2016"/>
      <w:numFmt w:val="decimal"/>
      <w:lvlText w:val="%3"/>
      <w:lvlJc w:val="left"/>
      <w:pPr>
        <w:ind w:left="2100" w:hanging="480"/>
      </w:pPr>
      <w:rPr>
        <w:rFonts w:hint="default"/>
        <w:color w:val="auto"/>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26069"/>
    <w:multiLevelType w:val="hybridMultilevel"/>
    <w:tmpl w:val="B8A41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97630"/>
    <w:multiLevelType w:val="hybridMultilevel"/>
    <w:tmpl w:val="4442F34C"/>
    <w:lvl w:ilvl="0" w:tplc="5016AC3A">
      <w:start w:val="1"/>
      <w:numFmt w:val="decimal"/>
      <w:lvlText w:val="%1."/>
      <w:lvlJc w:val="left"/>
      <w:pPr>
        <w:ind w:left="720" w:hanging="360"/>
      </w:pPr>
      <w:rPr>
        <w:rFonts w:ascii="Arial" w:eastAsia="Times New Roman" w:hAnsi="Arial" w:cs="Arial"/>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96D39"/>
    <w:multiLevelType w:val="hybridMultilevel"/>
    <w:tmpl w:val="C260945A"/>
    <w:lvl w:ilvl="0" w:tplc="744C0EA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4AE5"/>
    <w:multiLevelType w:val="hybridMultilevel"/>
    <w:tmpl w:val="D5E08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866EFF"/>
    <w:multiLevelType w:val="hybridMultilevel"/>
    <w:tmpl w:val="0A9A0A86"/>
    <w:lvl w:ilvl="0" w:tplc="5016AC3A">
      <w:start w:val="1"/>
      <w:numFmt w:val="decimal"/>
      <w:lvlText w:val="%1."/>
      <w:lvlJc w:val="left"/>
      <w:pPr>
        <w:ind w:left="720" w:hanging="360"/>
      </w:pPr>
      <w:rPr>
        <w:rFonts w:ascii="Arial" w:eastAsia="Times New Roman" w:hAnsi="Arial" w:cs="Arial"/>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84D65"/>
    <w:multiLevelType w:val="multilevel"/>
    <w:tmpl w:val="617A065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6730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45F88"/>
    <w:multiLevelType w:val="hybridMultilevel"/>
    <w:tmpl w:val="6C3A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60D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41039F"/>
    <w:multiLevelType w:val="hybridMultilevel"/>
    <w:tmpl w:val="1026CA10"/>
    <w:lvl w:ilvl="0" w:tplc="5016AC3A">
      <w:start w:val="1"/>
      <w:numFmt w:val="decimal"/>
      <w:lvlText w:val="%1."/>
      <w:lvlJc w:val="left"/>
      <w:pPr>
        <w:ind w:left="720" w:hanging="360"/>
      </w:pPr>
      <w:rPr>
        <w:rFonts w:ascii="Arial" w:eastAsia="Times New Roman" w:hAnsi="Arial" w:cs="Arial"/>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84CF0"/>
    <w:multiLevelType w:val="multilevel"/>
    <w:tmpl w:val="A3464C3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F6F12D7"/>
    <w:multiLevelType w:val="hybridMultilevel"/>
    <w:tmpl w:val="0688F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84393A"/>
    <w:multiLevelType w:val="hybridMultilevel"/>
    <w:tmpl w:val="E766F226"/>
    <w:lvl w:ilvl="0" w:tplc="3BDCEFCE">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17C48"/>
    <w:multiLevelType w:val="hybridMultilevel"/>
    <w:tmpl w:val="5B96E38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471E6"/>
    <w:multiLevelType w:val="multilevel"/>
    <w:tmpl w:val="B28057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7363F6"/>
    <w:multiLevelType w:val="hybridMultilevel"/>
    <w:tmpl w:val="5F32978C"/>
    <w:lvl w:ilvl="0" w:tplc="26F846E0">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531FF"/>
    <w:multiLevelType w:val="multilevel"/>
    <w:tmpl w:val="0409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i w:val="0"/>
        <w:lang w:val="en-US"/>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CA2F3D"/>
    <w:multiLevelType w:val="multilevel"/>
    <w:tmpl w:val="78421328"/>
    <w:lvl w:ilvl="0">
      <w:start w:val="1"/>
      <w:numFmt w:val="decimal"/>
      <w:lvlText w:val="%1."/>
      <w:lvlJc w:val="left"/>
      <w:pPr>
        <w:ind w:left="720" w:hanging="360"/>
      </w:pPr>
      <w:rPr>
        <w:rFonts w:ascii="Arial" w:eastAsia="Times New Roman" w:hAnsi="Arial" w:cs="Arial"/>
        <w:color w:val="000000"/>
        <w:sz w:val="1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4C4B08"/>
    <w:multiLevelType w:val="hybridMultilevel"/>
    <w:tmpl w:val="48F2D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E7775E"/>
    <w:multiLevelType w:val="hybridMultilevel"/>
    <w:tmpl w:val="ADAC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047E3"/>
    <w:multiLevelType w:val="multilevel"/>
    <w:tmpl w:val="7B804B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108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440" w:hanging="144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800" w:hanging="1800"/>
      </w:pPr>
      <w:rPr>
        <w:rFonts w:hint="default"/>
        <w:color w:val="000000" w:themeColor="text1"/>
      </w:rPr>
    </w:lvl>
    <w:lvl w:ilvl="8">
      <w:start w:val="1"/>
      <w:numFmt w:val="decimal"/>
      <w:isLgl/>
      <w:lvlText w:val="%1.%2.%3.%4.%5.%6.%7.%8.%9."/>
      <w:lvlJc w:val="left"/>
      <w:pPr>
        <w:ind w:left="1800" w:hanging="1800"/>
      </w:pPr>
      <w:rPr>
        <w:rFonts w:hint="default"/>
        <w:color w:val="000000" w:themeColor="text1"/>
      </w:rPr>
    </w:lvl>
  </w:abstractNum>
  <w:abstractNum w:abstractNumId="25" w15:restartNumberingAfterBreak="0">
    <w:nsid w:val="76E17869"/>
    <w:multiLevelType w:val="hybridMultilevel"/>
    <w:tmpl w:val="3B4C3A80"/>
    <w:lvl w:ilvl="0" w:tplc="5016AC3A">
      <w:start w:val="1"/>
      <w:numFmt w:val="decimal"/>
      <w:lvlText w:val="%1."/>
      <w:lvlJc w:val="left"/>
      <w:pPr>
        <w:ind w:left="720" w:hanging="360"/>
      </w:pPr>
      <w:rPr>
        <w:rFonts w:ascii="Arial" w:eastAsia="Times New Roman" w:hAnsi="Arial" w:cs="Arial"/>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24"/>
  </w:num>
  <w:num w:numId="5">
    <w:abstractNumId w:val="1"/>
  </w:num>
  <w:num w:numId="6">
    <w:abstractNumId w:val="17"/>
  </w:num>
  <w:num w:numId="7">
    <w:abstractNumId w:val="16"/>
  </w:num>
  <w:num w:numId="8">
    <w:abstractNumId w:val="4"/>
  </w:num>
  <w:num w:numId="9">
    <w:abstractNumId w:val="11"/>
  </w:num>
  <w:num w:numId="10">
    <w:abstractNumId w:val="5"/>
  </w:num>
  <w:num w:numId="11">
    <w:abstractNumId w:val="21"/>
  </w:num>
  <w:num w:numId="12">
    <w:abstractNumId w:val="8"/>
  </w:num>
  <w:num w:numId="13">
    <w:abstractNumId w:val="25"/>
  </w:num>
  <w:num w:numId="14">
    <w:abstractNumId w:val="13"/>
  </w:num>
  <w:num w:numId="15">
    <w:abstractNumId w:val="7"/>
  </w:num>
  <w:num w:numId="16">
    <w:abstractNumId w:val="15"/>
  </w:num>
  <w:num w:numId="17">
    <w:abstractNumId w:val="19"/>
  </w:num>
  <w:num w:numId="18">
    <w:abstractNumId w:val="20"/>
  </w:num>
  <w:num w:numId="19">
    <w:abstractNumId w:val="0"/>
  </w:num>
  <w:num w:numId="20">
    <w:abstractNumId w:val="2"/>
  </w:num>
  <w:num w:numId="21">
    <w:abstractNumId w:val="12"/>
  </w:num>
  <w:num w:numId="22">
    <w:abstractNumId w:val="10"/>
  </w:num>
  <w:num w:numId="23">
    <w:abstractNumId w:val="18"/>
  </w:num>
  <w:num w:numId="24">
    <w:abstractNumId w:val="14"/>
  </w:num>
  <w:num w:numId="25">
    <w:abstractNumId w:val="6"/>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3B"/>
    <w:rsid w:val="0000076C"/>
    <w:rsid w:val="00001FB9"/>
    <w:rsid w:val="00004936"/>
    <w:rsid w:val="0001020C"/>
    <w:rsid w:val="000113F1"/>
    <w:rsid w:val="000129A8"/>
    <w:rsid w:val="000143BB"/>
    <w:rsid w:val="00014D8C"/>
    <w:rsid w:val="00016307"/>
    <w:rsid w:val="00016CDA"/>
    <w:rsid w:val="000174FC"/>
    <w:rsid w:val="0002014E"/>
    <w:rsid w:val="00025619"/>
    <w:rsid w:val="000266D4"/>
    <w:rsid w:val="00030CDB"/>
    <w:rsid w:val="00032174"/>
    <w:rsid w:val="00032E5F"/>
    <w:rsid w:val="00036C62"/>
    <w:rsid w:val="00040003"/>
    <w:rsid w:val="00041201"/>
    <w:rsid w:val="000412A9"/>
    <w:rsid w:val="00041E44"/>
    <w:rsid w:val="000436CF"/>
    <w:rsid w:val="0004384E"/>
    <w:rsid w:val="00044DD5"/>
    <w:rsid w:val="00044E52"/>
    <w:rsid w:val="00046FD7"/>
    <w:rsid w:val="00055B3C"/>
    <w:rsid w:val="00056464"/>
    <w:rsid w:val="0006078E"/>
    <w:rsid w:val="00060B43"/>
    <w:rsid w:val="000640DB"/>
    <w:rsid w:val="00066A31"/>
    <w:rsid w:val="00077C07"/>
    <w:rsid w:val="000802F0"/>
    <w:rsid w:val="00080FFD"/>
    <w:rsid w:val="00081B92"/>
    <w:rsid w:val="00083F3D"/>
    <w:rsid w:val="00091550"/>
    <w:rsid w:val="0009380F"/>
    <w:rsid w:val="00094F45"/>
    <w:rsid w:val="00095719"/>
    <w:rsid w:val="000A07A7"/>
    <w:rsid w:val="000A0915"/>
    <w:rsid w:val="000A26A5"/>
    <w:rsid w:val="000A3667"/>
    <w:rsid w:val="000A3C3D"/>
    <w:rsid w:val="000A3D98"/>
    <w:rsid w:val="000A4224"/>
    <w:rsid w:val="000A59BC"/>
    <w:rsid w:val="000A67F8"/>
    <w:rsid w:val="000B1D06"/>
    <w:rsid w:val="000B1E9A"/>
    <w:rsid w:val="000B1ECF"/>
    <w:rsid w:val="000B4BC2"/>
    <w:rsid w:val="000B58CC"/>
    <w:rsid w:val="000B645C"/>
    <w:rsid w:val="000B78A6"/>
    <w:rsid w:val="000C0051"/>
    <w:rsid w:val="000C04AA"/>
    <w:rsid w:val="000C086C"/>
    <w:rsid w:val="000C3378"/>
    <w:rsid w:val="000C6675"/>
    <w:rsid w:val="000C70BA"/>
    <w:rsid w:val="000D0534"/>
    <w:rsid w:val="000D0BB3"/>
    <w:rsid w:val="000D1E27"/>
    <w:rsid w:val="000D35F4"/>
    <w:rsid w:val="000D3714"/>
    <w:rsid w:val="000D385D"/>
    <w:rsid w:val="000D7C9F"/>
    <w:rsid w:val="000E1C13"/>
    <w:rsid w:val="000E4711"/>
    <w:rsid w:val="000E7EB8"/>
    <w:rsid w:val="000F0C20"/>
    <w:rsid w:val="000F259A"/>
    <w:rsid w:val="000F318D"/>
    <w:rsid w:val="000F3C1B"/>
    <w:rsid w:val="000F56C2"/>
    <w:rsid w:val="001023A9"/>
    <w:rsid w:val="00102FDE"/>
    <w:rsid w:val="00103B47"/>
    <w:rsid w:val="001054BA"/>
    <w:rsid w:val="001055C8"/>
    <w:rsid w:val="00105F3F"/>
    <w:rsid w:val="0010652E"/>
    <w:rsid w:val="00106B24"/>
    <w:rsid w:val="001116EC"/>
    <w:rsid w:val="00115739"/>
    <w:rsid w:val="00115E6A"/>
    <w:rsid w:val="001179D9"/>
    <w:rsid w:val="0012321B"/>
    <w:rsid w:val="0012519F"/>
    <w:rsid w:val="00126D5E"/>
    <w:rsid w:val="001273E3"/>
    <w:rsid w:val="001273F3"/>
    <w:rsid w:val="0013214C"/>
    <w:rsid w:val="00133B43"/>
    <w:rsid w:val="001348B4"/>
    <w:rsid w:val="00134E46"/>
    <w:rsid w:val="0013653C"/>
    <w:rsid w:val="00137625"/>
    <w:rsid w:val="001405BA"/>
    <w:rsid w:val="001420AE"/>
    <w:rsid w:val="00144F80"/>
    <w:rsid w:val="001531BD"/>
    <w:rsid w:val="001547A5"/>
    <w:rsid w:val="00157A1F"/>
    <w:rsid w:val="0016006B"/>
    <w:rsid w:val="001603F7"/>
    <w:rsid w:val="0016635F"/>
    <w:rsid w:val="001666BE"/>
    <w:rsid w:val="00170F09"/>
    <w:rsid w:val="00171EE0"/>
    <w:rsid w:val="00172D54"/>
    <w:rsid w:val="00173456"/>
    <w:rsid w:val="001741BB"/>
    <w:rsid w:val="00175A68"/>
    <w:rsid w:val="00181405"/>
    <w:rsid w:val="00183A4E"/>
    <w:rsid w:val="001847CA"/>
    <w:rsid w:val="00185835"/>
    <w:rsid w:val="00187093"/>
    <w:rsid w:val="0018735C"/>
    <w:rsid w:val="00187FA1"/>
    <w:rsid w:val="00192D7E"/>
    <w:rsid w:val="00195A14"/>
    <w:rsid w:val="00197334"/>
    <w:rsid w:val="00197599"/>
    <w:rsid w:val="0019794D"/>
    <w:rsid w:val="001A24AF"/>
    <w:rsid w:val="001A2BF5"/>
    <w:rsid w:val="001A4661"/>
    <w:rsid w:val="001A4B07"/>
    <w:rsid w:val="001A6110"/>
    <w:rsid w:val="001A6A37"/>
    <w:rsid w:val="001B2241"/>
    <w:rsid w:val="001B5615"/>
    <w:rsid w:val="001B66F3"/>
    <w:rsid w:val="001B716F"/>
    <w:rsid w:val="001B7477"/>
    <w:rsid w:val="001C14E8"/>
    <w:rsid w:val="001C5932"/>
    <w:rsid w:val="001C60D5"/>
    <w:rsid w:val="001C7106"/>
    <w:rsid w:val="001D0435"/>
    <w:rsid w:val="001D0ADC"/>
    <w:rsid w:val="001D2BB0"/>
    <w:rsid w:val="001D30B6"/>
    <w:rsid w:val="001D3467"/>
    <w:rsid w:val="001D3786"/>
    <w:rsid w:val="001D43F8"/>
    <w:rsid w:val="001D4D80"/>
    <w:rsid w:val="001E01EF"/>
    <w:rsid w:val="001E1C83"/>
    <w:rsid w:val="001E5975"/>
    <w:rsid w:val="001E67E1"/>
    <w:rsid w:val="001F0194"/>
    <w:rsid w:val="001F151A"/>
    <w:rsid w:val="001F1B69"/>
    <w:rsid w:val="001F1C80"/>
    <w:rsid w:val="001F2058"/>
    <w:rsid w:val="001F4484"/>
    <w:rsid w:val="001F5072"/>
    <w:rsid w:val="00200FC3"/>
    <w:rsid w:val="00211AD4"/>
    <w:rsid w:val="0021391C"/>
    <w:rsid w:val="002159EC"/>
    <w:rsid w:val="002162C9"/>
    <w:rsid w:val="00216BC7"/>
    <w:rsid w:val="002203E3"/>
    <w:rsid w:val="00221958"/>
    <w:rsid w:val="00221FC2"/>
    <w:rsid w:val="00224EF7"/>
    <w:rsid w:val="00226866"/>
    <w:rsid w:val="002312E0"/>
    <w:rsid w:val="002320EC"/>
    <w:rsid w:val="00232ADC"/>
    <w:rsid w:val="002344FC"/>
    <w:rsid w:val="00234762"/>
    <w:rsid w:val="0023607C"/>
    <w:rsid w:val="002415F0"/>
    <w:rsid w:val="00242713"/>
    <w:rsid w:val="00242E05"/>
    <w:rsid w:val="00243A3B"/>
    <w:rsid w:val="00244DC7"/>
    <w:rsid w:val="00245055"/>
    <w:rsid w:val="002459A4"/>
    <w:rsid w:val="00247565"/>
    <w:rsid w:val="002479F8"/>
    <w:rsid w:val="00247BA6"/>
    <w:rsid w:val="00250C27"/>
    <w:rsid w:val="00250E6A"/>
    <w:rsid w:val="0025388D"/>
    <w:rsid w:val="00255577"/>
    <w:rsid w:val="00255C28"/>
    <w:rsid w:val="0025679C"/>
    <w:rsid w:val="00256A62"/>
    <w:rsid w:val="002603AE"/>
    <w:rsid w:val="00266443"/>
    <w:rsid w:val="00267F9A"/>
    <w:rsid w:val="002705B0"/>
    <w:rsid w:val="002707F5"/>
    <w:rsid w:val="002713CD"/>
    <w:rsid w:val="00271789"/>
    <w:rsid w:val="00272A0F"/>
    <w:rsid w:val="002741F5"/>
    <w:rsid w:val="0027618A"/>
    <w:rsid w:val="00277693"/>
    <w:rsid w:val="002829F8"/>
    <w:rsid w:val="0028409F"/>
    <w:rsid w:val="0028438D"/>
    <w:rsid w:val="00286435"/>
    <w:rsid w:val="0028675A"/>
    <w:rsid w:val="00287AF7"/>
    <w:rsid w:val="00290437"/>
    <w:rsid w:val="002958DF"/>
    <w:rsid w:val="002962E9"/>
    <w:rsid w:val="00296DB1"/>
    <w:rsid w:val="002A15B6"/>
    <w:rsid w:val="002A22CD"/>
    <w:rsid w:val="002A37CD"/>
    <w:rsid w:val="002A3E1A"/>
    <w:rsid w:val="002A48CD"/>
    <w:rsid w:val="002B0C08"/>
    <w:rsid w:val="002B0E95"/>
    <w:rsid w:val="002B0F5E"/>
    <w:rsid w:val="002B2C27"/>
    <w:rsid w:val="002B38DF"/>
    <w:rsid w:val="002B4331"/>
    <w:rsid w:val="002B5ECE"/>
    <w:rsid w:val="002C0831"/>
    <w:rsid w:val="002C30A6"/>
    <w:rsid w:val="002C4809"/>
    <w:rsid w:val="002C616B"/>
    <w:rsid w:val="002D15C6"/>
    <w:rsid w:val="002D1E61"/>
    <w:rsid w:val="002D3268"/>
    <w:rsid w:val="002D5139"/>
    <w:rsid w:val="002E0694"/>
    <w:rsid w:val="002E18A7"/>
    <w:rsid w:val="002E2939"/>
    <w:rsid w:val="002E610C"/>
    <w:rsid w:val="002E6CF3"/>
    <w:rsid w:val="002E70ED"/>
    <w:rsid w:val="002F144D"/>
    <w:rsid w:val="002F165E"/>
    <w:rsid w:val="002F339C"/>
    <w:rsid w:val="002F4B72"/>
    <w:rsid w:val="002F52C5"/>
    <w:rsid w:val="00303F96"/>
    <w:rsid w:val="00304761"/>
    <w:rsid w:val="00304A29"/>
    <w:rsid w:val="0030503F"/>
    <w:rsid w:val="00306AC2"/>
    <w:rsid w:val="00312EB9"/>
    <w:rsid w:val="00313B9A"/>
    <w:rsid w:val="003142B7"/>
    <w:rsid w:val="00314BB9"/>
    <w:rsid w:val="0031542A"/>
    <w:rsid w:val="0032006D"/>
    <w:rsid w:val="00320731"/>
    <w:rsid w:val="003218AC"/>
    <w:rsid w:val="00321E76"/>
    <w:rsid w:val="0032342F"/>
    <w:rsid w:val="00326998"/>
    <w:rsid w:val="0033041B"/>
    <w:rsid w:val="003305B5"/>
    <w:rsid w:val="003317CF"/>
    <w:rsid w:val="00333EE5"/>
    <w:rsid w:val="00334554"/>
    <w:rsid w:val="00334CBD"/>
    <w:rsid w:val="00336FA5"/>
    <w:rsid w:val="00337201"/>
    <w:rsid w:val="0033744E"/>
    <w:rsid w:val="003421D0"/>
    <w:rsid w:val="003423B9"/>
    <w:rsid w:val="00342B97"/>
    <w:rsid w:val="003431B8"/>
    <w:rsid w:val="003444DE"/>
    <w:rsid w:val="00346D4C"/>
    <w:rsid w:val="003529BE"/>
    <w:rsid w:val="003532D5"/>
    <w:rsid w:val="00355529"/>
    <w:rsid w:val="00355F98"/>
    <w:rsid w:val="00357377"/>
    <w:rsid w:val="003601C3"/>
    <w:rsid w:val="0036035F"/>
    <w:rsid w:val="00360370"/>
    <w:rsid w:val="003657E2"/>
    <w:rsid w:val="003659B0"/>
    <w:rsid w:val="00374D14"/>
    <w:rsid w:val="003757B1"/>
    <w:rsid w:val="0038227D"/>
    <w:rsid w:val="00382CDF"/>
    <w:rsid w:val="00383F14"/>
    <w:rsid w:val="003859F2"/>
    <w:rsid w:val="00385FD5"/>
    <w:rsid w:val="0039378E"/>
    <w:rsid w:val="003938D5"/>
    <w:rsid w:val="00393C4D"/>
    <w:rsid w:val="0039532D"/>
    <w:rsid w:val="00395603"/>
    <w:rsid w:val="00396723"/>
    <w:rsid w:val="00396975"/>
    <w:rsid w:val="003A0F0F"/>
    <w:rsid w:val="003A2971"/>
    <w:rsid w:val="003A3EE5"/>
    <w:rsid w:val="003A4CB6"/>
    <w:rsid w:val="003A4DC9"/>
    <w:rsid w:val="003A60DB"/>
    <w:rsid w:val="003A6E6C"/>
    <w:rsid w:val="003B0127"/>
    <w:rsid w:val="003B1429"/>
    <w:rsid w:val="003B398E"/>
    <w:rsid w:val="003B410B"/>
    <w:rsid w:val="003B460B"/>
    <w:rsid w:val="003B73B3"/>
    <w:rsid w:val="003C52EC"/>
    <w:rsid w:val="003C5D28"/>
    <w:rsid w:val="003C5EA1"/>
    <w:rsid w:val="003D1C29"/>
    <w:rsid w:val="003D2A7D"/>
    <w:rsid w:val="003D3946"/>
    <w:rsid w:val="003D43FC"/>
    <w:rsid w:val="003D45CF"/>
    <w:rsid w:val="003D6360"/>
    <w:rsid w:val="003D76DD"/>
    <w:rsid w:val="003E0BB5"/>
    <w:rsid w:val="003E47F3"/>
    <w:rsid w:val="003E543A"/>
    <w:rsid w:val="003E5722"/>
    <w:rsid w:val="003E5E17"/>
    <w:rsid w:val="003E62B4"/>
    <w:rsid w:val="003E68FE"/>
    <w:rsid w:val="003E7B5F"/>
    <w:rsid w:val="003F01D4"/>
    <w:rsid w:val="003F03ED"/>
    <w:rsid w:val="003F0EC9"/>
    <w:rsid w:val="003F716F"/>
    <w:rsid w:val="003F7BE0"/>
    <w:rsid w:val="003F7F7F"/>
    <w:rsid w:val="003F7FB9"/>
    <w:rsid w:val="004000F2"/>
    <w:rsid w:val="004004FB"/>
    <w:rsid w:val="00402AB4"/>
    <w:rsid w:val="00402C07"/>
    <w:rsid w:val="0040496D"/>
    <w:rsid w:val="00406E4E"/>
    <w:rsid w:val="0040782A"/>
    <w:rsid w:val="004104A0"/>
    <w:rsid w:val="00412CD0"/>
    <w:rsid w:val="004142A0"/>
    <w:rsid w:val="004158EC"/>
    <w:rsid w:val="004200DA"/>
    <w:rsid w:val="004211A5"/>
    <w:rsid w:val="00421B2B"/>
    <w:rsid w:val="00421D86"/>
    <w:rsid w:val="0042652B"/>
    <w:rsid w:val="00427CA7"/>
    <w:rsid w:val="00431152"/>
    <w:rsid w:val="004312E9"/>
    <w:rsid w:val="0043175B"/>
    <w:rsid w:val="00431AA2"/>
    <w:rsid w:val="00434DA6"/>
    <w:rsid w:val="00440CC6"/>
    <w:rsid w:val="0044327D"/>
    <w:rsid w:val="00444071"/>
    <w:rsid w:val="004445CC"/>
    <w:rsid w:val="00444760"/>
    <w:rsid w:val="004454F0"/>
    <w:rsid w:val="004463DE"/>
    <w:rsid w:val="0044648F"/>
    <w:rsid w:val="004509CC"/>
    <w:rsid w:val="00452423"/>
    <w:rsid w:val="00452AB9"/>
    <w:rsid w:val="0045483B"/>
    <w:rsid w:val="004549C7"/>
    <w:rsid w:val="00456529"/>
    <w:rsid w:val="004628DF"/>
    <w:rsid w:val="00462B62"/>
    <w:rsid w:val="00467CE5"/>
    <w:rsid w:val="004718D8"/>
    <w:rsid w:val="0047351B"/>
    <w:rsid w:val="00473678"/>
    <w:rsid w:val="004739A3"/>
    <w:rsid w:val="00475503"/>
    <w:rsid w:val="004775CA"/>
    <w:rsid w:val="00477EB2"/>
    <w:rsid w:val="00480AA6"/>
    <w:rsid w:val="004827CE"/>
    <w:rsid w:val="004836F2"/>
    <w:rsid w:val="00483FD8"/>
    <w:rsid w:val="0048461B"/>
    <w:rsid w:val="0048580E"/>
    <w:rsid w:val="004861F3"/>
    <w:rsid w:val="0048716A"/>
    <w:rsid w:val="00487A50"/>
    <w:rsid w:val="004920AD"/>
    <w:rsid w:val="00497084"/>
    <w:rsid w:val="004A33D7"/>
    <w:rsid w:val="004A5B33"/>
    <w:rsid w:val="004B068A"/>
    <w:rsid w:val="004B0EC4"/>
    <w:rsid w:val="004B0F6E"/>
    <w:rsid w:val="004B22E4"/>
    <w:rsid w:val="004B34AA"/>
    <w:rsid w:val="004B3EA3"/>
    <w:rsid w:val="004B4C36"/>
    <w:rsid w:val="004B78DC"/>
    <w:rsid w:val="004C08CD"/>
    <w:rsid w:val="004C0B63"/>
    <w:rsid w:val="004C0FBA"/>
    <w:rsid w:val="004C3648"/>
    <w:rsid w:val="004D222B"/>
    <w:rsid w:val="004D2BC8"/>
    <w:rsid w:val="004D5975"/>
    <w:rsid w:val="004D7060"/>
    <w:rsid w:val="004D750A"/>
    <w:rsid w:val="004E0008"/>
    <w:rsid w:val="004E2CFA"/>
    <w:rsid w:val="004E57A8"/>
    <w:rsid w:val="004E5B41"/>
    <w:rsid w:val="004F0FF5"/>
    <w:rsid w:val="004F16C5"/>
    <w:rsid w:val="004F36B8"/>
    <w:rsid w:val="004F3796"/>
    <w:rsid w:val="004F505D"/>
    <w:rsid w:val="004F7E30"/>
    <w:rsid w:val="00501145"/>
    <w:rsid w:val="00501F93"/>
    <w:rsid w:val="00506F90"/>
    <w:rsid w:val="0050792F"/>
    <w:rsid w:val="00510A52"/>
    <w:rsid w:val="00514754"/>
    <w:rsid w:val="00514A93"/>
    <w:rsid w:val="00514AA4"/>
    <w:rsid w:val="0051753A"/>
    <w:rsid w:val="00520F41"/>
    <w:rsid w:val="00523636"/>
    <w:rsid w:val="005256AB"/>
    <w:rsid w:val="005261EA"/>
    <w:rsid w:val="00526CFE"/>
    <w:rsid w:val="00531418"/>
    <w:rsid w:val="00533290"/>
    <w:rsid w:val="0053489C"/>
    <w:rsid w:val="00535537"/>
    <w:rsid w:val="00535619"/>
    <w:rsid w:val="005373F6"/>
    <w:rsid w:val="0054429B"/>
    <w:rsid w:val="00544EC2"/>
    <w:rsid w:val="0054587C"/>
    <w:rsid w:val="00545C5D"/>
    <w:rsid w:val="00547C0C"/>
    <w:rsid w:val="005514BD"/>
    <w:rsid w:val="00551D9D"/>
    <w:rsid w:val="00551DC4"/>
    <w:rsid w:val="00553733"/>
    <w:rsid w:val="00554DC0"/>
    <w:rsid w:val="00555D6F"/>
    <w:rsid w:val="005564E7"/>
    <w:rsid w:val="00556934"/>
    <w:rsid w:val="005576EB"/>
    <w:rsid w:val="00560F63"/>
    <w:rsid w:val="00563145"/>
    <w:rsid w:val="00563A95"/>
    <w:rsid w:val="00563F48"/>
    <w:rsid w:val="00566E56"/>
    <w:rsid w:val="005738D9"/>
    <w:rsid w:val="00573F1D"/>
    <w:rsid w:val="0057547E"/>
    <w:rsid w:val="00575D2F"/>
    <w:rsid w:val="005801FC"/>
    <w:rsid w:val="00581CCE"/>
    <w:rsid w:val="00583448"/>
    <w:rsid w:val="00584239"/>
    <w:rsid w:val="005852F7"/>
    <w:rsid w:val="005862DF"/>
    <w:rsid w:val="005920B3"/>
    <w:rsid w:val="00592EC9"/>
    <w:rsid w:val="00595EC6"/>
    <w:rsid w:val="005A0557"/>
    <w:rsid w:val="005A115D"/>
    <w:rsid w:val="005A2A22"/>
    <w:rsid w:val="005A2DBE"/>
    <w:rsid w:val="005A7E0C"/>
    <w:rsid w:val="005B0161"/>
    <w:rsid w:val="005B33C6"/>
    <w:rsid w:val="005C2C1B"/>
    <w:rsid w:val="005C2F1F"/>
    <w:rsid w:val="005C5465"/>
    <w:rsid w:val="005C58ED"/>
    <w:rsid w:val="005C7031"/>
    <w:rsid w:val="005D0B2F"/>
    <w:rsid w:val="005D3930"/>
    <w:rsid w:val="005D4F86"/>
    <w:rsid w:val="005D7041"/>
    <w:rsid w:val="005E09C9"/>
    <w:rsid w:val="005E30CA"/>
    <w:rsid w:val="005E499B"/>
    <w:rsid w:val="005E5478"/>
    <w:rsid w:val="005E5880"/>
    <w:rsid w:val="005E7758"/>
    <w:rsid w:val="005F0F3D"/>
    <w:rsid w:val="005F2A2F"/>
    <w:rsid w:val="005F35C6"/>
    <w:rsid w:val="005F3AB4"/>
    <w:rsid w:val="005F3B72"/>
    <w:rsid w:val="005F445D"/>
    <w:rsid w:val="005F4C49"/>
    <w:rsid w:val="005F64C0"/>
    <w:rsid w:val="005F6995"/>
    <w:rsid w:val="00600E23"/>
    <w:rsid w:val="006013E0"/>
    <w:rsid w:val="00602154"/>
    <w:rsid w:val="006023A1"/>
    <w:rsid w:val="006025DB"/>
    <w:rsid w:val="00606079"/>
    <w:rsid w:val="0060758B"/>
    <w:rsid w:val="00610DB8"/>
    <w:rsid w:val="00611903"/>
    <w:rsid w:val="006134CE"/>
    <w:rsid w:val="00613897"/>
    <w:rsid w:val="00613EA6"/>
    <w:rsid w:val="006218EA"/>
    <w:rsid w:val="006219A4"/>
    <w:rsid w:val="00623512"/>
    <w:rsid w:val="00624457"/>
    <w:rsid w:val="006257DA"/>
    <w:rsid w:val="0062667F"/>
    <w:rsid w:val="00626ADB"/>
    <w:rsid w:val="00626C6F"/>
    <w:rsid w:val="00630A51"/>
    <w:rsid w:val="006342B8"/>
    <w:rsid w:val="0063493D"/>
    <w:rsid w:val="00634E1E"/>
    <w:rsid w:val="00636094"/>
    <w:rsid w:val="0064016F"/>
    <w:rsid w:val="0064367D"/>
    <w:rsid w:val="006449F8"/>
    <w:rsid w:val="00644FC6"/>
    <w:rsid w:val="00644FEF"/>
    <w:rsid w:val="00645D28"/>
    <w:rsid w:val="00646E48"/>
    <w:rsid w:val="00652B4F"/>
    <w:rsid w:val="006530CE"/>
    <w:rsid w:val="00655082"/>
    <w:rsid w:val="00655D38"/>
    <w:rsid w:val="00655DDE"/>
    <w:rsid w:val="00656E28"/>
    <w:rsid w:val="0065716D"/>
    <w:rsid w:val="006571F9"/>
    <w:rsid w:val="006601FC"/>
    <w:rsid w:val="006608F0"/>
    <w:rsid w:val="006625D2"/>
    <w:rsid w:val="00664FBC"/>
    <w:rsid w:val="0066763B"/>
    <w:rsid w:val="00671E3A"/>
    <w:rsid w:val="00672B1E"/>
    <w:rsid w:val="00672D55"/>
    <w:rsid w:val="00672D71"/>
    <w:rsid w:val="00673581"/>
    <w:rsid w:val="006778E7"/>
    <w:rsid w:val="00680D6E"/>
    <w:rsid w:val="0068345F"/>
    <w:rsid w:val="006848A4"/>
    <w:rsid w:val="006857BC"/>
    <w:rsid w:val="00686B97"/>
    <w:rsid w:val="00687E8F"/>
    <w:rsid w:val="006916C2"/>
    <w:rsid w:val="006924F9"/>
    <w:rsid w:val="00692B99"/>
    <w:rsid w:val="006937E3"/>
    <w:rsid w:val="00694E0B"/>
    <w:rsid w:val="00695278"/>
    <w:rsid w:val="00695D4E"/>
    <w:rsid w:val="006960C9"/>
    <w:rsid w:val="006A06F5"/>
    <w:rsid w:val="006A2FD4"/>
    <w:rsid w:val="006A35BC"/>
    <w:rsid w:val="006A701A"/>
    <w:rsid w:val="006B1958"/>
    <w:rsid w:val="006B45DB"/>
    <w:rsid w:val="006B55D4"/>
    <w:rsid w:val="006B57EC"/>
    <w:rsid w:val="006B5E03"/>
    <w:rsid w:val="006C11E2"/>
    <w:rsid w:val="006C735E"/>
    <w:rsid w:val="006C7B5F"/>
    <w:rsid w:val="006D53AB"/>
    <w:rsid w:val="006D5DC8"/>
    <w:rsid w:val="006E0D5A"/>
    <w:rsid w:val="006E16D1"/>
    <w:rsid w:val="006E322F"/>
    <w:rsid w:val="006E5658"/>
    <w:rsid w:val="006E676F"/>
    <w:rsid w:val="006E6A82"/>
    <w:rsid w:val="006F3685"/>
    <w:rsid w:val="006F463A"/>
    <w:rsid w:val="006F5323"/>
    <w:rsid w:val="00700FE7"/>
    <w:rsid w:val="00702037"/>
    <w:rsid w:val="007024FB"/>
    <w:rsid w:val="00706CA2"/>
    <w:rsid w:val="00706D7E"/>
    <w:rsid w:val="00707B4E"/>
    <w:rsid w:val="0071011E"/>
    <w:rsid w:val="00712DB6"/>
    <w:rsid w:val="007139B5"/>
    <w:rsid w:val="007146A0"/>
    <w:rsid w:val="0071606A"/>
    <w:rsid w:val="0071618E"/>
    <w:rsid w:val="00720E8F"/>
    <w:rsid w:val="00722EB8"/>
    <w:rsid w:val="007233DF"/>
    <w:rsid w:val="0072470B"/>
    <w:rsid w:val="00725262"/>
    <w:rsid w:val="00726590"/>
    <w:rsid w:val="00730F90"/>
    <w:rsid w:val="0073148D"/>
    <w:rsid w:val="0073581D"/>
    <w:rsid w:val="00735EE4"/>
    <w:rsid w:val="0073714B"/>
    <w:rsid w:val="00741C47"/>
    <w:rsid w:val="00742623"/>
    <w:rsid w:val="00742EB9"/>
    <w:rsid w:val="007446FD"/>
    <w:rsid w:val="00744AF3"/>
    <w:rsid w:val="00746468"/>
    <w:rsid w:val="00747E4D"/>
    <w:rsid w:val="0075521C"/>
    <w:rsid w:val="00760AB4"/>
    <w:rsid w:val="00760B87"/>
    <w:rsid w:val="007616E9"/>
    <w:rsid w:val="00762872"/>
    <w:rsid w:val="00764221"/>
    <w:rsid w:val="00764B33"/>
    <w:rsid w:val="0076554D"/>
    <w:rsid w:val="00767371"/>
    <w:rsid w:val="00767F71"/>
    <w:rsid w:val="00770B01"/>
    <w:rsid w:val="00776C52"/>
    <w:rsid w:val="00777ED0"/>
    <w:rsid w:val="00780B6B"/>
    <w:rsid w:val="007817F0"/>
    <w:rsid w:val="00782E76"/>
    <w:rsid w:val="0078401F"/>
    <w:rsid w:val="00785735"/>
    <w:rsid w:val="00792102"/>
    <w:rsid w:val="00795D26"/>
    <w:rsid w:val="00796EDD"/>
    <w:rsid w:val="0079722C"/>
    <w:rsid w:val="00797DF0"/>
    <w:rsid w:val="007A16BA"/>
    <w:rsid w:val="007A1ADF"/>
    <w:rsid w:val="007A40D3"/>
    <w:rsid w:val="007A4496"/>
    <w:rsid w:val="007A57F3"/>
    <w:rsid w:val="007A5F00"/>
    <w:rsid w:val="007B05B3"/>
    <w:rsid w:val="007B20E2"/>
    <w:rsid w:val="007B395F"/>
    <w:rsid w:val="007B512C"/>
    <w:rsid w:val="007C376C"/>
    <w:rsid w:val="007C3785"/>
    <w:rsid w:val="007C3A99"/>
    <w:rsid w:val="007C46FA"/>
    <w:rsid w:val="007D1CCB"/>
    <w:rsid w:val="007D2B2C"/>
    <w:rsid w:val="007D2DC8"/>
    <w:rsid w:val="007D354A"/>
    <w:rsid w:val="007D5071"/>
    <w:rsid w:val="007D7DF1"/>
    <w:rsid w:val="007E171F"/>
    <w:rsid w:val="007E58D1"/>
    <w:rsid w:val="007F1B10"/>
    <w:rsid w:val="007F3CF2"/>
    <w:rsid w:val="007F6EFE"/>
    <w:rsid w:val="00801E4F"/>
    <w:rsid w:val="00802AF9"/>
    <w:rsid w:val="00803265"/>
    <w:rsid w:val="00803295"/>
    <w:rsid w:val="0080426B"/>
    <w:rsid w:val="00804812"/>
    <w:rsid w:val="00806E77"/>
    <w:rsid w:val="008114A7"/>
    <w:rsid w:val="008115C7"/>
    <w:rsid w:val="00817C20"/>
    <w:rsid w:val="00817C26"/>
    <w:rsid w:val="00817F55"/>
    <w:rsid w:val="008216B5"/>
    <w:rsid w:val="00821A30"/>
    <w:rsid w:val="00821B4C"/>
    <w:rsid w:val="00821DD7"/>
    <w:rsid w:val="00822AFE"/>
    <w:rsid w:val="008237F0"/>
    <w:rsid w:val="008238C9"/>
    <w:rsid w:val="008259A6"/>
    <w:rsid w:val="008264E2"/>
    <w:rsid w:val="00830FF6"/>
    <w:rsid w:val="008310F0"/>
    <w:rsid w:val="0083198C"/>
    <w:rsid w:val="008339BD"/>
    <w:rsid w:val="00833E7D"/>
    <w:rsid w:val="008347A8"/>
    <w:rsid w:val="0083627D"/>
    <w:rsid w:val="008363F4"/>
    <w:rsid w:val="00842EDA"/>
    <w:rsid w:val="008438CA"/>
    <w:rsid w:val="00843D2E"/>
    <w:rsid w:val="00850D22"/>
    <w:rsid w:val="00851927"/>
    <w:rsid w:val="00857875"/>
    <w:rsid w:val="00857C92"/>
    <w:rsid w:val="00860AF7"/>
    <w:rsid w:val="00862F30"/>
    <w:rsid w:val="00862FA7"/>
    <w:rsid w:val="00863373"/>
    <w:rsid w:val="008645CF"/>
    <w:rsid w:val="008715D5"/>
    <w:rsid w:val="00873C85"/>
    <w:rsid w:val="00875288"/>
    <w:rsid w:val="008753EB"/>
    <w:rsid w:val="00876462"/>
    <w:rsid w:val="00876A62"/>
    <w:rsid w:val="008822E0"/>
    <w:rsid w:val="00883042"/>
    <w:rsid w:val="00884E99"/>
    <w:rsid w:val="00886FF3"/>
    <w:rsid w:val="0088733B"/>
    <w:rsid w:val="00891A10"/>
    <w:rsid w:val="00895B79"/>
    <w:rsid w:val="00896D58"/>
    <w:rsid w:val="00897C10"/>
    <w:rsid w:val="008A334A"/>
    <w:rsid w:val="008A4316"/>
    <w:rsid w:val="008A5445"/>
    <w:rsid w:val="008A6614"/>
    <w:rsid w:val="008B09C3"/>
    <w:rsid w:val="008B0A65"/>
    <w:rsid w:val="008B117E"/>
    <w:rsid w:val="008B4E2B"/>
    <w:rsid w:val="008B753A"/>
    <w:rsid w:val="008B7746"/>
    <w:rsid w:val="008C1E94"/>
    <w:rsid w:val="008C2C90"/>
    <w:rsid w:val="008C32C0"/>
    <w:rsid w:val="008C4079"/>
    <w:rsid w:val="008C4226"/>
    <w:rsid w:val="008D3316"/>
    <w:rsid w:val="008D3DCB"/>
    <w:rsid w:val="008D426B"/>
    <w:rsid w:val="008D55A2"/>
    <w:rsid w:val="008D589D"/>
    <w:rsid w:val="008D5D54"/>
    <w:rsid w:val="008D7322"/>
    <w:rsid w:val="008E0124"/>
    <w:rsid w:val="008E1907"/>
    <w:rsid w:val="008E36F9"/>
    <w:rsid w:val="008E3DB1"/>
    <w:rsid w:val="008E56FB"/>
    <w:rsid w:val="008E62DF"/>
    <w:rsid w:val="008E6311"/>
    <w:rsid w:val="008E7FB4"/>
    <w:rsid w:val="008F1118"/>
    <w:rsid w:val="008F33F5"/>
    <w:rsid w:val="008F3431"/>
    <w:rsid w:val="008F5976"/>
    <w:rsid w:val="008F5B85"/>
    <w:rsid w:val="008F61DD"/>
    <w:rsid w:val="008F7F8F"/>
    <w:rsid w:val="0090232B"/>
    <w:rsid w:val="00903343"/>
    <w:rsid w:val="00907E93"/>
    <w:rsid w:val="009107E6"/>
    <w:rsid w:val="00910F48"/>
    <w:rsid w:val="009115CD"/>
    <w:rsid w:val="009129A4"/>
    <w:rsid w:val="00912B28"/>
    <w:rsid w:val="0091331A"/>
    <w:rsid w:val="0091422A"/>
    <w:rsid w:val="00920F5E"/>
    <w:rsid w:val="00924521"/>
    <w:rsid w:val="00925180"/>
    <w:rsid w:val="0092660A"/>
    <w:rsid w:val="009313C5"/>
    <w:rsid w:val="00931F55"/>
    <w:rsid w:val="00932916"/>
    <w:rsid w:val="00932F9D"/>
    <w:rsid w:val="009337E2"/>
    <w:rsid w:val="00935A7C"/>
    <w:rsid w:val="00941612"/>
    <w:rsid w:val="009426EC"/>
    <w:rsid w:val="00942D23"/>
    <w:rsid w:val="00942EC7"/>
    <w:rsid w:val="00943485"/>
    <w:rsid w:val="00945C24"/>
    <w:rsid w:val="0094744E"/>
    <w:rsid w:val="00947856"/>
    <w:rsid w:val="009503E3"/>
    <w:rsid w:val="00950B8F"/>
    <w:rsid w:val="00951A9F"/>
    <w:rsid w:val="0095250B"/>
    <w:rsid w:val="00952BB5"/>
    <w:rsid w:val="00952F57"/>
    <w:rsid w:val="00954A6D"/>
    <w:rsid w:val="00956747"/>
    <w:rsid w:val="00956FFE"/>
    <w:rsid w:val="00962035"/>
    <w:rsid w:val="00962932"/>
    <w:rsid w:val="00963026"/>
    <w:rsid w:val="0096604F"/>
    <w:rsid w:val="00966375"/>
    <w:rsid w:val="00966883"/>
    <w:rsid w:val="0096739B"/>
    <w:rsid w:val="0096783F"/>
    <w:rsid w:val="009707A7"/>
    <w:rsid w:val="00971C61"/>
    <w:rsid w:val="009721EE"/>
    <w:rsid w:val="00972273"/>
    <w:rsid w:val="00972765"/>
    <w:rsid w:val="00972958"/>
    <w:rsid w:val="00972D49"/>
    <w:rsid w:val="00973B6B"/>
    <w:rsid w:val="00973F55"/>
    <w:rsid w:val="00974E6F"/>
    <w:rsid w:val="00975116"/>
    <w:rsid w:val="00975565"/>
    <w:rsid w:val="00975BCE"/>
    <w:rsid w:val="00977387"/>
    <w:rsid w:val="0098192B"/>
    <w:rsid w:val="00985234"/>
    <w:rsid w:val="00987653"/>
    <w:rsid w:val="009909F4"/>
    <w:rsid w:val="00991089"/>
    <w:rsid w:val="00991F7B"/>
    <w:rsid w:val="009923CB"/>
    <w:rsid w:val="009948D6"/>
    <w:rsid w:val="00994EB5"/>
    <w:rsid w:val="009A23AA"/>
    <w:rsid w:val="009A57D2"/>
    <w:rsid w:val="009B08CD"/>
    <w:rsid w:val="009B1E9A"/>
    <w:rsid w:val="009B30E9"/>
    <w:rsid w:val="009B32DF"/>
    <w:rsid w:val="009B4CE2"/>
    <w:rsid w:val="009B5B2E"/>
    <w:rsid w:val="009B658C"/>
    <w:rsid w:val="009B7ACF"/>
    <w:rsid w:val="009C0831"/>
    <w:rsid w:val="009C25E7"/>
    <w:rsid w:val="009C2ADF"/>
    <w:rsid w:val="009C35AD"/>
    <w:rsid w:val="009D134D"/>
    <w:rsid w:val="009D1448"/>
    <w:rsid w:val="009D1ACC"/>
    <w:rsid w:val="009D56BA"/>
    <w:rsid w:val="009D654E"/>
    <w:rsid w:val="009E03CD"/>
    <w:rsid w:val="009E2EAD"/>
    <w:rsid w:val="009E6A07"/>
    <w:rsid w:val="009F1368"/>
    <w:rsid w:val="009F499B"/>
    <w:rsid w:val="009F519A"/>
    <w:rsid w:val="009F54AC"/>
    <w:rsid w:val="009F6CF8"/>
    <w:rsid w:val="009F7466"/>
    <w:rsid w:val="009F7C2D"/>
    <w:rsid w:val="00A02D66"/>
    <w:rsid w:val="00A05CED"/>
    <w:rsid w:val="00A07125"/>
    <w:rsid w:val="00A073AC"/>
    <w:rsid w:val="00A07A61"/>
    <w:rsid w:val="00A11905"/>
    <w:rsid w:val="00A11DCD"/>
    <w:rsid w:val="00A12553"/>
    <w:rsid w:val="00A141F8"/>
    <w:rsid w:val="00A15034"/>
    <w:rsid w:val="00A15167"/>
    <w:rsid w:val="00A16710"/>
    <w:rsid w:val="00A1707E"/>
    <w:rsid w:val="00A17AA0"/>
    <w:rsid w:val="00A17FFB"/>
    <w:rsid w:val="00A210B7"/>
    <w:rsid w:val="00A215F1"/>
    <w:rsid w:val="00A21C80"/>
    <w:rsid w:val="00A21D68"/>
    <w:rsid w:val="00A24600"/>
    <w:rsid w:val="00A2547D"/>
    <w:rsid w:val="00A25929"/>
    <w:rsid w:val="00A25AB6"/>
    <w:rsid w:val="00A279A0"/>
    <w:rsid w:val="00A309B8"/>
    <w:rsid w:val="00A3214E"/>
    <w:rsid w:val="00A3384E"/>
    <w:rsid w:val="00A34B65"/>
    <w:rsid w:val="00A3720E"/>
    <w:rsid w:val="00A42AAB"/>
    <w:rsid w:val="00A4327F"/>
    <w:rsid w:val="00A44EF4"/>
    <w:rsid w:val="00A5788A"/>
    <w:rsid w:val="00A607B2"/>
    <w:rsid w:val="00A60961"/>
    <w:rsid w:val="00A60DA4"/>
    <w:rsid w:val="00A62518"/>
    <w:rsid w:val="00A630DC"/>
    <w:rsid w:val="00A63D8B"/>
    <w:rsid w:val="00A63E4E"/>
    <w:rsid w:val="00A66189"/>
    <w:rsid w:val="00A66A50"/>
    <w:rsid w:val="00A67470"/>
    <w:rsid w:val="00A70F0E"/>
    <w:rsid w:val="00A717ED"/>
    <w:rsid w:val="00A7738C"/>
    <w:rsid w:val="00A8044F"/>
    <w:rsid w:val="00A80513"/>
    <w:rsid w:val="00A812E5"/>
    <w:rsid w:val="00A817A1"/>
    <w:rsid w:val="00A81D43"/>
    <w:rsid w:val="00A82258"/>
    <w:rsid w:val="00A87EA2"/>
    <w:rsid w:val="00A904E8"/>
    <w:rsid w:val="00A905B6"/>
    <w:rsid w:val="00A90B14"/>
    <w:rsid w:val="00A927F8"/>
    <w:rsid w:val="00A941BE"/>
    <w:rsid w:val="00A94C56"/>
    <w:rsid w:val="00A96FC8"/>
    <w:rsid w:val="00A974EB"/>
    <w:rsid w:val="00A97ABE"/>
    <w:rsid w:val="00A97FAE"/>
    <w:rsid w:val="00AA0EDA"/>
    <w:rsid w:val="00AA0F9A"/>
    <w:rsid w:val="00AA262B"/>
    <w:rsid w:val="00AA74C2"/>
    <w:rsid w:val="00AA77E2"/>
    <w:rsid w:val="00AB04F4"/>
    <w:rsid w:val="00AB0600"/>
    <w:rsid w:val="00AB5EFC"/>
    <w:rsid w:val="00AB6A86"/>
    <w:rsid w:val="00AC264F"/>
    <w:rsid w:val="00AC34F4"/>
    <w:rsid w:val="00AC495F"/>
    <w:rsid w:val="00AC49AA"/>
    <w:rsid w:val="00AC5DF8"/>
    <w:rsid w:val="00AC6E68"/>
    <w:rsid w:val="00AC72B8"/>
    <w:rsid w:val="00AD0E1D"/>
    <w:rsid w:val="00AD2CD5"/>
    <w:rsid w:val="00AD4EEF"/>
    <w:rsid w:val="00AD6848"/>
    <w:rsid w:val="00AD71C4"/>
    <w:rsid w:val="00AD7447"/>
    <w:rsid w:val="00AD760A"/>
    <w:rsid w:val="00AE0B4E"/>
    <w:rsid w:val="00AE2A61"/>
    <w:rsid w:val="00AE2BC3"/>
    <w:rsid w:val="00AE2CD8"/>
    <w:rsid w:val="00AE3D5E"/>
    <w:rsid w:val="00AE5939"/>
    <w:rsid w:val="00AF072D"/>
    <w:rsid w:val="00AF1DE6"/>
    <w:rsid w:val="00AF3B65"/>
    <w:rsid w:val="00AF439E"/>
    <w:rsid w:val="00AF4BCF"/>
    <w:rsid w:val="00B02769"/>
    <w:rsid w:val="00B03117"/>
    <w:rsid w:val="00B04126"/>
    <w:rsid w:val="00B045FB"/>
    <w:rsid w:val="00B04F19"/>
    <w:rsid w:val="00B07AB6"/>
    <w:rsid w:val="00B10CF5"/>
    <w:rsid w:val="00B1146E"/>
    <w:rsid w:val="00B1215F"/>
    <w:rsid w:val="00B14653"/>
    <w:rsid w:val="00B164AD"/>
    <w:rsid w:val="00B165CD"/>
    <w:rsid w:val="00B21CCC"/>
    <w:rsid w:val="00B257CA"/>
    <w:rsid w:val="00B25C91"/>
    <w:rsid w:val="00B276CB"/>
    <w:rsid w:val="00B30377"/>
    <w:rsid w:val="00B30CAF"/>
    <w:rsid w:val="00B3501D"/>
    <w:rsid w:val="00B3512C"/>
    <w:rsid w:val="00B36524"/>
    <w:rsid w:val="00B365F5"/>
    <w:rsid w:val="00B372B8"/>
    <w:rsid w:val="00B37A89"/>
    <w:rsid w:val="00B40FF2"/>
    <w:rsid w:val="00B41726"/>
    <w:rsid w:val="00B41C26"/>
    <w:rsid w:val="00B4280D"/>
    <w:rsid w:val="00B44631"/>
    <w:rsid w:val="00B44AC8"/>
    <w:rsid w:val="00B459B8"/>
    <w:rsid w:val="00B45A0D"/>
    <w:rsid w:val="00B46674"/>
    <w:rsid w:val="00B51C84"/>
    <w:rsid w:val="00B52C80"/>
    <w:rsid w:val="00B53F2D"/>
    <w:rsid w:val="00B56684"/>
    <w:rsid w:val="00B60936"/>
    <w:rsid w:val="00B63122"/>
    <w:rsid w:val="00B632E2"/>
    <w:rsid w:val="00B644ED"/>
    <w:rsid w:val="00B64736"/>
    <w:rsid w:val="00B65F70"/>
    <w:rsid w:val="00B6603E"/>
    <w:rsid w:val="00B66B82"/>
    <w:rsid w:val="00B70CBE"/>
    <w:rsid w:val="00B710C3"/>
    <w:rsid w:val="00B71B19"/>
    <w:rsid w:val="00B741BB"/>
    <w:rsid w:val="00B75F1A"/>
    <w:rsid w:val="00B76277"/>
    <w:rsid w:val="00B81F6A"/>
    <w:rsid w:val="00B83089"/>
    <w:rsid w:val="00B857CF"/>
    <w:rsid w:val="00B909F1"/>
    <w:rsid w:val="00B90A8F"/>
    <w:rsid w:val="00B91460"/>
    <w:rsid w:val="00B91C5D"/>
    <w:rsid w:val="00B92491"/>
    <w:rsid w:val="00B93221"/>
    <w:rsid w:val="00B932DF"/>
    <w:rsid w:val="00B93B57"/>
    <w:rsid w:val="00B95021"/>
    <w:rsid w:val="00B96160"/>
    <w:rsid w:val="00BA37EB"/>
    <w:rsid w:val="00BA41E2"/>
    <w:rsid w:val="00BA7032"/>
    <w:rsid w:val="00BB0B42"/>
    <w:rsid w:val="00BB4B42"/>
    <w:rsid w:val="00BB6AAF"/>
    <w:rsid w:val="00BC2A8F"/>
    <w:rsid w:val="00BC3B7E"/>
    <w:rsid w:val="00BC5BC4"/>
    <w:rsid w:val="00BC64D8"/>
    <w:rsid w:val="00BC6992"/>
    <w:rsid w:val="00BC79CE"/>
    <w:rsid w:val="00BD14EF"/>
    <w:rsid w:val="00BD36B5"/>
    <w:rsid w:val="00BD37F2"/>
    <w:rsid w:val="00BD563F"/>
    <w:rsid w:val="00BD582B"/>
    <w:rsid w:val="00BD665D"/>
    <w:rsid w:val="00BE490F"/>
    <w:rsid w:val="00BE7122"/>
    <w:rsid w:val="00BE7882"/>
    <w:rsid w:val="00BF1DCA"/>
    <w:rsid w:val="00BF304C"/>
    <w:rsid w:val="00BF38A7"/>
    <w:rsid w:val="00BF3D2D"/>
    <w:rsid w:val="00BF424E"/>
    <w:rsid w:val="00BF51B6"/>
    <w:rsid w:val="00BF6B15"/>
    <w:rsid w:val="00BF6DEA"/>
    <w:rsid w:val="00BF767C"/>
    <w:rsid w:val="00BF776B"/>
    <w:rsid w:val="00C006DC"/>
    <w:rsid w:val="00C00B82"/>
    <w:rsid w:val="00C02212"/>
    <w:rsid w:val="00C1023B"/>
    <w:rsid w:val="00C10D9A"/>
    <w:rsid w:val="00C16AAE"/>
    <w:rsid w:val="00C20C66"/>
    <w:rsid w:val="00C211D2"/>
    <w:rsid w:val="00C2140B"/>
    <w:rsid w:val="00C23201"/>
    <w:rsid w:val="00C261D7"/>
    <w:rsid w:val="00C26D3B"/>
    <w:rsid w:val="00C27D19"/>
    <w:rsid w:val="00C3068C"/>
    <w:rsid w:val="00C34DA2"/>
    <w:rsid w:val="00C36351"/>
    <w:rsid w:val="00C37EBC"/>
    <w:rsid w:val="00C417B3"/>
    <w:rsid w:val="00C41EA9"/>
    <w:rsid w:val="00C42946"/>
    <w:rsid w:val="00C43464"/>
    <w:rsid w:val="00C43900"/>
    <w:rsid w:val="00C445F2"/>
    <w:rsid w:val="00C46515"/>
    <w:rsid w:val="00C46C74"/>
    <w:rsid w:val="00C4755C"/>
    <w:rsid w:val="00C51784"/>
    <w:rsid w:val="00C54244"/>
    <w:rsid w:val="00C552C0"/>
    <w:rsid w:val="00C553CD"/>
    <w:rsid w:val="00C5589E"/>
    <w:rsid w:val="00C571D2"/>
    <w:rsid w:val="00C57883"/>
    <w:rsid w:val="00C60A31"/>
    <w:rsid w:val="00C62D56"/>
    <w:rsid w:val="00C62DF9"/>
    <w:rsid w:val="00C64293"/>
    <w:rsid w:val="00C65960"/>
    <w:rsid w:val="00C67214"/>
    <w:rsid w:val="00C67239"/>
    <w:rsid w:val="00C71222"/>
    <w:rsid w:val="00C718AD"/>
    <w:rsid w:val="00C72C38"/>
    <w:rsid w:val="00C737B2"/>
    <w:rsid w:val="00C74B8A"/>
    <w:rsid w:val="00C76F3C"/>
    <w:rsid w:val="00C808EA"/>
    <w:rsid w:val="00C91314"/>
    <w:rsid w:val="00C92D89"/>
    <w:rsid w:val="00C93034"/>
    <w:rsid w:val="00C93CC7"/>
    <w:rsid w:val="00C942D7"/>
    <w:rsid w:val="00C9551D"/>
    <w:rsid w:val="00C9591D"/>
    <w:rsid w:val="00C960C8"/>
    <w:rsid w:val="00C96582"/>
    <w:rsid w:val="00CA08E4"/>
    <w:rsid w:val="00CA40B6"/>
    <w:rsid w:val="00CA527F"/>
    <w:rsid w:val="00CA74BA"/>
    <w:rsid w:val="00CA7714"/>
    <w:rsid w:val="00CA7DCD"/>
    <w:rsid w:val="00CB05B8"/>
    <w:rsid w:val="00CB13C2"/>
    <w:rsid w:val="00CB1E70"/>
    <w:rsid w:val="00CB2DCD"/>
    <w:rsid w:val="00CB3CC6"/>
    <w:rsid w:val="00CB5645"/>
    <w:rsid w:val="00CB6227"/>
    <w:rsid w:val="00CB65CD"/>
    <w:rsid w:val="00CC4A96"/>
    <w:rsid w:val="00CC5148"/>
    <w:rsid w:val="00CC532E"/>
    <w:rsid w:val="00CC66FD"/>
    <w:rsid w:val="00CD2236"/>
    <w:rsid w:val="00CD3D5F"/>
    <w:rsid w:val="00CD7B6A"/>
    <w:rsid w:val="00CE122A"/>
    <w:rsid w:val="00CE1CE7"/>
    <w:rsid w:val="00CE1F4A"/>
    <w:rsid w:val="00CE4BE9"/>
    <w:rsid w:val="00CE58E4"/>
    <w:rsid w:val="00CE77A7"/>
    <w:rsid w:val="00CF1B66"/>
    <w:rsid w:val="00CF387F"/>
    <w:rsid w:val="00CF42D0"/>
    <w:rsid w:val="00CF44D1"/>
    <w:rsid w:val="00CF45A6"/>
    <w:rsid w:val="00CF4CFC"/>
    <w:rsid w:val="00CF53EC"/>
    <w:rsid w:val="00CF71D9"/>
    <w:rsid w:val="00D00219"/>
    <w:rsid w:val="00D00B06"/>
    <w:rsid w:val="00D01AAA"/>
    <w:rsid w:val="00D03E0D"/>
    <w:rsid w:val="00D129E4"/>
    <w:rsid w:val="00D17C07"/>
    <w:rsid w:val="00D218DB"/>
    <w:rsid w:val="00D23436"/>
    <w:rsid w:val="00D25499"/>
    <w:rsid w:val="00D2637D"/>
    <w:rsid w:val="00D26ABC"/>
    <w:rsid w:val="00D27AAC"/>
    <w:rsid w:val="00D30E24"/>
    <w:rsid w:val="00D35962"/>
    <w:rsid w:val="00D35FFF"/>
    <w:rsid w:val="00D36336"/>
    <w:rsid w:val="00D40BC5"/>
    <w:rsid w:val="00D40E20"/>
    <w:rsid w:val="00D41B42"/>
    <w:rsid w:val="00D41B6A"/>
    <w:rsid w:val="00D41BCE"/>
    <w:rsid w:val="00D41D00"/>
    <w:rsid w:val="00D42B5F"/>
    <w:rsid w:val="00D526B0"/>
    <w:rsid w:val="00D53FE3"/>
    <w:rsid w:val="00D5513F"/>
    <w:rsid w:val="00D56B54"/>
    <w:rsid w:val="00D56EB7"/>
    <w:rsid w:val="00D61A42"/>
    <w:rsid w:val="00D62C71"/>
    <w:rsid w:val="00D64272"/>
    <w:rsid w:val="00D64532"/>
    <w:rsid w:val="00D6526A"/>
    <w:rsid w:val="00D6783C"/>
    <w:rsid w:val="00D71E63"/>
    <w:rsid w:val="00D71F3B"/>
    <w:rsid w:val="00D72B5E"/>
    <w:rsid w:val="00D77728"/>
    <w:rsid w:val="00D80CCE"/>
    <w:rsid w:val="00D846E2"/>
    <w:rsid w:val="00D9181C"/>
    <w:rsid w:val="00D92AA5"/>
    <w:rsid w:val="00D92D96"/>
    <w:rsid w:val="00D92E58"/>
    <w:rsid w:val="00D95A15"/>
    <w:rsid w:val="00D96FDD"/>
    <w:rsid w:val="00D9777B"/>
    <w:rsid w:val="00DA0B8D"/>
    <w:rsid w:val="00DA2B60"/>
    <w:rsid w:val="00DA3CBA"/>
    <w:rsid w:val="00DA4AC9"/>
    <w:rsid w:val="00DA5794"/>
    <w:rsid w:val="00DA6C71"/>
    <w:rsid w:val="00DA74E9"/>
    <w:rsid w:val="00DB0B1A"/>
    <w:rsid w:val="00DB283B"/>
    <w:rsid w:val="00DB2841"/>
    <w:rsid w:val="00DB3E44"/>
    <w:rsid w:val="00DB4A79"/>
    <w:rsid w:val="00DB5412"/>
    <w:rsid w:val="00DB5519"/>
    <w:rsid w:val="00DB5F0D"/>
    <w:rsid w:val="00DB617F"/>
    <w:rsid w:val="00DC03BA"/>
    <w:rsid w:val="00DC4C31"/>
    <w:rsid w:val="00DC6863"/>
    <w:rsid w:val="00DD04AD"/>
    <w:rsid w:val="00DD2B7E"/>
    <w:rsid w:val="00DD37DA"/>
    <w:rsid w:val="00DD5185"/>
    <w:rsid w:val="00DD5C2E"/>
    <w:rsid w:val="00DD5F47"/>
    <w:rsid w:val="00DD6FB6"/>
    <w:rsid w:val="00DE0E39"/>
    <w:rsid w:val="00DE1211"/>
    <w:rsid w:val="00DE38D8"/>
    <w:rsid w:val="00DE535D"/>
    <w:rsid w:val="00DE76EE"/>
    <w:rsid w:val="00DF30D8"/>
    <w:rsid w:val="00DF4690"/>
    <w:rsid w:val="00DF52A9"/>
    <w:rsid w:val="00DF62E5"/>
    <w:rsid w:val="00DF692A"/>
    <w:rsid w:val="00DF733F"/>
    <w:rsid w:val="00E00067"/>
    <w:rsid w:val="00E00BE2"/>
    <w:rsid w:val="00E02E20"/>
    <w:rsid w:val="00E03AE2"/>
    <w:rsid w:val="00E128EA"/>
    <w:rsid w:val="00E14308"/>
    <w:rsid w:val="00E15537"/>
    <w:rsid w:val="00E21985"/>
    <w:rsid w:val="00E22123"/>
    <w:rsid w:val="00E23B41"/>
    <w:rsid w:val="00E25313"/>
    <w:rsid w:val="00E315CC"/>
    <w:rsid w:val="00E3194B"/>
    <w:rsid w:val="00E3722B"/>
    <w:rsid w:val="00E429D6"/>
    <w:rsid w:val="00E46B3B"/>
    <w:rsid w:val="00E54289"/>
    <w:rsid w:val="00E55B16"/>
    <w:rsid w:val="00E565F3"/>
    <w:rsid w:val="00E56A78"/>
    <w:rsid w:val="00E56C69"/>
    <w:rsid w:val="00E56D12"/>
    <w:rsid w:val="00E62154"/>
    <w:rsid w:val="00E6220F"/>
    <w:rsid w:val="00E640B7"/>
    <w:rsid w:val="00E66EC7"/>
    <w:rsid w:val="00E67E07"/>
    <w:rsid w:val="00E70BB4"/>
    <w:rsid w:val="00E72146"/>
    <w:rsid w:val="00E724B6"/>
    <w:rsid w:val="00E74527"/>
    <w:rsid w:val="00E74C09"/>
    <w:rsid w:val="00E773CE"/>
    <w:rsid w:val="00E77788"/>
    <w:rsid w:val="00E777CE"/>
    <w:rsid w:val="00E80192"/>
    <w:rsid w:val="00E80C66"/>
    <w:rsid w:val="00E86BED"/>
    <w:rsid w:val="00E875D7"/>
    <w:rsid w:val="00E9107A"/>
    <w:rsid w:val="00E94DD8"/>
    <w:rsid w:val="00E9567B"/>
    <w:rsid w:val="00EA28C0"/>
    <w:rsid w:val="00EA308F"/>
    <w:rsid w:val="00EA3A91"/>
    <w:rsid w:val="00EA3E34"/>
    <w:rsid w:val="00EA4370"/>
    <w:rsid w:val="00EA7DCC"/>
    <w:rsid w:val="00EB0D65"/>
    <w:rsid w:val="00EB10B2"/>
    <w:rsid w:val="00EB409D"/>
    <w:rsid w:val="00EB5279"/>
    <w:rsid w:val="00EB5583"/>
    <w:rsid w:val="00EB58DF"/>
    <w:rsid w:val="00EB6F5D"/>
    <w:rsid w:val="00EC0941"/>
    <w:rsid w:val="00EC1238"/>
    <w:rsid w:val="00EC17D5"/>
    <w:rsid w:val="00EC1E6E"/>
    <w:rsid w:val="00EC291E"/>
    <w:rsid w:val="00EC2A6D"/>
    <w:rsid w:val="00EC6FBC"/>
    <w:rsid w:val="00EC70F5"/>
    <w:rsid w:val="00EC75ED"/>
    <w:rsid w:val="00EC7A87"/>
    <w:rsid w:val="00ED299C"/>
    <w:rsid w:val="00ED326B"/>
    <w:rsid w:val="00ED416D"/>
    <w:rsid w:val="00ED48BB"/>
    <w:rsid w:val="00ED501B"/>
    <w:rsid w:val="00ED6838"/>
    <w:rsid w:val="00ED6D61"/>
    <w:rsid w:val="00ED6E77"/>
    <w:rsid w:val="00EE0666"/>
    <w:rsid w:val="00EE31B9"/>
    <w:rsid w:val="00EE5158"/>
    <w:rsid w:val="00EE556E"/>
    <w:rsid w:val="00EE5C1B"/>
    <w:rsid w:val="00EE626F"/>
    <w:rsid w:val="00EE6893"/>
    <w:rsid w:val="00EF32AF"/>
    <w:rsid w:val="00EF599D"/>
    <w:rsid w:val="00EF7327"/>
    <w:rsid w:val="00F024B6"/>
    <w:rsid w:val="00F02608"/>
    <w:rsid w:val="00F034D9"/>
    <w:rsid w:val="00F03CE0"/>
    <w:rsid w:val="00F04BFD"/>
    <w:rsid w:val="00F0756D"/>
    <w:rsid w:val="00F079E5"/>
    <w:rsid w:val="00F11A89"/>
    <w:rsid w:val="00F11D3C"/>
    <w:rsid w:val="00F13DA9"/>
    <w:rsid w:val="00F145E6"/>
    <w:rsid w:val="00F157EB"/>
    <w:rsid w:val="00F15974"/>
    <w:rsid w:val="00F16407"/>
    <w:rsid w:val="00F16D70"/>
    <w:rsid w:val="00F17906"/>
    <w:rsid w:val="00F17C0F"/>
    <w:rsid w:val="00F205A2"/>
    <w:rsid w:val="00F212B6"/>
    <w:rsid w:val="00F221FD"/>
    <w:rsid w:val="00F2343C"/>
    <w:rsid w:val="00F2469F"/>
    <w:rsid w:val="00F2586B"/>
    <w:rsid w:val="00F25A9A"/>
    <w:rsid w:val="00F26D52"/>
    <w:rsid w:val="00F26DAB"/>
    <w:rsid w:val="00F34D6B"/>
    <w:rsid w:val="00F35CA7"/>
    <w:rsid w:val="00F3603A"/>
    <w:rsid w:val="00F407C1"/>
    <w:rsid w:val="00F41226"/>
    <w:rsid w:val="00F44237"/>
    <w:rsid w:val="00F46048"/>
    <w:rsid w:val="00F47176"/>
    <w:rsid w:val="00F47B3C"/>
    <w:rsid w:val="00F5002B"/>
    <w:rsid w:val="00F5023C"/>
    <w:rsid w:val="00F505D0"/>
    <w:rsid w:val="00F51C49"/>
    <w:rsid w:val="00F52809"/>
    <w:rsid w:val="00F53D67"/>
    <w:rsid w:val="00F54D79"/>
    <w:rsid w:val="00F63514"/>
    <w:rsid w:val="00F64848"/>
    <w:rsid w:val="00F66E01"/>
    <w:rsid w:val="00F67648"/>
    <w:rsid w:val="00F67A6F"/>
    <w:rsid w:val="00F728DE"/>
    <w:rsid w:val="00F72934"/>
    <w:rsid w:val="00F74BF6"/>
    <w:rsid w:val="00F75EA2"/>
    <w:rsid w:val="00F804CF"/>
    <w:rsid w:val="00F80D26"/>
    <w:rsid w:val="00F84F95"/>
    <w:rsid w:val="00F86576"/>
    <w:rsid w:val="00F877BA"/>
    <w:rsid w:val="00F93382"/>
    <w:rsid w:val="00F95A54"/>
    <w:rsid w:val="00F975A2"/>
    <w:rsid w:val="00F97A86"/>
    <w:rsid w:val="00F97D2D"/>
    <w:rsid w:val="00FA198E"/>
    <w:rsid w:val="00FA2A64"/>
    <w:rsid w:val="00FA2AFF"/>
    <w:rsid w:val="00FB051C"/>
    <w:rsid w:val="00FB0D7D"/>
    <w:rsid w:val="00FB0EA9"/>
    <w:rsid w:val="00FB1813"/>
    <w:rsid w:val="00FB28D6"/>
    <w:rsid w:val="00FB49FF"/>
    <w:rsid w:val="00FB616F"/>
    <w:rsid w:val="00FC059F"/>
    <w:rsid w:val="00FC1375"/>
    <w:rsid w:val="00FC1E12"/>
    <w:rsid w:val="00FC3C7B"/>
    <w:rsid w:val="00FC4C30"/>
    <w:rsid w:val="00FC55ED"/>
    <w:rsid w:val="00FD0A74"/>
    <w:rsid w:val="00FD240C"/>
    <w:rsid w:val="00FD4BB6"/>
    <w:rsid w:val="00FD77A0"/>
    <w:rsid w:val="00FE17BA"/>
    <w:rsid w:val="00FE35AF"/>
    <w:rsid w:val="00FE4329"/>
    <w:rsid w:val="00FE5959"/>
    <w:rsid w:val="00FF00CB"/>
    <w:rsid w:val="00FF08BC"/>
    <w:rsid w:val="00FF0C48"/>
    <w:rsid w:val="00FF171D"/>
    <w:rsid w:val="00FF1F08"/>
    <w:rsid w:val="00FF2603"/>
    <w:rsid w:val="00FF73A9"/>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E72D2B-D713-4B8A-8214-CBF6A1B1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C08"/>
  </w:style>
  <w:style w:type="paragraph" w:styleId="Heading1">
    <w:name w:val="heading 1"/>
    <w:basedOn w:val="Normal"/>
    <w:next w:val="Heading2"/>
    <w:link w:val="Heading1Char"/>
    <w:qFormat/>
    <w:rsid w:val="005C5465"/>
    <w:pPr>
      <w:keepNext/>
      <w:tabs>
        <w:tab w:val="left" w:pos="851"/>
      </w:tabs>
      <w:spacing w:after="500" w:line="240" w:lineRule="auto"/>
      <w:outlineLvl w:val="0"/>
    </w:pPr>
    <w:rPr>
      <w:rFonts w:eastAsiaTheme="minorEastAsia" w:cs="Arial"/>
      <w:b/>
      <w:bCs/>
      <w:kern w:val="32"/>
      <w:sz w:val="28"/>
      <w:szCs w:val="44"/>
      <w:lang w:val="en-GB"/>
    </w:rPr>
  </w:style>
  <w:style w:type="paragraph" w:styleId="Heading2">
    <w:name w:val="heading 2"/>
    <w:basedOn w:val="Normal"/>
    <w:next w:val="Heading3"/>
    <w:link w:val="Heading2Char"/>
    <w:qFormat/>
    <w:rsid w:val="00CD2236"/>
    <w:pPr>
      <w:keepNext/>
      <w:tabs>
        <w:tab w:val="left" w:pos="1134"/>
      </w:tabs>
      <w:spacing w:before="280" w:after="140" w:line="240" w:lineRule="auto"/>
      <w:outlineLvl w:val="1"/>
    </w:pPr>
    <w:rPr>
      <w:b/>
      <w:sz w:val="24"/>
      <w:lang w:val="en-GB"/>
    </w:rPr>
  </w:style>
  <w:style w:type="paragraph" w:styleId="Heading3">
    <w:name w:val="heading 3"/>
    <w:basedOn w:val="Normal"/>
    <w:next w:val="Normal"/>
    <w:link w:val="Heading3Char"/>
    <w:qFormat/>
    <w:rsid w:val="006219A4"/>
    <w:pPr>
      <w:keepNext/>
      <w:tabs>
        <w:tab w:val="left" w:pos="1134"/>
      </w:tabs>
      <w:spacing w:before="140" w:after="0" w:line="240" w:lineRule="auto"/>
      <w:outlineLvl w:val="2"/>
    </w:pPr>
    <w:rPr>
      <w:rFonts w:ascii="Univers 45 Light" w:eastAsiaTheme="minorEastAsia" w:hAnsi="Univers 45 Light" w:cs="Times New Roman"/>
      <w:color w:val="1F497D" w:themeColor="text2"/>
      <w:sz w:val="24"/>
      <w:szCs w:val="24"/>
      <w:lang w:val="en-GB"/>
    </w:rPr>
  </w:style>
  <w:style w:type="paragraph" w:styleId="Heading4">
    <w:name w:val="heading 4"/>
    <w:basedOn w:val="Normal"/>
    <w:next w:val="Normal"/>
    <w:link w:val="Heading4Char"/>
    <w:qFormat/>
    <w:rsid w:val="006219A4"/>
    <w:pPr>
      <w:keepNext/>
      <w:tabs>
        <w:tab w:val="left" w:pos="1134"/>
      </w:tabs>
      <w:spacing w:before="140" w:after="0" w:line="240" w:lineRule="auto"/>
      <w:outlineLvl w:val="3"/>
    </w:pPr>
    <w:rPr>
      <w:rFonts w:ascii="Univers 45 Light" w:eastAsiaTheme="minorEastAsia" w:hAnsi="Univers 45 Light" w:cs="Times New Roman"/>
      <w:color w:val="1F497D" w:themeColor="text2"/>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283B"/>
    <w:pPr>
      <w:ind w:left="720"/>
      <w:contextualSpacing/>
    </w:pPr>
  </w:style>
  <w:style w:type="character" w:customStyle="1" w:styleId="ListParagraphChar">
    <w:name w:val="List Paragraph Char"/>
    <w:link w:val="ListParagraph"/>
    <w:uiPriority w:val="34"/>
    <w:rsid w:val="008114A7"/>
  </w:style>
  <w:style w:type="paragraph" w:styleId="BalloonText">
    <w:name w:val="Balloon Text"/>
    <w:basedOn w:val="Normal"/>
    <w:link w:val="BalloonTextChar"/>
    <w:uiPriority w:val="99"/>
    <w:semiHidden/>
    <w:unhideWhenUsed/>
    <w:rsid w:val="00A9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BE"/>
    <w:rPr>
      <w:rFonts w:ascii="Tahoma" w:hAnsi="Tahoma" w:cs="Tahoma"/>
      <w:sz w:val="16"/>
      <w:szCs w:val="16"/>
    </w:rPr>
  </w:style>
  <w:style w:type="paragraph" w:styleId="CommentText">
    <w:name w:val="annotation text"/>
    <w:basedOn w:val="Normal"/>
    <w:link w:val="CommentTextChar"/>
    <w:uiPriority w:val="99"/>
    <w:unhideWhenUsed/>
    <w:rsid w:val="00BF6B15"/>
    <w:pPr>
      <w:spacing w:after="0" w:line="240" w:lineRule="auto"/>
    </w:pPr>
    <w:rPr>
      <w:rFonts w:ascii="Arial Mon" w:eastAsia="Times New Roman" w:hAnsi="Arial Mon" w:cs="Arial Unicode MS"/>
      <w:sz w:val="20"/>
      <w:szCs w:val="29"/>
      <w:lang w:bidi="bo-CN"/>
    </w:rPr>
  </w:style>
  <w:style w:type="character" w:customStyle="1" w:styleId="CommentTextChar">
    <w:name w:val="Comment Text Char"/>
    <w:basedOn w:val="DefaultParagraphFont"/>
    <w:link w:val="CommentText"/>
    <w:uiPriority w:val="99"/>
    <w:rsid w:val="00BF6B15"/>
    <w:rPr>
      <w:rFonts w:ascii="Arial Mon" w:eastAsia="Times New Roman" w:hAnsi="Arial Mon" w:cs="Arial Unicode MS"/>
      <w:sz w:val="20"/>
      <w:szCs w:val="29"/>
      <w:lang w:bidi="bo-CN"/>
    </w:rPr>
  </w:style>
  <w:style w:type="table" w:styleId="TableGrid">
    <w:name w:val="Table Grid"/>
    <w:basedOn w:val="TableNormal"/>
    <w:uiPriority w:val="59"/>
    <w:rsid w:val="003F7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FB9"/>
  </w:style>
  <w:style w:type="paragraph" w:styleId="Footer">
    <w:name w:val="footer"/>
    <w:basedOn w:val="Normal"/>
    <w:link w:val="FooterChar"/>
    <w:uiPriority w:val="99"/>
    <w:unhideWhenUsed/>
    <w:rsid w:val="003F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FB9"/>
  </w:style>
  <w:style w:type="paragraph" w:styleId="FootnoteText">
    <w:name w:val="footnote text"/>
    <w:aliases w:val="FOOTNOTES,fn,single space,footnote text,Char Char Char,Char Char"/>
    <w:basedOn w:val="Normal"/>
    <w:link w:val="FootnoteTextChar"/>
    <w:uiPriority w:val="99"/>
    <w:unhideWhenUsed/>
    <w:rsid w:val="003529BE"/>
    <w:pPr>
      <w:spacing w:after="0" w:line="240" w:lineRule="auto"/>
    </w:pPr>
    <w:rPr>
      <w:sz w:val="20"/>
      <w:szCs w:val="20"/>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3529BE"/>
    <w:rPr>
      <w:sz w:val="20"/>
      <w:szCs w:val="20"/>
    </w:rPr>
  </w:style>
  <w:style w:type="character" w:styleId="FootnoteReference">
    <w:name w:val="footnote reference"/>
    <w:aliases w:val="Error-Fußnotenzeichen5,Error-Fußnotenzeichen6,Error-Fußnotenzeichen3"/>
    <w:basedOn w:val="DefaultParagraphFont"/>
    <w:uiPriority w:val="99"/>
    <w:unhideWhenUsed/>
    <w:rsid w:val="003529BE"/>
    <w:rPr>
      <w:vertAlign w:val="superscript"/>
    </w:rPr>
  </w:style>
  <w:style w:type="character" w:styleId="Hyperlink">
    <w:name w:val="Hyperlink"/>
    <w:basedOn w:val="DefaultParagraphFont"/>
    <w:uiPriority w:val="99"/>
    <w:unhideWhenUsed/>
    <w:rsid w:val="00EA308F"/>
    <w:rPr>
      <w:color w:val="0000FF" w:themeColor="hyperlink"/>
      <w:u w:val="single"/>
    </w:rPr>
  </w:style>
  <w:style w:type="character" w:styleId="CommentReference">
    <w:name w:val="annotation reference"/>
    <w:basedOn w:val="DefaultParagraphFont"/>
    <w:uiPriority w:val="99"/>
    <w:semiHidden/>
    <w:unhideWhenUsed/>
    <w:rsid w:val="0091422A"/>
    <w:rPr>
      <w:sz w:val="16"/>
      <w:szCs w:val="16"/>
    </w:rPr>
  </w:style>
  <w:style w:type="paragraph" w:styleId="CommentSubject">
    <w:name w:val="annotation subject"/>
    <w:basedOn w:val="CommentText"/>
    <w:next w:val="CommentText"/>
    <w:link w:val="CommentSubjectChar"/>
    <w:uiPriority w:val="99"/>
    <w:semiHidden/>
    <w:unhideWhenUsed/>
    <w:rsid w:val="0091422A"/>
    <w:pPr>
      <w:spacing w:after="200"/>
    </w:pPr>
    <w:rPr>
      <w:rFonts w:ascii="Arial" w:eastAsiaTheme="minorHAnsi" w:hAnsi="Arial" w:cstheme="minorBidi"/>
      <w:b/>
      <w:bCs/>
      <w:szCs w:val="20"/>
      <w:lang w:bidi="ar-SA"/>
    </w:rPr>
  </w:style>
  <w:style w:type="character" w:customStyle="1" w:styleId="CommentSubjectChar">
    <w:name w:val="Comment Subject Char"/>
    <w:basedOn w:val="CommentTextChar"/>
    <w:link w:val="CommentSubject"/>
    <w:uiPriority w:val="99"/>
    <w:semiHidden/>
    <w:rsid w:val="0091422A"/>
    <w:rPr>
      <w:rFonts w:ascii="Arial Mon" w:eastAsia="Times New Roman" w:hAnsi="Arial Mon" w:cs="Arial Unicode MS"/>
      <w:b/>
      <w:bCs/>
      <w:sz w:val="20"/>
      <w:szCs w:val="20"/>
      <w:lang w:bidi="bo-CN"/>
    </w:rPr>
  </w:style>
  <w:style w:type="character" w:customStyle="1" w:styleId="Heading1Char">
    <w:name w:val="Heading 1 Char"/>
    <w:basedOn w:val="DefaultParagraphFont"/>
    <w:link w:val="Heading1"/>
    <w:rsid w:val="005C5465"/>
    <w:rPr>
      <w:rFonts w:eastAsiaTheme="minorEastAsia" w:cs="Arial"/>
      <w:b/>
      <w:bCs/>
      <w:kern w:val="32"/>
      <w:sz w:val="28"/>
      <w:szCs w:val="44"/>
      <w:lang w:val="en-GB"/>
    </w:rPr>
  </w:style>
  <w:style w:type="character" w:customStyle="1" w:styleId="Heading2Char">
    <w:name w:val="Heading 2 Char"/>
    <w:basedOn w:val="DefaultParagraphFont"/>
    <w:link w:val="Heading2"/>
    <w:rsid w:val="00CD2236"/>
    <w:rPr>
      <w:b/>
      <w:sz w:val="24"/>
      <w:lang w:val="en-GB"/>
    </w:rPr>
  </w:style>
  <w:style w:type="character" w:customStyle="1" w:styleId="Heading3Char">
    <w:name w:val="Heading 3 Char"/>
    <w:basedOn w:val="DefaultParagraphFont"/>
    <w:link w:val="Heading3"/>
    <w:rsid w:val="006219A4"/>
    <w:rPr>
      <w:rFonts w:ascii="Univers 45 Light" w:eastAsiaTheme="minorEastAsia" w:hAnsi="Univers 45 Light" w:cs="Times New Roman"/>
      <w:color w:val="1F497D" w:themeColor="text2"/>
      <w:sz w:val="24"/>
      <w:szCs w:val="24"/>
      <w:lang w:val="en-GB"/>
    </w:rPr>
  </w:style>
  <w:style w:type="character" w:customStyle="1" w:styleId="Heading4Char">
    <w:name w:val="Heading 4 Char"/>
    <w:basedOn w:val="DefaultParagraphFont"/>
    <w:link w:val="Heading4"/>
    <w:rsid w:val="006219A4"/>
    <w:rPr>
      <w:rFonts w:ascii="Univers 45 Light" w:eastAsiaTheme="minorEastAsia" w:hAnsi="Univers 45 Light" w:cs="Times New Roman"/>
      <w:color w:val="1F497D" w:themeColor="text2"/>
      <w:sz w:val="20"/>
      <w:szCs w:val="24"/>
      <w:lang w:val="en-GB"/>
    </w:rPr>
  </w:style>
  <w:style w:type="paragraph" w:customStyle="1" w:styleId="Tableheadingright">
    <w:name w:val="Table heading right"/>
    <w:basedOn w:val="Normal"/>
    <w:qFormat/>
    <w:rsid w:val="006219A4"/>
    <w:pPr>
      <w:keepNext/>
      <w:spacing w:before="40" w:after="40" w:line="240" w:lineRule="auto"/>
      <w:jc w:val="right"/>
    </w:pPr>
    <w:rPr>
      <w:rFonts w:ascii="Univers 45 Light" w:eastAsiaTheme="minorEastAsia" w:hAnsi="Univers 45 Light" w:cs="Arial"/>
      <w:b/>
      <w:color w:val="FFFFFF"/>
      <w:sz w:val="18"/>
      <w:szCs w:val="24"/>
      <w:lang w:val="en-GB" w:eastAsia="en-GB"/>
    </w:rPr>
  </w:style>
  <w:style w:type="paragraph" w:styleId="TOCHeading">
    <w:name w:val="TOC Heading"/>
    <w:basedOn w:val="Heading1"/>
    <w:next w:val="Normal"/>
    <w:uiPriority w:val="39"/>
    <w:unhideWhenUsed/>
    <w:qFormat/>
    <w:rsid w:val="00ED48BB"/>
    <w:pPr>
      <w:keepLines/>
      <w:tabs>
        <w:tab w:val="clear" w:pos="851"/>
      </w:tab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1">
    <w:name w:val="toc 1"/>
    <w:basedOn w:val="Normal"/>
    <w:next w:val="Normal"/>
    <w:autoRedefine/>
    <w:uiPriority w:val="39"/>
    <w:unhideWhenUsed/>
    <w:rsid w:val="00ED48BB"/>
    <w:pPr>
      <w:spacing w:after="100"/>
    </w:pPr>
  </w:style>
  <w:style w:type="paragraph" w:styleId="TOC2">
    <w:name w:val="toc 2"/>
    <w:basedOn w:val="Normal"/>
    <w:next w:val="Normal"/>
    <w:autoRedefine/>
    <w:uiPriority w:val="39"/>
    <w:unhideWhenUsed/>
    <w:rsid w:val="00ED48B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1903">
      <w:bodyDiv w:val="1"/>
      <w:marLeft w:val="0"/>
      <w:marRight w:val="0"/>
      <w:marTop w:val="0"/>
      <w:marBottom w:val="0"/>
      <w:divBdr>
        <w:top w:val="none" w:sz="0" w:space="0" w:color="auto"/>
        <w:left w:val="none" w:sz="0" w:space="0" w:color="auto"/>
        <w:bottom w:val="none" w:sz="0" w:space="0" w:color="auto"/>
        <w:right w:val="none" w:sz="0" w:space="0" w:color="auto"/>
      </w:divBdr>
    </w:div>
    <w:div w:id="291635884">
      <w:bodyDiv w:val="1"/>
      <w:marLeft w:val="0"/>
      <w:marRight w:val="0"/>
      <w:marTop w:val="0"/>
      <w:marBottom w:val="0"/>
      <w:divBdr>
        <w:top w:val="none" w:sz="0" w:space="0" w:color="auto"/>
        <w:left w:val="none" w:sz="0" w:space="0" w:color="auto"/>
        <w:bottom w:val="none" w:sz="0" w:space="0" w:color="auto"/>
        <w:right w:val="none" w:sz="0" w:space="0" w:color="auto"/>
      </w:divBdr>
    </w:div>
    <w:div w:id="502814851">
      <w:bodyDiv w:val="1"/>
      <w:marLeft w:val="0"/>
      <w:marRight w:val="0"/>
      <w:marTop w:val="0"/>
      <w:marBottom w:val="0"/>
      <w:divBdr>
        <w:top w:val="none" w:sz="0" w:space="0" w:color="auto"/>
        <w:left w:val="none" w:sz="0" w:space="0" w:color="auto"/>
        <w:bottom w:val="none" w:sz="0" w:space="0" w:color="auto"/>
        <w:right w:val="none" w:sz="0" w:space="0" w:color="auto"/>
      </w:divBdr>
      <w:divsChild>
        <w:div w:id="1106803575">
          <w:marLeft w:val="0"/>
          <w:marRight w:val="0"/>
          <w:marTop w:val="0"/>
          <w:marBottom w:val="0"/>
          <w:divBdr>
            <w:top w:val="none" w:sz="0" w:space="0" w:color="auto"/>
            <w:left w:val="none" w:sz="0" w:space="0" w:color="auto"/>
            <w:bottom w:val="none" w:sz="0" w:space="0" w:color="auto"/>
            <w:right w:val="none" w:sz="0" w:space="0" w:color="auto"/>
          </w:divBdr>
          <w:divsChild>
            <w:div w:id="1531718956">
              <w:marLeft w:val="0"/>
              <w:marRight w:val="0"/>
              <w:marTop w:val="0"/>
              <w:marBottom w:val="0"/>
              <w:divBdr>
                <w:top w:val="none" w:sz="0" w:space="0" w:color="auto"/>
                <w:left w:val="none" w:sz="0" w:space="0" w:color="auto"/>
                <w:bottom w:val="none" w:sz="0" w:space="0" w:color="auto"/>
                <w:right w:val="none" w:sz="0" w:space="0" w:color="auto"/>
              </w:divBdr>
            </w:div>
            <w:div w:id="2086996845">
              <w:marLeft w:val="0"/>
              <w:marRight w:val="0"/>
              <w:marTop w:val="0"/>
              <w:marBottom w:val="0"/>
              <w:divBdr>
                <w:top w:val="none" w:sz="0" w:space="0" w:color="auto"/>
                <w:left w:val="none" w:sz="0" w:space="0" w:color="auto"/>
                <w:bottom w:val="none" w:sz="0" w:space="0" w:color="auto"/>
                <w:right w:val="none" w:sz="0" w:space="0" w:color="auto"/>
              </w:divBdr>
            </w:div>
            <w:div w:id="1337655693">
              <w:marLeft w:val="0"/>
              <w:marRight w:val="0"/>
              <w:marTop w:val="0"/>
              <w:marBottom w:val="0"/>
              <w:divBdr>
                <w:top w:val="none" w:sz="0" w:space="0" w:color="auto"/>
                <w:left w:val="none" w:sz="0" w:space="0" w:color="auto"/>
                <w:bottom w:val="none" w:sz="0" w:space="0" w:color="auto"/>
                <w:right w:val="none" w:sz="0" w:space="0" w:color="auto"/>
              </w:divBdr>
            </w:div>
            <w:div w:id="372852195">
              <w:marLeft w:val="0"/>
              <w:marRight w:val="0"/>
              <w:marTop w:val="0"/>
              <w:marBottom w:val="0"/>
              <w:divBdr>
                <w:top w:val="none" w:sz="0" w:space="0" w:color="auto"/>
                <w:left w:val="none" w:sz="0" w:space="0" w:color="auto"/>
                <w:bottom w:val="none" w:sz="0" w:space="0" w:color="auto"/>
                <w:right w:val="none" w:sz="0" w:space="0" w:color="auto"/>
              </w:divBdr>
            </w:div>
            <w:div w:id="8652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29264">
      <w:bodyDiv w:val="1"/>
      <w:marLeft w:val="0"/>
      <w:marRight w:val="0"/>
      <w:marTop w:val="0"/>
      <w:marBottom w:val="0"/>
      <w:divBdr>
        <w:top w:val="none" w:sz="0" w:space="0" w:color="auto"/>
        <w:left w:val="none" w:sz="0" w:space="0" w:color="auto"/>
        <w:bottom w:val="none" w:sz="0" w:space="0" w:color="auto"/>
        <w:right w:val="none" w:sz="0" w:space="0" w:color="auto"/>
      </w:divBdr>
      <w:divsChild>
        <w:div w:id="862590768">
          <w:marLeft w:val="0"/>
          <w:marRight w:val="0"/>
          <w:marTop w:val="0"/>
          <w:marBottom w:val="0"/>
          <w:divBdr>
            <w:top w:val="none" w:sz="0" w:space="0" w:color="auto"/>
            <w:left w:val="none" w:sz="0" w:space="0" w:color="auto"/>
            <w:bottom w:val="none" w:sz="0" w:space="0" w:color="auto"/>
            <w:right w:val="none" w:sz="0" w:space="0" w:color="auto"/>
          </w:divBdr>
        </w:div>
        <w:div w:id="755441892">
          <w:marLeft w:val="0"/>
          <w:marRight w:val="0"/>
          <w:marTop w:val="0"/>
          <w:marBottom w:val="0"/>
          <w:divBdr>
            <w:top w:val="none" w:sz="0" w:space="0" w:color="auto"/>
            <w:left w:val="none" w:sz="0" w:space="0" w:color="auto"/>
            <w:bottom w:val="none" w:sz="0" w:space="0" w:color="auto"/>
            <w:right w:val="none" w:sz="0" w:space="0" w:color="auto"/>
          </w:divBdr>
        </w:div>
        <w:div w:id="1756438846">
          <w:marLeft w:val="0"/>
          <w:marRight w:val="0"/>
          <w:marTop w:val="0"/>
          <w:marBottom w:val="0"/>
          <w:divBdr>
            <w:top w:val="none" w:sz="0" w:space="0" w:color="auto"/>
            <w:left w:val="none" w:sz="0" w:space="0" w:color="auto"/>
            <w:bottom w:val="none" w:sz="0" w:space="0" w:color="auto"/>
            <w:right w:val="none" w:sz="0" w:space="0" w:color="auto"/>
          </w:divBdr>
        </w:div>
        <w:div w:id="1336302429">
          <w:marLeft w:val="0"/>
          <w:marRight w:val="0"/>
          <w:marTop w:val="0"/>
          <w:marBottom w:val="0"/>
          <w:divBdr>
            <w:top w:val="none" w:sz="0" w:space="0" w:color="auto"/>
            <w:left w:val="none" w:sz="0" w:space="0" w:color="auto"/>
            <w:bottom w:val="none" w:sz="0" w:space="0" w:color="auto"/>
            <w:right w:val="none" w:sz="0" w:space="0" w:color="auto"/>
          </w:divBdr>
        </w:div>
        <w:div w:id="375666170">
          <w:marLeft w:val="0"/>
          <w:marRight w:val="0"/>
          <w:marTop w:val="0"/>
          <w:marBottom w:val="0"/>
          <w:divBdr>
            <w:top w:val="none" w:sz="0" w:space="0" w:color="auto"/>
            <w:left w:val="none" w:sz="0" w:space="0" w:color="auto"/>
            <w:bottom w:val="none" w:sz="0" w:space="0" w:color="auto"/>
            <w:right w:val="none" w:sz="0" w:space="0" w:color="auto"/>
          </w:divBdr>
        </w:div>
      </w:divsChild>
    </w:div>
    <w:div w:id="649361780">
      <w:bodyDiv w:val="1"/>
      <w:marLeft w:val="0"/>
      <w:marRight w:val="0"/>
      <w:marTop w:val="0"/>
      <w:marBottom w:val="0"/>
      <w:divBdr>
        <w:top w:val="none" w:sz="0" w:space="0" w:color="auto"/>
        <w:left w:val="none" w:sz="0" w:space="0" w:color="auto"/>
        <w:bottom w:val="none" w:sz="0" w:space="0" w:color="auto"/>
        <w:right w:val="none" w:sz="0" w:space="0" w:color="auto"/>
      </w:divBdr>
    </w:div>
    <w:div w:id="1147356859">
      <w:bodyDiv w:val="1"/>
      <w:marLeft w:val="0"/>
      <w:marRight w:val="0"/>
      <w:marTop w:val="0"/>
      <w:marBottom w:val="0"/>
      <w:divBdr>
        <w:top w:val="none" w:sz="0" w:space="0" w:color="auto"/>
        <w:left w:val="none" w:sz="0" w:space="0" w:color="auto"/>
        <w:bottom w:val="none" w:sz="0" w:space="0" w:color="auto"/>
        <w:right w:val="none" w:sz="0" w:space="0" w:color="auto"/>
      </w:divBdr>
      <w:divsChild>
        <w:div w:id="107700717">
          <w:marLeft w:val="576"/>
          <w:marRight w:val="0"/>
          <w:marTop w:val="120"/>
          <w:marBottom w:val="0"/>
          <w:divBdr>
            <w:top w:val="none" w:sz="0" w:space="0" w:color="auto"/>
            <w:left w:val="none" w:sz="0" w:space="0" w:color="auto"/>
            <w:bottom w:val="none" w:sz="0" w:space="0" w:color="auto"/>
            <w:right w:val="none" w:sz="0" w:space="0" w:color="auto"/>
          </w:divBdr>
        </w:div>
        <w:div w:id="1617713898">
          <w:marLeft w:val="1008"/>
          <w:marRight w:val="0"/>
          <w:marTop w:val="110"/>
          <w:marBottom w:val="0"/>
          <w:divBdr>
            <w:top w:val="none" w:sz="0" w:space="0" w:color="auto"/>
            <w:left w:val="none" w:sz="0" w:space="0" w:color="auto"/>
            <w:bottom w:val="none" w:sz="0" w:space="0" w:color="auto"/>
            <w:right w:val="none" w:sz="0" w:space="0" w:color="auto"/>
          </w:divBdr>
        </w:div>
        <w:div w:id="1617297707">
          <w:marLeft w:val="576"/>
          <w:marRight w:val="0"/>
          <w:marTop w:val="120"/>
          <w:marBottom w:val="0"/>
          <w:divBdr>
            <w:top w:val="none" w:sz="0" w:space="0" w:color="auto"/>
            <w:left w:val="none" w:sz="0" w:space="0" w:color="auto"/>
            <w:bottom w:val="none" w:sz="0" w:space="0" w:color="auto"/>
            <w:right w:val="none" w:sz="0" w:space="0" w:color="auto"/>
          </w:divBdr>
        </w:div>
        <w:div w:id="1527909622">
          <w:marLeft w:val="576"/>
          <w:marRight w:val="0"/>
          <w:marTop w:val="120"/>
          <w:marBottom w:val="0"/>
          <w:divBdr>
            <w:top w:val="none" w:sz="0" w:space="0" w:color="auto"/>
            <w:left w:val="none" w:sz="0" w:space="0" w:color="auto"/>
            <w:bottom w:val="none" w:sz="0" w:space="0" w:color="auto"/>
            <w:right w:val="none" w:sz="0" w:space="0" w:color="auto"/>
          </w:divBdr>
        </w:div>
      </w:divsChild>
    </w:div>
    <w:div w:id="1149979158">
      <w:bodyDiv w:val="1"/>
      <w:marLeft w:val="0"/>
      <w:marRight w:val="0"/>
      <w:marTop w:val="0"/>
      <w:marBottom w:val="0"/>
      <w:divBdr>
        <w:top w:val="none" w:sz="0" w:space="0" w:color="auto"/>
        <w:left w:val="none" w:sz="0" w:space="0" w:color="auto"/>
        <w:bottom w:val="none" w:sz="0" w:space="0" w:color="auto"/>
        <w:right w:val="none" w:sz="0" w:space="0" w:color="auto"/>
      </w:divBdr>
      <w:divsChild>
        <w:div w:id="1935626308">
          <w:marLeft w:val="547"/>
          <w:marRight w:val="0"/>
          <w:marTop w:val="96"/>
          <w:marBottom w:val="0"/>
          <w:divBdr>
            <w:top w:val="none" w:sz="0" w:space="0" w:color="auto"/>
            <w:left w:val="none" w:sz="0" w:space="0" w:color="auto"/>
            <w:bottom w:val="none" w:sz="0" w:space="0" w:color="auto"/>
            <w:right w:val="none" w:sz="0" w:space="0" w:color="auto"/>
          </w:divBdr>
        </w:div>
        <w:div w:id="1746876407">
          <w:marLeft w:val="547"/>
          <w:marRight w:val="0"/>
          <w:marTop w:val="96"/>
          <w:marBottom w:val="0"/>
          <w:divBdr>
            <w:top w:val="none" w:sz="0" w:space="0" w:color="auto"/>
            <w:left w:val="none" w:sz="0" w:space="0" w:color="auto"/>
            <w:bottom w:val="none" w:sz="0" w:space="0" w:color="auto"/>
            <w:right w:val="none" w:sz="0" w:space="0" w:color="auto"/>
          </w:divBdr>
        </w:div>
        <w:div w:id="572663826">
          <w:marLeft w:val="547"/>
          <w:marRight w:val="0"/>
          <w:marTop w:val="96"/>
          <w:marBottom w:val="0"/>
          <w:divBdr>
            <w:top w:val="none" w:sz="0" w:space="0" w:color="auto"/>
            <w:left w:val="none" w:sz="0" w:space="0" w:color="auto"/>
            <w:bottom w:val="none" w:sz="0" w:space="0" w:color="auto"/>
            <w:right w:val="none" w:sz="0" w:space="0" w:color="auto"/>
          </w:divBdr>
        </w:div>
        <w:div w:id="1587154199">
          <w:marLeft w:val="547"/>
          <w:marRight w:val="0"/>
          <w:marTop w:val="96"/>
          <w:marBottom w:val="0"/>
          <w:divBdr>
            <w:top w:val="none" w:sz="0" w:space="0" w:color="auto"/>
            <w:left w:val="none" w:sz="0" w:space="0" w:color="auto"/>
            <w:bottom w:val="none" w:sz="0" w:space="0" w:color="auto"/>
            <w:right w:val="none" w:sz="0" w:space="0" w:color="auto"/>
          </w:divBdr>
        </w:div>
        <w:div w:id="1160578864">
          <w:marLeft w:val="547"/>
          <w:marRight w:val="0"/>
          <w:marTop w:val="96"/>
          <w:marBottom w:val="0"/>
          <w:divBdr>
            <w:top w:val="none" w:sz="0" w:space="0" w:color="auto"/>
            <w:left w:val="none" w:sz="0" w:space="0" w:color="auto"/>
            <w:bottom w:val="none" w:sz="0" w:space="0" w:color="auto"/>
            <w:right w:val="none" w:sz="0" w:space="0" w:color="auto"/>
          </w:divBdr>
        </w:div>
      </w:divsChild>
    </w:div>
    <w:div w:id="1228610960">
      <w:bodyDiv w:val="1"/>
      <w:marLeft w:val="0"/>
      <w:marRight w:val="0"/>
      <w:marTop w:val="0"/>
      <w:marBottom w:val="0"/>
      <w:divBdr>
        <w:top w:val="none" w:sz="0" w:space="0" w:color="auto"/>
        <w:left w:val="none" w:sz="0" w:space="0" w:color="auto"/>
        <w:bottom w:val="none" w:sz="0" w:space="0" w:color="auto"/>
        <w:right w:val="none" w:sz="0" w:space="0" w:color="auto"/>
      </w:divBdr>
    </w:div>
    <w:div w:id="1345402556">
      <w:bodyDiv w:val="1"/>
      <w:marLeft w:val="0"/>
      <w:marRight w:val="0"/>
      <w:marTop w:val="0"/>
      <w:marBottom w:val="0"/>
      <w:divBdr>
        <w:top w:val="none" w:sz="0" w:space="0" w:color="auto"/>
        <w:left w:val="none" w:sz="0" w:space="0" w:color="auto"/>
        <w:bottom w:val="none" w:sz="0" w:space="0" w:color="auto"/>
        <w:right w:val="none" w:sz="0" w:space="0" w:color="auto"/>
      </w:divBdr>
      <w:divsChild>
        <w:div w:id="1779981233">
          <w:marLeft w:val="547"/>
          <w:marRight w:val="0"/>
          <w:marTop w:val="86"/>
          <w:marBottom w:val="0"/>
          <w:divBdr>
            <w:top w:val="none" w:sz="0" w:space="0" w:color="auto"/>
            <w:left w:val="none" w:sz="0" w:space="0" w:color="auto"/>
            <w:bottom w:val="none" w:sz="0" w:space="0" w:color="auto"/>
            <w:right w:val="none" w:sz="0" w:space="0" w:color="auto"/>
          </w:divBdr>
        </w:div>
        <w:div w:id="646594832">
          <w:marLeft w:val="547"/>
          <w:marRight w:val="0"/>
          <w:marTop w:val="86"/>
          <w:marBottom w:val="0"/>
          <w:divBdr>
            <w:top w:val="none" w:sz="0" w:space="0" w:color="auto"/>
            <w:left w:val="none" w:sz="0" w:space="0" w:color="auto"/>
            <w:bottom w:val="none" w:sz="0" w:space="0" w:color="auto"/>
            <w:right w:val="none" w:sz="0" w:space="0" w:color="auto"/>
          </w:divBdr>
        </w:div>
        <w:div w:id="535702027">
          <w:marLeft w:val="1051"/>
          <w:marRight w:val="0"/>
          <w:marTop w:val="77"/>
          <w:marBottom w:val="0"/>
          <w:divBdr>
            <w:top w:val="none" w:sz="0" w:space="0" w:color="auto"/>
            <w:left w:val="none" w:sz="0" w:space="0" w:color="auto"/>
            <w:bottom w:val="none" w:sz="0" w:space="0" w:color="auto"/>
            <w:right w:val="none" w:sz="0" w:space="0" w:color="auto"/>
          </w:divBdr>
        </w:div>
        <w:div w:id="1830320419">
          <w:marLeft w:val="547"/>
          <w:marRight w:val="0"/>
          <w:marTop w:val="77"/>
          <w:marBottom w:val="0"/>
          <w:divBdr>
            <w:top w:val="none" w:sz="0" w:space="0" w:color="auto"/>
            <w:left w:val="none" w:sz="0" w:space="0" w:color="auto"/>
            <w:bottom w:val="none" w:sz="0" w:space="0" w:color="auto"/>
            <w:right w:val="none" w:sz="0" w:space="0" w:color="auto"/>
          </w:divBdr>
        </w:div>
        <w:div w:id="1859005437">
          <w:marLeft w:val="547"/>
          <w:marRight w:val="0"/>
          <w:marTop w:val="77"/>
          <w:marBottom w:val="0"/>
          <w:divBdr>
            <w:top w:val="none" w:sz="0" w:space="0" w:color="auto"/>
            <w:left w:val="none" w:sz="0" w:space="0" w:color="auto"/>
            <w:bottom w:val="none" w:sz="0" w:space="0" w:color="auto"/>
            <w:right w:val="none" w:sz="0" w:space="0" w:color="auto"/>
          </w:divBdr>
        </w:div>
        <w:div w:id="632636317">
          <w:marLeft w:val="547"/>
          <w:marRight w:val="0"/>
          <w:marTop w:val="77"/>
          <w:marBottom w:val="0"/>
          <w:divBdr>
            <w:top w:val="none" w:sz="0" w:space="0" w:color="auto"/>
            <w:left w:val="none" w:sz="0" w:space="0" w:color="auto"/>
            <w:bottom w:val="none" w:sz="0" w:space="0" w:color="auto"/>
            <w:right w:val="none" w:sz="0" w:space="0" w:color="auto"/>
          </w:divBdr>
        </w:div>
        <w:div w:id="1884559570">
          <w:marLeft w:val="547"/>
          <w:marRight w:val="0"/>
          <w:marTop w:val="77"/>
          <w:marBottom w:val="0"/>
          <w:divBdr>
            <w:top w:val="none" w:sz="0" w:space="0" w:color="auto"/>
            <w:left w:val="none" w:sz="0" w:space="0" w:color="auto"/>
            <w:bottom w:val="none" w:sz="0" w:space="0" w:color="auto"/>
            <w:right w:val="none" w:sz="0" w:space="0" w:color="auto"/>
          </w:divBdr>
        </w:div>
        <w:div w:id="818958987">
          <w:marLeft w:val="547"/>
          <w:marRight w:val="0"/>
          <w:marTop w:val="77"/>
          <w:marBottom w:val="0"/>
          <w:divBdr>
            <w:top w:val="none" w:sz="0" w:space="0" w:color="auto"/>
            <w:left w:val="none" w:sz="0" w:space="0" w:color="auto"/>
            <w:bottom w:val="none" w:sz="0" w:space="0" w:color="auto"/>
            <w:right w:val="none" w:sz="0" w:space="0" w:color="auto"/>
          </w:divBdr>
        </w:div>
      </w:divsChild>
    </w:div>
    <w:div w:id="1457672944">
      <w:bodyDiv w:val="1"/>
      <w:marLeft w:val="0"/>
      <w:marRight w:val="0"/>
      <w:marTop w:val="0"/>
      <w:marBottom w:val="0"/>
      <w:divBdr>
        <w:top w:val="none" w:sz="0" w:space="0" w:color="auto"/>
        <w:left w:val="none" w:sz="0" w:space="0" w:color="auto"/>
        <w:bottom w:val="none" w:sz="0" w:space="0" w:color="auto"/>
        <w:right w:val="none" w:sz="0" w:space="0" w:color="auto"/>
      </w:divBdr>
    </w:div>
    <w:div w:id="1547646820">
      <w:bodyDiv w:val="1"/>
      <w:marLeft w:val="0"/>
      <w:marRight w:val="0"/>
      <w:marTop w:val="0"/>
      <w:marBottom w:val="0"/>
      <w:divBdr>
        <w:top w:val="none" w:sz="0" w:space="0" w:color="auto"/>
        <w:left w:val="none" w:sz="0" w:space="0" w:color="auto"/>
        <w:bottom w:val="none" w:sz="0" w:space="0" w:color="auto"/>
        <w:right w:val="none" w:sz="0" w:space="0" w:color="auto"/>
      </w:divBdr>
    </w:div>
    <w:div w:id="1557280275">
      <w:bodyDiv w:val="1"/>
      <w:marLeft w:val="0"/>
      <w:marRight w:val="0"/>
      <w:marTop w:val="0"/>
      <w:marBottom w:val="0"/>
      <w:divBdr>
        <w:top w:val="none" w:sz="0" w:space="0" w:color="auto"/>
        <w:left w:val="none" w:sz="0" w:space="0" w:color="auto"/>
        <w:bottom w:val="none" w:sz="0" w:space="0" w:color="auto"/>
        <w:right w:val="none" w:sz="0" w:space="0" w:color="auto"/>
      </w:divBdr>
      <w:divsChild>
        <w:div w:id="1729109910">
          <w:marLeft w:val="1051"/>
          <w:marRight w:val="0"/>
          <w:marTop w:val="72"/>
          <w:marBottom w:val="0"/>
          <w:divBdr>
            <w:top w:val="none" w:sz="0" w:space="0" w:color="auto"/>
            <w:left w:val="none" w:sz="0" w:space="0" w:color="auto"/>
            <w:bottom w:val="none" w:sz="0" w:space="0" w:color="auto"/>
            <w:right w:val="none" w:sz="0" w:space="0" w:color="auto"/>
          </w:divBdr>
        </w:div>
        <w:div w:id="1786805511">
          <w:marLeft w:val="1051"/>
          <w:marRight w:val="0"/>
          <w:marTop w:val="72"/>
          <w:marBottom w:val="0"/>
          <w:divBdr>
            <w:top w:val="none" w:sz="0" w:space="0" w:color="auto"/>
            <w:left w:val="none" w:sz="0" w:space="0" w:color="auto"/>
            <w:bottom w:val="none" w:sz="0" w:space="0" w:color="auto"/>
            <w:right w:val="none" w:sz="0" w:space="0" w:color="auto"/>
          </w:divBdr>
        </w:div>
        <w:div w:id="896744988">
          <w:marLeft w:val="1051"/>
          <w:marRight w:val="0"/>
          <w:marTop w:val="72"/>
          <w:marBottom w:val="0"/>
          <w:divBdr>
            <w:top w:val="none" w:sz="0" w:space="0" w:color="auto"/>
            <w:left w:val="none" w:sz="0" w:space="0" w:color="auto"/>
            <w:bottom w:val="none" w:sz="0" w:space="0" w:color="auto"/>
            <w:right w:val="none" w:sz="0" w:space="0" w:color="auto"/>
          </w:divBdr>
        </w:div>
      </w:divsChild>
    </w:div>
    <w:div w:id="1569876290">
      <w:bodyDiv w:val="1"/>
      <w:marLeft w:val="0"/>
      <w:marRight w:val="0"/>
      <w:marTop w:val="0"/>
      <w:marBottom w:val="0"/>
      <w:divBdr>
        <w:top w:val="none" w:sz="0" w:space="0" w:color="auto"/>
        <w:left w:val="none" w:sz="0" w:space="0" w:color="auto"/>
        <w:bottom w:val="none" w:sz="0" w:space="0" w:color="auto"/>
        <w:right w:val="none" w:sz="0" w:space="0" w:color="auto"/>
      </w:divBdr>
      <w:divsChild>
        <w:div w:id="653684753">
          <w:marLeft w:val="1051"/>
          <w:marRight w:val="0"/>
          <w:marTop w:val="82"/>
          <w:marBottom w:val="0"/>
          <w:divBdr>
            <w:top w:val="none" w:sz="0" w:space="0" w:color="auto"/>
            <w:left w:val="none" w:sz="0" w:space="0" w:color="auto"/>
            <w:bottom w:val="none" w:sz="0" w:space="0" w:color="auto"/>
            <w:right w:val="none" w:sz="0" w:space="0" w:color="auto"/>
          </w:divBdr>
        </w:div>
        <w:div w:id="1862280926">
          <w:marLeft w:val="1051"/>
          <w:marRight w:val="0"/>
          <w:marTop w:val="82"/>
          <w:marBottom w:val="0"/>
          <w:divBdr>
            <w:top w:val="none" w:sz="0" w:space="0" w:color="auto"/>
            <w:left w:val="none" w:sz="0" w:space="0" w:color="auto"/>
            <w:bottom w:val="none" w:sz="0" w:space="0" w:color="auto"/>
            <w:right w:val="none" w:sz="0" w:space="0" w:color="auto"/>
          </w:divBdr>
        </w:div>
        <w:div w:id="11272294">
          <w:marLeft w:val="1051"/>
          <w:marRight w:val="0"/>
          <w:marTop w:val="82"/>
          <w:marBottom w:val="0"/>
          <w:divBdr>
            <w:top w:val="none" w:sz="0" w:space="0" w:color="auto"/>
            <w:left w:val="none" w:sz="0" w:space="0" w:color="auto"/>
            <w:bottom w:val="none" w:sz="0" w:space="0" w:color="auto"/>
            <w:right w:val="none" w:sz="0" w:space="0" w:color="auto"/>
          </w:divBdr>
        </w:div>
      </w:divsChild>
    </w:div>
    <w:div w:id="1570536009">
      <w:bodyDiv w:val="1"/>
      <w:marLeft w:val="0"/>
      <w:marRight w:val="0"/>
      <w:marTop w:val="0"/>
      <w:marBottom w:val="0"/>
      <w:divBdr>
        <w:top w:val="none" w:sz="0" w:space="0" w:color="auto"/>
        <w:left w:val="none" w:sz="0" w:space="0" w:color="auto"/>
        <w:bottom w:val="none" w:sz="0" w:space="0" w:color="auto"/>
        <w:right w:val="none" w:sz="0" w:space="0" w:color="auto"/>
      </w:divBdr>
      <w:divsChild>
        <w:div w:id="1410956923">
          <w:marLeft w:val="547"/>
          <w:marRight w:val="0"/>
          <w:marTop w:val="86"/>
          <w:marBottom w:val="0"/>
          <w:divBdr>
            <w:top w:val="none" w:sz="0" w:space="0" w:color="auto"/>
            <w:left w:val="none" w:sz="0" w:space="0" w:color="auto"/>
            <w:bottom w:val="none" w:sz="0" w:space="0" w:color="auto"/>
            <w:right w:val="none" w:sz="0" w:space="0" w:color="auto"/>
          </w:divBdr>
        </w:div>
      </w:divsChild>
    </w:div>
    <w:div w:id="1856309764">
      <w:bodyDiv w:val="1"/>
      <w:marLeft w:val="0"/>
      <w:marRight w:val="0"/>
      <w:marTop w:val="0"/>
      <w:marBottom w:val="0"/>
      <w:divBdr>
        <w:top w:val="none" w:sz="0" w:space="0" w:color="auto"/>
        <w:left w:val="none" w:sz="0" w:space="0" w:color="auto"/>
        <w:bottom w:val="none" w:sz="0" w:space="0" w:color="auto"/>
        <w:right w:val="none" w:sz="0" w:space="0" w:color="auto"/>
      </w:divBdr>
    </w:div>
    <w:div w:id="1866020957">
      <w:bodyDiv w:val="1"/>
      <w:marLeft w:val="0"/>
      <w:marRight w:val="0"/>
      <w:marTop w:val="0"/>
      <w:marBottom w:val="0"/>
      <w:divBdr>
        <w:top w:val="none" w:sz="0" w:space="0" w:color="auto"/>
        <w:left w:val="none" w:sz="0" w:space="0" w:color="auto"/>
        <w:bottom w:val="none" w:sz="0" w:space="0" w:color="auto"/>
        <w:right w:val="none" w:sz="0" w:space="0" w:color="auto"/>
      </w:divBdr>
      <w:divsChild>
        <w:div w:id="973028145">
          <w:marLeft w:val="0"/>
          <w:marRight w:val="0"/>
          <w:marTop w:val="0"/>
          <w:marBottom w:val="0"/>
          <w:divBdr>
            <w:top w:val="none" w:sz="0" w:space="0" w:color="auto"/>
            <w:left w:val="none" w:sz="0" w:space="0" w:color="auto"/>
            <w:bottom w:val="none" w:sz="0" w:space="0" w:color="auto"/>
            <w:right w:val="none" w:sz="0" w:space="0" w:color="auto"/>
          </w:divBdr>
          <w:divsChild>
            <w:div w:id="1862816465">
              <w:marLeft w:val="0"/>
              <w:marRight w:val="0"/>
              <w:marTop w:val="0"/>
              <w:marBottom w:val="0"/>
              <w:divBdr>
                <w:top w:val="none" w:sz="0" w:space="0" w:color="auto"/>
                <w:left w:val="none" w:sz="0" w:space="0" w:color="auto"/>
                <w:bottom w:val="none" w:sz="0" w:space="0" w:color="auto"/>
                <w:right w:val="none" w:sz="0" w:space="0" w:color="auto"/>
              </w:divBdr>
            </w:div>
            <w:div w:id="1065034119">
              <w:marLeft w:val="0"/>
              <w:marRight w:val="0"/>
              <w:marTop w:val="0"/>
              <w:marBottom w:val="0"/>
              <w:divBdr>
                <w:top w:val="none" w:sz="0" w:space="0" w:color="auto"/>
                <w:left w:val="none" w:sz="0" w:space="0" w:color="auto"/>
                <w:bottom w:val="none" w:sz="0" w:space="0" w:color="auto"/>
                <w:right w:val="none" w:sz="0" w:space="0" w:color="auto"/>
              </w:divBdr>
            </w:div>
            <w:div w:id="1391415171">
              <w:marLeft w:val="0"/>
              <w:marRight w:val="0"/>
              <w:marTop w:val="0"/>
              <w:marBottom w:val="0"/>
              <w:divBdr>
                <w:top w:val="none" w:sz="0" w:space="0" w:color="auto"/>
                <w:left w:val="none" w:sz="0" w:space="0" w:color="auto"/>
                <w:bottom w:val="none" w:sz="0" w:space="0" w:color="auto"/>
                <w:right w:val="none" w:sz="0" w:space="0" w:color="auto"/>
              </w:divBdr>
            </w:div>
            <w:div w:id="2017919655">
              <w:marLeft w:val="0"/>
              <w:marRight w:val="0"/>
              <w:marTop w:val="0"/>
              <w:marBottom w:val="0"/>
              <w:divBdr>
                <w:top w:val="none" w:sz="0" w:space="0" w:color="auto"/>
                <w:left w:val="none" w:sz="0" w:space="0" w:color="auto"/>
                <w:bottom w:val="none" w:sz="0" w:space="0" w:color="auto"/>
                <w:right w:val="none" w:sz="0" w:space="0" w:color="auto"/>
              </w:divBdr>
            </w:div>
            <w:div w:id="10343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45">
      <w:bodyDiv w:val="1"/>
      <w:marLeft w:val="0"/>
      <w:marRight w:val="0"/>
      <w:marTop w:val="0"/>
      <w:marBottom w:val="0"/>
      <w:divBdr>
        <w:top w:val="none" w:sz="0" w:space="0" w:color="auto"/>
        <w:left w:val="none" w:sz="0" w:space="0" w:color="auto"/>
        <w:bottom w:val="none" w:sz="0" w:space="0" w:color="auto"/>
        <w:right w:val="none" w:sz="0" w:space="0" w:color="auto"/>
      </w:divBdr>
      <w:divsChild>
        <w:div w:id="1374816101">
          <w:marLeft w:val="0"/>
          <w:marRight w:val="0"/>
          <w:marTop w:val="0"/>
          <w:marBottom w:val="0"/>
          <w:divBdr>
            <w:top w:val="none" w:sz="0" w:space="0" w:color="auto"/>
            <w:left w:val="none" w:sz="0" w:space="0" w:color="auto"/>
            <w:bottom w:val="none" w:sz="0" w:space="0" w:color="auto"/>
            <w:right w:val="none" w:sz="0" w:space="0" w:color="auto"/>
          </w:divBdr>
        </w:div>
        <w:div w:id="929313539">
          <w:marLeft w:val="0"/>
          <w:marRight w:val="0"/>
          <w:marTop w:val="0"/>
          <w:marBottom w:val="0"/>
          <w:divBdr>
            <w:top w:val="none" w:sz="0" w:space="0" w:color="auto"/>
            <w:left w:val="none" w:sz="0" w:space="0" w:color="auto"/>
            <w:bottom w:val="none" w:sz="0" w:space="0" w:color="auto"/>
            <w:right w:val="none" w:sz="0" w:space="0" w:color="auto"/>
          </w:divBdr>
        </w:div>
        <w:div w:id="606230928">
          <w:marLeft w:val="0"/>
          <w:marRight w:val="0"/>
          <w:marTop w:val="0"/>
          <w:marBottom w:val="0"/>
          <w:divBdr>
            <w:top w:val="none" w:sz="0" w:space="0" w:color="auto"/>
            <w:left w:val="none" w:sz="0" w:space="0" w:color="auto"/>
            <w:bottom w:val="none" w:sz="0" w:space="0" w:color="auto"/>
            <w:right w:val="none" w:sz="0" w:space="0" w:color="auto"/>
          </w:divBdr>
        </w:div>
        <w:div w:id="427624607">
          <w:marLeft w:val="0"/>
          <w:marRight w:val="0"/>
          <w:marTop w:val="0"/>
          <w:marBottom w:val="0"/>
          <w:divBdr>
            <w:top w:val="none" w:sz="0" w:space="0" w:color="auto"/>
            <w:left w:val="none" w:sz="0" w:space="0" w:color="auto"/>
            <w:bottom w:val="none" w:sz="0" w:space="0" w:color="auto"/>
            <w:right w:val="none" w:sz="0" w:space="0" w:color="auto"/>
          </w:divBdr>
        </w:div>
        <w:div w:id="1452090189">
          <w:marLeft w:val="0"/>
          <w:marRight w:val="0"/>
          <w:marTop w:val="0"/>
          <w:marBottom w:val="0"/>
          <w:divBdr>
            <w:top w:val="none" w:sz="0" w:space="0" w:color="auto"/>
            <w:left w:val="none" w:sz="0" w:space="0" w:color="auto"/>
            <w:bottom w:val="none" w:sz="0" w:space="0" w:color="auto"/>
            <w:right w:val="none" w:sz="0" w:space="0" w:color="auto"/>
          </w:divBdr>
        </w:div>
      </w:divsChild>
    </w:div>
    <w:div w:id="20689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mn" TargetMode="External"/><Relationship Id="rId5" Type="http://schemas.openxmlformats.org/officeDocument/2006/relationships/webSettings" Target="webSettings.xml"/><Relationship Id="rId10" Type="http://schemas.openxmlformats.org/officeDocument/2006/relationships/hyperlink" Target="http://www.audit.mn" TargetMode="External"/><Relationship Id="rId4" Type="http://schemas.openxmlformats.org/officeDocument/2006/relationships/settings" Target="settings.xml"/><Relationship Id="rId9" Type="http://schemas.openxmlformats.org/officeDocument/2006/relationships/hyperlink" Target="http://www.iltodgeree.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46D4-30CC-4D35-8D2C-C72DE4E0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tsolmon</dc:creator>
  <cp:lastModifiedBy>Annie Magnus</cp:lastModifiedBy>
  <cp:revision>2</cp:revision>
  <cp:lastPrinted>2019-01-02T03:04:00Z</cp:lastPrinted>
  <dcterms:created xsi:type="dcterms:W3CDTF">2020-01-07T08:57:00Z</dcterms:created>
  <dcterms:modified xsi:type="dcterms:W3CDTF">2020-01-07T08:57:00Z</dcterms:modified>
</cp:coreProperties>
</file>