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C870B" w14:textId="524EA50B" w:rsidR="00056339" w:rsidRPr="005625E1" w:rsidRDefault="00056339" w:rsidP="00F12713">
      <w:pPr>
        <w:spacing w:after="0" w:line="240" w:lineRule="auto"/>
        <w:jc w:val="center"/>
        <w:rPr>
          <w:rFonts w:cstheme="minorHAnsi"/>
          <w:b/>
        </w:rPr>
      </w:pPr>
      <w:r w:rsidRPr="005625E1">
        <w:rPr>
          <w:rFonts w:cstheme="minorHAnsi"/>
          <w:b/>
        </w:rPr>
        <w:t xml:space="preserve">Validation of </w:t>
      </w:r>
      <w:r w:rsidR="000841B2">
        <w:rPr>
          <w:rFonts w:cstheme="minorHAnsi"/>
          <w:b/>
        </w:rPr>
        <w:t>Mozambique</w:t>
      </w:r>
    </w:p>
    <w:p w14:paraId="30323B62" w14:textId="38B61EF8" w:rsidR="00056339" w:rsidRPr="005625E1" w:rsidRDefault="00116C05" w:rsidP="00F12713">
      <w:pPr>
        <w:tabs>
          <w:tab w:val="left" w:pos="1890"/>
        </w:tabs>
        <w:spacing w:after="0" w:line="240" w:lineRule="auto"/>
        <w:jc w:val="center"/>
        <w:rPr>
          <w:rFonts w:cstheme="minorHAnsi"/>
        </w:rPr>
      </w:pPr>
      <w:r>
        <w:rPr>
          <w:rFonts w:cstheme="minorHAnsi"/>
        </w:rPr>
        <w:t xml:space="preserve">Draft </w:t>
      </w:r>
      <w:r w:rsidR="00056339" w:rsidRPr="005625E1">
        <w:rPr>
          <w:rFonts w:cstheme="minorHAnsi"/>
        </w:rPr>
        <w:t xml:space="preserve">Validation </w:t>
      </w:r>
      <w:r w:rsidR="0001315D" w:rsidRPr="005625E1">
        <w:rPr>
          <w:rFonts w:cstheme="minorHAnsi"/>
        </w:rPr>
        <w:t>Report</w:t>
      </w:r>
    </w:p>
    <w:p w14:paraId="7CE3F3AD" w14:textId="2E7299AA" w:rsidR="00056339" w:rsidRPr="005625E1" w:rsidRDefault="00A57147" w:rsidP="00F12713">
      <w:pPr>
        <w:spacing w:after="0" w:line="240" w:lineRule="auto"/>
        <w:jc w:val="center"/>
        <w:rPr>
          <w:rFonts w:cstheme="minorHAnsi"/>
        </w:rPr>
      </w:pPr>
      <w:r>
        <w:rPr>
          <w:rFonts w:cstheme="minorHAnsi"/>
        </w:rPr>
        <w:t xml:space="preserve">Adam Smith International </w:t>
      </w:r>
      <w:r w:rsidR="00555FC2" w:rsidRPr="005625E1">
        <w:rPr>
          <w:rFonts w:cstheme="minorHAnsi"/>
        </w:rPr>
        <w:t>Independent Validator</w:t>
      </w:r>
    </w:p>
    <w:p w14:paraId="649995B7" w14:textId="0B0F838F" w:rsidR="00056339" w:rsidRPr="005625E1" w:rsidRDefault="002859C4" w:rsidP="00F12713">
      <w:pPr>
        <w:spacing w:after="0" w:line="240" w:lineRule="auto"/>
        <w:jc w:val="center"/>
        <w:rPr>
          <w:rFonts w:cstheme="minorHAnsi"/>
        </w:rPr>
      </w:pPr>
      <w:r>
        <w:rPr>
          <w:rFonts w:cstheme="minorHAnsi"/>
        </w:rPr>
        <w:t>30</w:t>
      </w:r>
      <w:r w:rsidR="00344212" w:rsidRPr="005625E1">
        <w:rPr>
          <w:rFonts w:cstheme="minorHAnsi"/>
        </w:rPr>
        <w:t xml:space="preserve"> </w:t>
      </w:r>
      <w:r w:rsidR="00BE6D69">
        <w:rPr>
          <w:rFonts w:cstheme="minorHAnsi"/>
        </w:rPr>
        <w:t>June</w:t>
      </w:r>
      <w:r w:rsidR="00344212" w:rsidRPr="005625E1">
        <w:rPr>
          <w:rFonts w:cstheme="minorHAnsi"/>
        </w:rPr>
        <w:t xml:space="preserve"> </w:t>
      </w:r>
      <w:r w:rsidR="002C640F" w:rsidRPr="005625E1">
        <w:rPr>
          <w:rFonts w:cstheme="minorHAnsi"/>
        </w:rPr>
        <w:t>2017</w:t>
      </w:r>
    </w:p>
    <w:p w14:paraId="5DA4E47B" w14:textId="77777777" w:rsidR="00FD740D" w:rsidRDefault="00FD740D" w:rsidP="00FD740D">
      <w:pPr>
        <w:spacing w:after="0" w:line="240" w:lineRule="auto"/>
        <w:rPr>
          <w:rFonts w:cstheme="minorHAnsi"/>
        </w:rPr>
      </w:pPr>
    </w:p>
    <w:p w14:paraId="2292AB67" w14:textId="77777777" w:rsidR="00645AC4" w:rsidRDefault="00116C05" w:rsidP="00F12713">
      <w:pPr>
        <w:spacing w:after="0" w:line="240" w:lineRule="auto"/>
        <w:rPr>
          <w:rFonts w:cstheme="minorHAnsi"/>
          <w:b/>
          <w:color w:val="365F91" w:themeColor="accent1" w:themeShade="BF"/>
        </w:rPr>
      </w:pPr>
      <w:r w:rsidRPr="005625E1">
        <w:rPr>
          <w:rFonts w:cstheme="minorHAnsi"/>
          <w:b/>
          <w:color w:val="365F91" w:themeColor="accent1" w:themeShade="BF"/>
        </w:rPr>
        <w:t>1.</w:t>
      </w:r>
      <w:r w:rsidRPr="005625E1">
        <w:rPr>
          <w:rFonts w:cstheme="minorHAnsi"/>
          <w:b/>
          <w:color w:val="365F91" w:themeColor="accent1" w:themeShade="BF"/>
        </w:rPr>
        <w:tab/>
      </w:r>
      <w:r>
        <w:rPr>
          <w:rFonts w:cstheme="minorHAnsi"/>
          <w:b/>
          <w:color w:val="365F91" w:themeColor="accent1" w:themeShade="BF"/>
        </w:rPr>
        <w:t>EXECUTIVE SUMMARY</w:t>
      </w:r>
    </w:p>
    <w:p w14:paraId="364EC90E" w14:textId="124ED3AE" w:rsidR="00645AC4" w:rsidRPr="00603DEF" w:rsidRDefault="003722AC" w:rsidP="00F12713">
      <w:pPr>
        <w:spacing w:after="0" w:line="240" w:lineRule="auto"/>
        <w:rPr>
          <w:rFonts w:cstheme="minorHAnsi"/>
        </w:rPr>
      </w:pPr>
      <w:r w:rsidRPr="003722AC">
        <w:rPr>
          <w:rFonts w:cstheme="minorHAnsi"/>
        </w:rPr>
        <w:t>On 2 June 2016, the Board agreed that Mozambique’s Validation under the 2016 EITI Standard would commence on 1 January 2017.</w:t>
      </w:r>
      <w:r>
        <w:rPr>
          <w:rFonts w:cstheme="minorHAnsi"/>
        </w:rPr>
        <w:t xml:space="preserve">  </w:t>
      </w:r>
      <w:r w:rsidRPr="003722AC">
        <w:rPr>
          <w:rFonts w:cstheme="minorHAnsi"/>
        </w:rPr>
        <w:t>This draft validation report follows on from a quality assurance review of the International Secretariat’s initial</w:t>
      </w:r>
      <w:r>
        <w:rPr>
          <w:rFonts w:cstheme="minorHAnsi"/>
        </w:rPr>
        <w:t xml:space="preserve"> assessment.  The Validator </w:t>
      </w:r>
      <w:r w:rsidRPr="003722AC">
        <w:rPr>
          <w:rFonts w:cstheme="minorHAnsi"/>
        </w:rPr>
        <w:t xml:space="preserve">agrees with the International Secretariat’s preliminary assessment that </w:t>
      </w:r>
      <w:r w:rsidR="00F16631" w:rsidRPr="00F16631">
        <w:rPr>
          <w:rFonts w:cstheme="minorHAnsi"/>
        </w:rPr>
        <w:t>requirements 1.1, 1.2, 1.4, 2.2, 2.3, 4.2, 4.3, 4.4, 4.5, 4.6, 4.9, 5.1, 5.2, 6.1, 6.2, 6.3 and 7.1 have not been fully addressed in Mozambique</w:t>
      </w:r>
      <w:r w:rsidR="00C629CB">
        <w:rPr>
          <w:rFonts w:cstheme="minorHAnsi"/>
        </w:rPr>
        <w:t>.  In addition, the Validator proposes that requirement 4.7 is downgraded to meaningful progress</w:t>
      </w:r>
    </w:p>
    <w:p w14:paraId="0783FB4D" w14:textId="77777777" w:rsidR="00645AC4" w:rsidRDefault="00645AC4" w:rsidP="00F12713">
      <w:pPr>
        <w:spacing w:after="0" w:line="240" w:lineRule="auto"/>
        <w:rPr>
          <w:rFonts w:cstheme="minorHAnsi"/>
          <w:b/>
          <w:color w:val="365F91" w:themeColor="accent1" w:themeShade="BF"/>
        </w:rPr>
      </w:pPr>
    </w:p>
    <w:p w14:paraId="07E1A5A0" w14:textId="6D4C6AF3" w:rsidR="00A20847" w:rsidRPr="005625E1" w:rsidRDefault="00645AC4" w:rsidP="00F12713">
      <w:pPr>
        <w:spacing w:after="0" w:line="240" w:lineRule="auto"/>
        <w:rPr>
          <w:rFonts w:cstheme="minorHAnsi"/>
          <w:b/>
          <w:color w:val="365F91" w:themeColor="accent1" w:themeShade="BF"/>
        </w:rPr>
      </w:pPr>
      <w:r>
        <w:rPr>
          <w:rFonts w:cstheme="minorHAnsi"/>
          <w:b/>
          <w:color w:val="365F91" w:themeColor="accent1" w:themeShade="BF"/>
        </w:rPr>
        <w:t>2.</w:t>
      </w:r>
      <w:r>
        <w:rPr>
          <w:rFonts w:cstheme="minorHAnsi"/>
          <w:b/>
          <w:color w:val="365F91" w:themeColor="accent1" w:themeShade="BF"/>
        </w:rPr>
        <w:tab/>
      </w:r>
      <w:r w:rsidR="00803CB3" w:rsidRPr="005625E1">
        <w:rPr>
          <w:rFonts w:cstheme="minorHAnsi"/>
          <w:b/>
          <w:color w:val="365F91" w:themeColor="accent1" w:themeShade="BF"/>
        </w:rPr>
        <w:t>BACKGROUND</w:t>
      </w:r>
    </w:p>
    <w:p w14:paraId="3265A452" w14:textId="77777777" w:rsidR="00344212" w:rsidRPr="005625E1" w:rsidRDefault="00344212" w:rsidP="00344212">
      <w:pPr>
        <w:spacing w:after="0" w:line="240" w:lineRule="auto"/>
        <w:rPr>
          <w:rFonts w:cstheme="minorHAnsi"/>
        </w:rPr>
      </w:pPr>
    </w:p>
    <w:p w14:paraId="3476560E" w14:textId="658051E3" w:rsidR="002F07BC" w:rsidRPr="002F07BC" w:rsidRDefault="0062407D" w:rsidP="002F07BC">
      <w:pPr>
        <w:spacing w:after="0" w:line="240" w:lineRule="auto"/>
        <w:rPr>
          <w:rFonts w:cstheme="minorHAnsi"/>
        </w:rPr>
      </w:pPr>
      <w:bookmarkStart w:id="0" w:name="_Toc483152331"/>
      <w:r>
        <w:rPr>
          <w:rFonts w:cstheme="minorHAnsi"/>
        </w:rPr>
        <w:t>E</w:t>
      </w:r>
      <w:r w:rsidR="002F07BC" w:rsidRPr="002F07BC">
        <w:rPr>
          <w:rFonts w:cstheme="minorHAnsi"/>
        </w:rPr>
        <w:t>conomic growth in recent years</w:t>
      </w:r>
      <w:bookmarkEnd w:id="0"/>
      <w:r>
        <w:rPr>
          <w:rFonts w:cstheme="minorHAnsi"/>
        </w:rPr>
        <w:t xml:space="preserve"> </w:t>
      </w:r>
      <w:r w:rsidRPr="002F07BC">
        <w:rPr>
          <w:rFonts w:cstheme="minorHAnsi"/>
        </w:rPr>
        <w:t xml:space="preserve">in Mozambique has </w:t>
      </w:r>
      <w:r>
        <w:rPr>
          <w:rFonts w:cstheme="minorHAnsi"/>
        </w:rPr>
        <w:t xml:space="preserve">been </w:t>
      </w:r>
      <w:r w:rsidRPr="002F07BC">
        <w:rPr>
          <w:rFonts w:cstheme="minorHAnsi"/>
        </w:rPr>
        <w:t>driven</w:t>
      </w:r>
      <w:r>
        <w:rPr>
          <w:rFonts w:cstheme="minorHAnsi"/>
        </w:rPr>
        <w:t xml:space="preserve"> by e</w:t>
      </w:r>
      <w:r w:rsidRPr="002F07BC">
        <w:rPr>
          <w:rFonts w:cstheme="minorHAnsi"/>
        </w:rPr>
        <w:t>xpansion of the oil, gas and mining sectors</w:t>
      </w:r>
      <w:r>
        <w:rPr>
          <w:rFonts w:cstheme="minorHAnsi"/>
        </w:rPr>
        <w:t>.</w:t>
      </w:r>
      <w:bookmarkStart w:id="1" w:name="_Toc483152332"/>
      <w:r>
        <w:rPr>
          <w:rFonts w:cstheme="minorHAnsi"/>
        </w:rPr>
        <w:t xml:space="preserve">  </w:t>
      </w:r>
      <w:r w:rsidR="002F07BC" w:rsidRPr="002F07BC">
        <w:rPr>
          <w:rFonts w:cstheme="minorHAnsi"/>
        </w:rPr>
        <w:t>However, Mozambique has been hit hard by the fall in gas and coal prices. The country’s overall production is modest compared to the reserves of gas and minerals, and the value of total production nearly halved in 2014, compared to 2013. Both coal and gas production decreased significantly.</w:t>
      </w:r>
      <w:bookmarkEnd w:id="1"/>
    </w:p>
    <w:p w14:paraId="3AD0228A" w14:textId="77777777" w:rsidR="002F07BC" w:rsidRPr="002F07BC" w:rsidRDefault="002F07BC" w:rsidP="002F07BC">
      <w:pPr>
        <w:spacing w:after="0" w:line="240" w:lineRule="auto"/>
        <w:rPr>
          <w:rFonts w:cstheme="minorHAnsi"/>
        </w:rPr>
      </w:pPr>
    </w:p>
    <w:p w14:paraId="5DC9DE99" w14:textId="25F54E60" w:rsidR="002F07BC" w:rsidRPr="002F07BC" w:rsidRDefault="002F07BC" w:rsidP="002F07BC">
      <w:pPr>
        <w:spacing w:after="0" w:line="240" w:lineRule="auto"/>
        <w:rPr>
          <w:rFonts w:cstheme="minorHAnsi"/>
        </w:rPr>
      </w:pPr>
      <w:bookmarkStart w:id="2" w:name="_Toc483152333"/>
      <w:r w:rsidRPr="002F07BC">
        <w:rPr>
          <w:rFonts w:cstheme="minorHAnsi"/>
        </w:rPr>
        <w:t xml:space="preserve">While estimates of gas reserves have grown (estimated to exceed 160 trillion cubic feet), uncertainty in LNG markets, high costs and delays in negotiating the fiscal </w:t>
      </w:r>
      <w:r w:rsidR="00351A16">
        <w:rPr>
          <w:rFonts w:cstheme="minorHAnsi"/>
        </w:rPr>
        <w:t>regime</w:t>
      </w:r>
      <w:r w:rsidRPr="002F07BC">
        <w:rPr>
          <w:rFonts w:cstheme="minorHAnsi"/>
        </w:rPr>
        <w:t xml:space="preserve"> have postponed investments. The only gas project in production phase is the </w:t>
      </w:r>
      <w:proofErr w:type="spellStart"/>
      <w:r w:rsidRPr="002F07BC">
        <w:rPr>
          <w:rFonts w:cstheme="minorHAnsi"/>
        </w:rPr>
        <w:t>Pande</w:t>
      </w:r>
      <w:proofErr w:type="spellEnd"/>
      <w:r w:rsidRPr="002F07BC">
        <w:rPr>
          <w:rFonts w:cstheme="minorHAnsi"/>
        </w:rPr>
        <w:t xml:space="preserve"> </w:t>
      </w:r>
      <w:proofErr w:type="spellStart"/>
      <w:r w:rsidRPr="002F07BC">
        <w:rPr>
          <w:rFonts w:cstheme="minorHAnsi"/>
        </w:rPr>
        <w:t>Temane</w:t>
      </w:r>
      <w:proofErr w:type="spellEnd"/>
      <w:r w:rsidRPr="002F07BC">
        <w:rPr>
          <w:rFonts w:cstheme="minorHAnsi"/>
        </w:rPr>
        <w:t xml:space="preserve"> gas field, and only 86.6 </w:t>
      </w:r>
      <w:proofErr w:type="spellStart"/>
      <w:r w:rsidRPr="002F07BC">
        <w:rPr>
          <w:rFonts w:cstheme="minorHAnsi"/>
        </w:rPr>
        <w:t>Gj</w:t>
      </w:r>
      <w:proofErr w:type="spellEnd"/>
      <w:r w:rsidRPr="002F07BC">
        <w:rPr>
          <w:rFonts w:cstheme="minorHAnsi"/>
        </w:rPr>
        <w:t xml:space="preserve"> of gas, worth USD 100 million, was produced in 2014. The large off-shore fields are still in exploration phase, and gas companies are yet to take a final investment decision on building an LNG plant in northern Mozambique. </w:t>
      </w:r>
      <w:bookmarkEnd w:id="2"/>
    </w:p>
    <w:p w14:paraId="246D84F3" w14:textId="77777777" w:rsidR="002F07BC" w:rsidRPr="002F07BC" w:rsidRDefault="002F07BC" w:rsidP="002F07BC">
      <w:pPr>
        <w:spacing w:after="0" w:line="240" w:lineRule="auto"/>
        <w:rPr>
          <w:rFonts w:cstheme="minorHAnsi"/>
        </w:rPr>
      </w:pPr>
    </w:p>
    <w:p w14:paraId="1892314D" w14:textId="46BD42C3" w:rsidR="002F07BC" w:rsidRPr="002F07BC" w:rsidRDefault="002F07BC" w:rsidP="002F07BC">
      <w:pPr>
        <w:spacing w:after="0" w:line="240" w:lineRule="auto"/>
        <w:rPr>
          <w:rFonts w:cstheme="minorHAnsi"/>
        </w:rPr>
      </w:pPr>
      <w:bookmarkStart w:id="3" w:name="_Toc483152334"/>
      <w:bookmarkEnd w:id="3"/>
      <w:r w:rsidRPr="002F07BC">
        <w:rPr>
          <w:rFonts w:cstheme="minorHAnsi"/>
        </w:rPr>
        <w:t xml:space="preserve">The country is currently going through an ongoing debt crisis, exacerbated by the discovery of hidden state-backed loans amounting to over USD 2 billion in 2016. An independent audit is currently looking into the loans, and a report is expected in the coming months. While not directly linked to the extractive sector, analysis of the loan crisis suggest that the parties involved viewed future income from oil and gas as increasing the likelihood that the loans would be repaid. </w:t>
      </w:r>
      <w:bookmarkStart w:id="4" w:name="_Toc483152335"/>
      <w:r w:rsidRPr="002F07BC">
        <w:rPr>
          <w:rFonts w:cstheme="minorHAnsi"/>
        </w:rPr>
        <w:t>The debt crisis is expected to have a negative impact on investment, although it does not appear that the debt situation will affect the investment decisions of the companies involved in the negotiations with the government on LNG development (Anadarko and ENI) and there seems to be continued interest in the project.</w:t>
      </w:r>
      <w:bookmarkEnd w:id="4"/>
      <w:r w:rsidRPr="002F07BC">
        <w:rPr>
          <w:rFonts w:cstheme="minorHAnsi"/>
        </w:rPr>
        <w:t xml:space="preserve"> </w:t>
      </w:r>
    </w:p>
    <w:p w14:paraId="3B7A1457" w14:textId="77777777" w:rsidR="002F07BC" w:rsidRPr="002F07BC" w:rsidRDefault="002F07BC" w:rsidP="002F07BC">
      <w:pPr>
        <w:spacing w:after="0" w:line="240" w:lineRule="auto"/>
        <w:rPr>
          <w:rFonts w:cstheme="minorHAnsi"/>
        </w:rPr>
      </w:pPr>
    </w:p>
    <w:p w14:paraId="556B1E61" w14:textId="17772593" w:rsidR="002F07BC" w:rsidRPr="002F07BC" w:rsidRDefault="002F07BC" w:rsidP="002F07BC">
      <w:pPr>
        <w:spacing w:after="0" w:line="240" w:lineRule="auto"/>
        <w:rPr>
          <w:rFonts w:cstheme="minorHAnsi"/>
        </w:rPr>
      </w:pPr>
      <w:bookmarkStart w:id="5" w:name="_Toc483152336"/>
      <w:r w:rsidRPr="002F07BC">
        <w:rPr>
          <w:rFonts w:cstheme="minorHAnsi"/>
        </w:rPr>
        <w:t>Low commodity prices are also reflecting negatively on the development of the mining sector, in which there has been a downturn in the past couple of years with  many mining companies having left the country.  Coal accounted for 65% of the value of total extractive production in 2014. The total value of the 1.8 tonnes of coking coal and 1.3 tonnes of thermic coal produced was roughly USD 330 million.</w:t>
      </w:r>
      <w:r w:rsidRPr="002F07BC">
        <w:rPr>
          <w:rFonts w:cstheme="minorHAnsi"/>
          <w:vertAlign w:val="superscript"/>
        </w:rPr>
        <w:t xml:space="preserve"> </w:t>
      </w:r>
      <w:r>
        <w:rPr>
          <w:rFonts w:cstheme="minorHAnsi"/>
          <w:vertAlign w:val="superscript"/>
        </w:rPr>
        <w:t xml:space="preserve"> </w:t>
      </w:r>
      <w:r w:rsidRPr="002F07BC">
        <w:rPr>
          <w:rFonts w:cstheme="minorHAnsi"/>
        </w:rPr>
        <w:t>The vast majority of the minerals produced were exported.</w:t>
      </w:r>
      <w:bookmarkEnd w:id="5"/>
      <w:r w:rsidRPr="002F07BC">
        <w:rPr>
          <w:rFonts w:cstheme="minorHAnsi"/>
        </w:rPr>
        <w:t xml:space="preserve"> </w:t>
      </w:r>
    </w:p>
    <w:p w14:paraId="097941BD" w14:textId="77777777" w:rsidR="002F07BC" w:rsidRPr="002F07BC" w:rsidRDefault="002F07BC" w:rsidP="002F07BC">
      <w:pPr>
        <w:spacing w:after="0" w:line="240" w:lineRule="auto"/>
        <w:rPr>
          <w:rFonts w:cstheme="minorHAnsi"/>
        </w:rPr>
      </w:pPr>
    </w:p>
    <w:p w14:paraId="0BDBA29D" w14:textId="77777777" w:rsidR="002F07BC" w:rsidRPr="002F07BC" w:rsidRDefault="002F07BC" w:rsidP="002F07BC">
      <w:pPr>
        <w:spacing w:after="0" w:line="240" w:lineRule="auto"/>
        <w:rPr>
          <w:rFonts w:cstheme="minorHAnsi"/>
        </w:rPr>
      </w:pPr>
      <w:bookmarkStart w:id="6" w:name="_Toc483152337"/>
      <w:r w:rsidRPr="002F07BC">
        <w:rPr>
          <w:rFonts w:cstheme="minorHAnsi"/>
        </w:rPr>
        <w:t>The laws for the petroleum and mining sectors (</w:t>
      </w:r>
      <w:r w:rsidRPr="002F07BC">
        <w:rPr>
          <w:rFonts w:cstheme="minorHAnsi"/>
          <w:i/>
        </w:rPr>
        <w:t xml:space="preserve">“Lei 20 2014, Lei dos </w:t>
      </w:r>
      <w:proofErr w:type="spellStart"/>
      <w:r w:rsidRPr="002F07BC">
        <w:rPr>
          <w:rFonts w:cstheme="minorHAnsi"/>
          <w:i/>
        </w:rPr>
        <w:t>Petroleos</w:t>
      </w:r>
      <w:proofErr w:type="spellEnd"/>
      <w:r w:rsidRPr="002F07BC">
        <w:rPr>
          <w:rFonts w:cstheme="minorHAnsi"/>
          <w:i/>
        </w:rPr>
        <w:t xml:space="preserve">” – Petroleum Law </w:t>
      </w:r>
      <w:r w:rsidRPr="002F07BC">
        <w:rPr>
          <w:rFonts w:cstheme="minorHAnsi"/>
        </w:rPr>
        <w:t xml:space="preserve">and </w:t>
      </w:r>
      <w:r w:rsidRPr="002F07BC">
        <w:rPr>
          <w:rFonts w:cstheme="minorHAnsi"/>
          <w:i/>
        </w:rPr>
        <w:t>“Lei 21 2014, Lei de Minas” – Mining L</w:t>
      </w:r>
      <w:r w:rsidRPr="002F07BC">
        <w:rPr>
          <w:rFonts w:cstheme="minorHAnsi"/>
        </w:rPr>
        <w:t>aw) were revised in 2014. </w:t>
      </w:r>
      <w:r w:rsidRPr="002F07BC">
        <w:rPr>
          <w:rFonts w:cstheme="minorHAnsi"/>
          <w:lang w:bidi="en-US"/>
        </w:rPr>
        <w:t xml:space="preserve">The laws do not explicitly mention the EITI, although they make company disclosure of profits, payments to the state and social contributions mandatory, without specifying how these disclosures are to be made. </w:t>
      </w:r>
      <w:r w:rsidRPr="002F07BC">
        <w:rPr>
          <w:rFonts w:cstheme="minorHAnsi"/>
        </w:rPr>
        <w:t>The new legislation strengthens state participation in the hydrocarbon sector and creates opportunities for increased Mozambican participation. Foreign investors are required to be registered in a transparent jurisdiction where ownership can be confirmed but the government does not maintain a public register of beneficial owners.</w:t>
      </w:r>
      <w:bookmarkEnd w:id="6"/>
    </w:p>
    <w:p w14:paraId="03FA284C" w14:textId="77777777" w:rsidR="002F07BC" w:rsidRPr="002F07BC" w:rsidRDefault="002F07BC" w:rsidP="002F07BC">
      <w:pPr>
        <w:spacing w:after="0" w:line="240" w:lineRule="auto"/>
        <w:rPr>
          <w:rFonts w:cstheme="minorHAnsi"/>
        </w:rPr>
      </w:pPr>
    </w:p>
    <w:p w14:paraId="2EE8951F" w14:textId="77777777" w:rsidR="002F07BC" w:rsidRPr="002F07BC" w:rsidRDefault="002F07BC" w:rsidP="002F07BC">
      <w:pPr>
        <w:spacing w:after="0" w:line="240" w:lineRule="auto"/>
        <w:rPr>
          <w:rFonts w:cstheme="minorHAnsi"/>
          <w:lang w:bidi="en-US"/>
        </w:rPr>
      </w:pPr>
      <w:bookmarkStart w:id="7" w:name="_Toc483152338"/>
      <w:r w:rsidRPr="002F07BC">
        <w:rPr>
          <w:rFonts w:cstheme="minorHAnsi"/>
        </w:rPr>
        <w:lastRenderedPageBreak/>
        <w:t>Despite decreasing levels of production, Mozambique’s EITI Reports show that extractive revenues have increased nearly ten-fold since 2011, and accounted for 27% of total government revenue in 2014. The gas sector contributed 90% of the over USD 1 billion total extractives revenue. This was mainly due to collection of capital gains tax payments, which constituted 71% of the revenues from the sector,  and corporate income tax (19%). The value of gas royalties received in kind was USD 5 million.</w:t>
      </w:r>
      <w:r w:rsidRPr="002F07BC">
        <w:rPr>
          <w:rFonts w:cstheme="minorHAnsi"/>
          <w:vertAlign w:val="superscript"/>
        </w:rPr>
        <w:footnoteReference w:id="1"/>
      </w:r>
      <w:r w:rsidRPr="002F07BC">
        <w:rPr>
          <w:rFonts w:cstheme="minorHAnsi"/>
        </w:rPr>
        <w:t xml:space="preserve"> </w:t>
      </w:r>
      <w:bookmarkEnd w:id="7"/>
    </w:p>
    <w:p w14:paraId="42CA1588" w14:textId="77777777" w:rsidR="00A912CB" w:rsidRDefault="00A912CB" w:rsidP="00344212">
      <w:pPr>
        <w:spacing w:after="0" w:line="240" w:lineRule="auto"/>
        <w:rPr>
          <w:rFonts w:cstheme="minorHAnsi"/>
        </w:rPr>
      </w:pPr>
    </w:p>
    <w:p w14:paraId="4F81F6EC" w14:textId="77777777" w:rsidR="0080481D" w:rsidRDefault="0080481D" w:rsidP="0080481D">
      <w:pPr>
        <w:spacing w:after="0" w:line="240" w:lineRule="auto"/>
        <w:rPr>
          <w:rFonts w:cstheme="minorHAnsi"/>
        </w:rPr>
      </w:pPr>
      <w:r w:rsidRPr="0080481D">
        <w:rPr>
          <w:rFonts w:cstheme="minorHAnsi"/>
          <w:bCs/>
        </w:rPr>
        <w:t>The Government of Mozambique committed to implementing the EITI in 2008 and a multi-stakeholder group was formed in early 2009 to oversee EITI implementation. T</w:t>
      </w:r>
      <w:r w:rsidRPr="0080481D">
        <w:rPr>
          <w:rFonts w:cstheme="minorHAnsi"/>
        </w:rPr>
        <w:t>he country was accepted as an EITI candidate in February 2009, and became compliant with the 2011 EITI Rules in October 2012.</w:t>
      </w:r>
    </w:p>
    <w:p w14:paraId="233804A9" w14:textId="77777777" w:rsidR="00351A16" w:rsidRDefault="00351A16" w:rsidP="0080481D">
      <w:pPr>
        <w:spacing w:after="0" w:line="240" w:lineRule="auto"/>
        <w:rPr>
          <w:rFonts w:cstheme="minorHAnsi"/>
        </w:rPr>
      </w:pPr>
    </w:p>
    <w:p w14:paraId="1F7D58E3" w14:textId="3DC112B6" w:rsidR="00351A16" w:rsidRPr="002F07BC" w:rsidRDefault="00351A16" w:rsidP="00351A16">
      <w:pPr>
        <w:spacing w:after="0" w:line="240" w:lineRule="auto"/>
        <w:rPr>
          <w:rFonts w:cstheme="minorHAnsi"/>
        </w:rPr>
      </w:pPr>
      <w:bookmarkStart w:id="8" w:name="_Toc483152339"/>
      <w:r w:rsidRPr="002F07BC">
        <w:rPr>
          <w:rFonts w:cstheme="minorHAnsi"/>
        </w:rPr>
        <w:t>Some of the key issues in the sector that the EITI has the potential to address include ensuring that the state’s participation in the sector is managed in a tra</w:t>
      </w:r>
      <w:r w:rsidR="00AD6512">
        <w:rPr>
          <w:rFonts w:cstheme="minorHAnsi"/>
        </w:rPr>
        <w:t>nsparent and accountable manner</w:t>
      </w:r>
      <w:r w:rsidRPr="002F07BC">
        <w:rPr>
          <w:rFonts w:cstheme="minorHAnsi"/>
        </w:rPr>
        <w:t xml:space="preserve">, monitoring of legal provisions related to disclosure of contracts, subnational transfers to communities and local content, highlighting the necessary data to address transfer pricing and trade </w:t>
      </w:r>
      <w:proofErr w:type="spellStart"/>
      <w:r w:rsidRPr="002F07BC">
        <w:rPr>
          <w:rFonts w:cstheme="minorHAnsi"/>
        </w:rPr>
        <w:t>misinvoicing</w:t>
      </w:r>
      <w:proofErr w:type="spellEnd"/>
      <w:r w:rsidRPr="002F07BC">
        <w:rPr>
          <w:rFonts w:cstheme="minorHAnsi"/>
        </w:rPr>
        <w:t xml:space="preserve"> and ensuring  a level playing field for companies and investors.</w:t>
      </w:r>
      <w:bookmarkEnd w:id="8"/>
    </w:p>
    <w:p w14:paraId="129E5DFB" w14:textId="7E9A7DBA" w:rsidR="00635030" w:rsidRPr="005625E1" w:rsidRDefault="00635030" w:rsidP="00F12713">
      <w:pPr>
        <w:spacing w:after="0" w:line="240" w:lineRule="auto"/>
        <w:rPr>
          <w:rFonts w:cstheme="minorHAnsi"/>
        </w:rPr>
      </w:pPr>
    </w:p>
    <w:p w14:paraId="620C5795" w14:textId="6824331F" w:rsidR="00392B71" w:rsidRPr="005625E1" w:rsidRDefault="00EB73CC" w:rsidP="00F12713">
      <w:pPr>
        <w:spacing w:after="0" w:line="240" w:lineRule="auto"/>
        <w:rPr>
          <w:rFonts w:cstheme="minorHAnsi"/>
        </w:rPr>
      </w:pPr>
      <w:r>
        <w:rPr>
          <w:rFonts w:cstheme="minorHAnsi"/>
        </w:rPr>
        <w:t>In line with</w:t>
      </w:r>
      <w:r w:rsidR="004D7FC9" w:rsidRPr="005625E1">
        <w:rPr>
          <w:rFonts w:cstheme="minorHAnsi"/>
        </w:rPr>
        <w:t xml:space="preserve"> the Validation Guide, the International Secretariat carried out the first phase of validation</w:t>
      </w:r>
      <w:r w:rsidR="00E746A6" w:rsidRPr="005625E1">
        <w:rPr>
          <w:rFonts w:cstheme="minorHAnsi"/>
        </w:rPr>
        <w:t>—</w:t>
      </w:r>
      <w:r w:rsidR="004D7FC9" w:rsidRPr="005625E1">
        <w:rPr>
          <w:rFonts w:cstheme="minorHAnsi"/>
        </w:rPr>
        <w:t xml:space="preserve">initial data collection, stakeholder consultations, and preparation of their initial evaluation of progress against the EITI requirements </w:t>
      </w:r>
      <w:r w:rsidR="00A57147">
        <w:rPr>
          <w:rFonts w:cstheme="minorHAnsi"/>
        </w:rPr>
        <w:t>(the “Initial Assessment”). Adam Smith International (ASI)</w:t>
      </w:r>
      <w:r w:rsidR="004D7FC9" w:rsidRPr="005625E1">
        <w:rPr>
          <w:rFonts w:cstheme="minorHAnsi"/>
        </w:rPr>
        <w:t xml:space="preserve"> was appointed as the independent Validator to evaluate whether the Secretariat’s work </w:t>
      </w:r>
      <w:r w:rsidR="003C7904" w:rsidRPr="005625E1">
        <w:rPr>
          <w:rFonts w:cstheme="minorHAnsi"/>
        </w:rPr>
        <w:t xml:space="preserve">was </w:t>
      </w:r>
      <w:r w:rsidR="004D7FC9" w:rsidRPr="005625E1">
        <w:rPr>
          <w:rFonts w:cstheme="minorHAnsi"/>
        </w:rPr>
        <w:t>carried out in accordance</w:t>
      </w:r>
      <w:r w:rsidR="00A57147">
        <w:rPr>
          <w:rFonts w:cstheme="minorHAnsi"/>
        </w:rPr>
        <w:t xml:space="preserve"> with the Validation Guide. ASI</w:t>
      </w:r>
      <w:r w:rsidR="003C7904" w:rsidRPr="005625E1">
        <w:rPr>
          <w:rFonts w:cstheme="minorHAnsi"/>
        </w:rPr>
        <w:t>’s</w:t>
      </w:r>
      <w:r w:rsidR="004D7FC9" w:rsidRPr="005625E1">
        <w:rPr>
          <w:rFonts w:cstheme="minorHAnsi"/>
        </w:rPr>
        <w:t xml:space="preserve"> </w:t>
      </w:r>
      <w:r w:rsidR="00783488" w:rsidRPr="005625E1">
        <w:rPr>
          <w:rFonts w:cstheme="minorHAnsi"/>
        </w:rPr>
        <w:t xml:space="preserve">principal responsibilities as Validator are to </w:t>
      </w:r>
      <w:r w:rsidR="004D7FC9" w:rsidRPr="005625E1">
        <w:rPr>
          <w:rFonts w:cstheme="minorHAnsi"/>
        </w:rPr>
        <w:t>review and amend the Initial Assessment, as needed, and</w:t>
      </w:r>
      <w:r w:rsidR="007D33F8" w:rsidRPr="005625E1">
        <w:rPr>
          <w:rFonts w:cstheme="minorHAnsi"/>
        </w:rPr>
        <w:t xml:space="preserve"> to</w:t>
      </w:r>
      <w:r w:rsidR="004D7FC9" w:rsidRPr="005625E1">
        <w:rPr>
          <w:rFonts w:cstheme="minorHAnsi"/>
        </w:rPr>
        <w:t xml:space="preserve"> summarize its independent review in </w:t>
      </w:r>
      <w:r w:rsidR="00783488" w:rsidRPr="005625E1">
        <w:rPr>
          <w:rFonts w:cstheme="minorHAnsi"/>
        </w:rPr>
        <w:t xml:space="preserve">this </w:t>
      </w:r>
      <w:r w:rsidR="004D7FC9" w:rsidRPr="005625E1">
        <w:rPr>
          <w:rFonts w:cstheme="minorHAnsi"/>
        </w:rPr>
        <w:t>Validation Report for submission to the Board</w:t>
      </w:r>
      <w:r w:rsidR="007D33F8" w:rsidRPr="005625E1">
        <w:rPr>
          <w:rFonts w:cstheme="minorHAnsi"/>
        </w:rPr>
        <w:t xml:space="preserve"> through the Validation Committee</w:t>
      </w:r>
      <w:r w:rsidR="004D7FC9" w:rsidRPr="005625E1">
        <w:rPr>
          <w:rFonts w:cstheme="minorHAnsi"/>
        </w:rPr>
        <w:t xml:space="preserve">. </w:t>
      </w:r>
    </w:p>
    <w:p w14:paraId="17302B13" w14:textId="77777777" w:rsidR="00E75A5A" w:rsidRPr="005625E1" w:rsidRDefault="00E75A5A" w:rsidP="00F12713">
      <w:pPr>
        <w:spacing w:after="0" w:line="240" w:lineRule="auto"/>
        <w:rPr>
          <w:rFonts w:cstheme="minorHAnsi"/>
          <w:b/>
          <w:color w:val="365F91" w:themeColor="accent1" w:themeShade="BF"/>
        </w:rPr>
      </w:pPr>
    </w:p>
    <w:p w14:paraId="2DF12C34" w14:textId="77777777" w:rsidR="00171CE0" w:rsidRPr="005625E1" w:rsidRDefault="00171CE0" w:rsidP="00F12713">
      <w:pPr>
        <w:pStyle w:val="ListParagraph"/>
        <w:numPr>
          <w:ilvl w:val="0"/>
          <w:numId w:val="2"/>
        </w:numPr>
        <w:spacing w:after="0" w:line="240" w:lineRule="auto"/>
        <w:rPr>
          <w:rFonts w:cstheme="minorHAnsi"/>
          <w:b/>
          <w:color w:val="365F91" w:themeColor="accent1" w:themeShade="BF"/>
        </w:rPr>
      </w:pPr>
      <w:r w:rsidRPr="005625E1">
        <w:rPr>
          <w:rFonts w:cstheme="minorHAnsi"/>
          <w:b/>
          <w:color w:val="365F91" w:themeColor="accent1" w:themeShade="BF"/>
        </w:rPr>
        <w:t>Work Performed by the Independent Validator</w:t>
      </w:r>
    </w:p>
    <w:p w14:paraId="1839987E" w14:textId="77777777" w:rsidR="00803CB3" w:rsidRPr="005625E1" w:rsidRDefault="00803CB3" w:rsidP="00F12713">
      <w:pPr>
        <w:pStyle w:val="ListParagraph"/>
        <w:widowControl w:val="0"/>
        <w:suppressAutoHyphens/>
        <w:spacing w:after="0" w:line="240" w:lineRule="auto"/>
        <w:rPr>
          <w:rFonts w:cstheme="minorHAnsi"/>
        </w:rPr>
      </w:pPr>
    </w:p>
    <w:p w14:paraId="1C24EF9E" w14:textId="0C47C827" w:rsidR="00E53F90" w:rsidRPr="005625E1" w:rsidRDefault="00F64F77" w:rsidP="00E53F90">
      <w:pPr>
        <w:widowControl w:val="0"/>
        <w:suppressAutoHyphens/>
        <w:spacing w:after="0" w:line="240" w:lineRule="auto"/>
        <w:rPr>
          <w:rFonts w:eastAsia="Times New Roman" w:cstheme="minorHAnsi"/>
          <w:bCs/>
          <w:color w:val="FF0000"/>
          <w:highlight w:val="yellow"/>
          <w:lang w:eastAsia="fr-FR"/>
        </w:rPr>
      </w:pPr>
      <w:r w:rsidRPr="005625E1">
        <w:rPr>
          <w:rFonts w:cstheme="minorHAnsi"/>
        </w:rPr>
        <w:t>The Secretariat</w:t>
      </w:r>
      <w:r w:rsidR="004D7FC9" w:rsidRPr="005625E1">
        <w:rPr>
          <w:rFonts w:cstheme="minorHAnsi"/>
        </w:rPr>
        <w:t xml:space="preserve">’s Initial Assessment was transmitted to </w:t>
      </w:r>
      <w:r w:rsidR="00A57147">
        <w:rPr>
          <w:rFonts w:cstheme="minorHAnsi"/>
        </w:rPr>
        <w:t>ASI</w:t>
      </w:r>
      <w:r w:rsidR="004D7FC9" w:rsidRPr="005625E1">
        <w:rPr>
          <w:rFonts w:cstheme="minorHAnsi"/>
        </w:rPr>
        <w:t xml:space="preserve"> on </w:t>
      </w:r>
      <w:r w:rsidR="00BE6D69">
        <w:rPr>
          <w:rFonts w:cstheme="minorHAnsi"/>
        </w:rPr>
        <w:t>9</w:t>
      </w:r>
      <w:r w:rsidR="005560CF" w:rsidRPr="005560CF">
        <w:rPr>
          <w:rFonts w:cstheme="minorHAnsi"/>
          <w:vertAlign w:val="superscript"/>
        </w:rPr>
        <w:t>th</w:t>
      </w:r>
      <w:r w:rsidR="005560CF">
        <w:rPr>
          <w:rFonts w:cstheme="minorHAnsi"/>
        </w:rPr>
        <w:t xml:space="preserve"> June,</w:t>
      </w:r>
      <w:r w:rsidR="00635030" w:rsidRPr="005625E1">
        <w:rPr>
          <w:rFonts w:cstheme="minorHAnsi"/>
        </w:rPr>
        <w:t xml:space="preserve"> 2017</w:t>
      </w:r>
      <w:r w:rsidR="004D7FC9" w:rsidRPr="005625E1">
        <w:rPr>
          <w:rFonts w:cstheme="minorHAnsi"/>
        </w:rPr>
        <w:t xml:space="preserve">. </w:t>
      </w:r>
      <w:r w:rsidRPr="005625E1">
        <w:rPr>
          <w:rFonts w:cstheme="minorHAnsi"/>
        </w:rPr>
        <w:t xml:space="preserve"> </w:t>
      </w:r>
      <w:r w:rsidR="004D7FC9" w:rsidRPr="005625E1">
        <w:rPr>
          <w:rFonts w:cstheme="minorHAnsi"/>
        </w:rPr>
        <w:t xml:space="preserve">Our </w:t>
      </w:r>
      <w:r w:rsidR="00803CB3" w:rsidRPr="005625E1">
        <w:rPr>
          <w:rFonts w:eastAsia="Times New Roman" w:cstheme="minorHAnsi"/>
          <w:bCs/>
          <w:lang w:eastAsia="fr-FR"/>
        </w:rPr>
        <w:t xml:space="preserve">Validation Team </w:t>
      </w:r>
      <w:r w:rsidR="004D7FC9" w:rsidRPr="005625E1">
        <w:rPr>
          <w:rFonts w:eastAsia="Times New Roman" w:cstheme="minorHAnsi"/>
          <w:bCs/>
          <w:lang w:eastAsia="fr-FR"/>
        </w:rPr>
        <w:t xml:space="preserve">undertook this phase of the Validation process </w:t>
      </w:r>
      <w:r w:rsidR="00803CB3" w:rsidRPr="005625E1">
        <w:rPr>
          <w:rFonts w:eastAsia="Times New Roman" w:cstheme="minorHAnsi"/>
          <w:bCs/>
          <w:lang w:eastAsia="fr-FR"/>
        </w:rPr>
        <w:t xml:space="preserve">through: (1) In-depth review and marking up of the EITI Assessment by </w:t>
      </w:r>
      <w:r w:rsidR="00AB786F" w:rsidRPr="005625E1">
        <w:rPr>
          <w:rFonts w:eastAsia="Times New Roman" w:cstheme="minorHAnsi"/>
          <w:bCs/>
          <w:lang w:eastAsia="fr-FR"/>
        </w:rPr>
        <w:t xml:space="preserve">each </w:t>
      </w:r>
      <w:r w:rsidR="00803CB3" w:rsidRPr="005625E1">
        <w:rPr>
          <w:rFonts w:eastAsia="Times New Roman" w:cstheme="minorHAnsi"/>
          <w:bCs/>
          <w:lang w:eastAsia="fr-FR"/>
        </w:rPr>
        <w:t>team</w:t>
      </w:r>
      <w:r w:rsidR="00AB786F" w:rsidRPr="005625E1">
        <w:rPr>
          <w:rFonts w:eastAsia="Times New Roman" w:cstheme="minorHAnsi"/>
          <w:bCs/>
          <w:lang w:eastAsia="fr-FR"/>
        </w:rPr>
        <w:t xml:space="preserve"> member</w:t>
      </w:r>
      <w:r w:rsidR="00803CB3" w:rsidRPr="005625E1">
        <w:rPr>
          <w:rFonts w:eastAsia="Times New Roman" w:cstheme="minorHAnsi"/>
          <w:bCs/>
          <w:lang w:eastAsia="fr-FR"/>
        </w:rPr>
        <w:t>; (</w:t>
      </w:r>
      <w:r w:rsidR="004A0786" w:rsidRPr="005625E1">
        <w:rPr>
          <w:rFonts w:eastAsia="Times New Roman" w:cstheme="minorHAnsi"/>
          <w:bCs/>
          <w:lang w:eastAsia="fr-FR"/>
        </w:rPr>
        <w:t>2</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Multi-Stakeholder Specialist of Requireme</w:t>
      </w:r>
      <w:r w:rsidR="00954096">
        <w:rPr>
          <w:rFonts w:eastAsia="Times New Roman" w:cstheme="minorHAnsi"/>
          <w:bCs/>
          <w:lang w:eastAsia="fr-FR"/>
        </w:rPr>
        <w:t>nts 1 and the Civil Society Protocol</w:t>
      </w:r>
      <w:r w:rsidR="00803CB3" w:rsidRPr="005625E1">
        <w:rPr>
          <w:rFonts w:eastAsia="Times New Roman" w:cstheme="minorHAnsi"/>
          <w:bCs/>
          <w:lang w:eastAsia="fr-FR"/>
        </w:rPr>
        <w:t>; (</w:t>
      </w:r>
      <w:r w:rsidR="004A0786" w:rsidRPr="005625E1">
        <w:rPr>
          <w:rFonts w:eastAsia="Times New Roman" w:cstheme="minorHAnsi"/>
          <w:bCs/>
          <w:lang w:eastAsia="fr-FR"/>
        </w:rPr>
        <w:t>3</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Financ</w:t>
      </w:r>
      <w:r w:rsidR="00954096">
        <w:rPr>
          <w:rFonts w:eastAsia="Times New Roman" w:cstheme="minorHAnsi"/>
          <w:bCs/>
          <w:lang w:eastAsia="fr-FR"/>
        </w:rPr>
        <w:t xml:space="preserve">ial Specialist of Requirements 4, 5 and </w:t>
      </w:r>
      <w:r w:rsidR="00803CB3" w:rsidRPr="005625E1">
        <w:rPr>
          <w:rFonts w:eastAsia="Times New Roman" w:cstheme="minorHAnsi"/>
          <w:bCs/>
          <w:lang w:eastAsia="fr-FR"/>
        </w:rPr>
        <w:t>6; (</w:t>
      </w:r>
      <w:r w:rsidR="00FC4788">
        <w:rPr>
          <w:rFonts w:eastAsia="Times New Roman" w:cstheme="minorHAnsi"/>
          <w:bCs/>
          <w:lang w:eastAsia="fr-FR"/>
        </w:rPr>
        <w:t xml:space="preserve">4) </w:t>
      </w:r>
      <w:r w:rsidR="00C71C1F">
        <w:rPr>
          <w:rFonts w:eastAsia="Times New Roman" w:cstheme="minorHAnsi"/>
          <w:bCs/>
          <w:lang w:eastAsia="fr-FR"/>
        </w:rPr>
        <w:t>C</w:t>
      </w:r>
      <w:r w:rsidR="001A386F" w:rsidRPr="005625E1">
        <w:rPr>
          <w:rFonts w:eastAsia="Times New Roman" w:cstheme="minorHAnsi"/>
          <w:bCs/>
          <w:lang w:eastAsia="fr-FR"/>
        </w:rPr>
        <w:t xml:space="preserve">onsolidation of reviews and </w:t>
      </w:r>
      <w:r w:rsidR="00D82592">
        <w:rPr>
          <w:rFonts w:eastAsia="Times New Roman" w:cstheme="minorHAnsi"/>
          <w:bCs/>
          <w:lang w:eastAsia="fr-FR"/>
        </w:rPr>
        <w:t>the production of this</w:t>
      </w:r>
      <w:r w:rsidR="00A57147">
        <w:rPr>
          <w:rFonts w:eastAsia="Times New Roman" w:cstheme="minorHAnsi"/>
          <w:bCs/>
          <w:lang w:eastAsia="fr-FR"/>
        </w:rPr>
        <w:t xml:space="preserve"> draft</w:t>
      </w:r>
      <w:r w:rsidR="001A386F" w:rsidRPr="005625E1">
        <w:rPr>
          <w:rFonts w:eastAsia="Times New Roman" w:cstheme="minorHAnsi"/>
          <w:bCs/>
          <w:lang w:eastAsia="fr-FR"/>
        </w:rPr>
        <w:t xml:space="preserve"> Validation Report</w:t>
      </w:r>
      <w:r w:rsidR="00AE5306">
        <w:rPr>
          <w:rFonts w:eastAsia="Times New Roman" w:cstheme="minorHAnsi"/>
          <w:bCs/>
          <w:lang w:eastAsia="fr-FR"/>
        </w:rPr>
        <w:t xml:space="preserve">, send to the International </w:t>
      </w:r>
      <w:r w:rsidR="008A75CE">
        <w:rPr>
          <w:rFonts w:eastAsia="Times New Roman" w:cstheme="minorHAnsi"/>
          <w:bCs/>
          <w:lang w:eastAsia="fr-FR"/>
        </w:rPr>
        <w:t>Secretariat on the 30</w:t>
      </w:r>
      <w:r w:rsidR="00AE5306" w:rsidRPr="00AE5306">
        <w:rPr>
          <w:rFonts w:eastAsia="Times New Roman" w:cstheme="minorHAnsi"/>
          <w:bCs/>
          <w:vertAlign w:val="superscript"/>
          <w:lang w:eastAsia="fr-FR"/>
        </w:rPr>
        <w:t>th</w:t>
      </w:r>
      <w:r w:rsidR="00AE5306">
        <w:rPr>
          <w:rFonts w:eastAsia="Times New Roman" w:cstheme="minorHAnsi"/>
          <w:bCs/>
          <w:lang w:eastAsia="fr-FR"/>
        </w:rPr>
        <w:t xml:space="preserve"> June.</w:t>
      </w:r>
    </w:p>
    <w:p w14:paraId="17014EBA" w14:textId="530A403E" w:rsidR="00572CE5" w:rsidRPr="00CA7E4C" w:rsidRDefault="00572CE5" w:rsidP="00F12713">
      <w:pPr>
        <w:spacing w:after="0" w:line="240" w:lineRule="auto"/>
        <w:rPr>
          <w:rFonts w:cstheme="minorHAnsi"/>
        </w:rPr>
      </w:pPr>
    </w:p>
    <w:p w14:paraId="54B24071" w14:textId="77777777" w:rsidR="00C71C1F" w:rsidRPr="00F62BD3" w:rsidRDefault="00C71C1F" w:rsidP="00392B71">
      <w:pPr>
        <w:pStyle w:val="ListParagraph"/>
        <w:spacing w:after="0" w:line="240" w:lineRule="auto"/>
        <w:rPr>
          <w:rFonts w:cstheme="minorHAnsi"/>
          <w:b/>
        </w:rPr>
      </w:pPr>
    </w:p>
    <w:p w14:paraId="28360106" w14:textId="7A3F215D" w:rsidR="00572CE5" w:rsidRPr="005625E1" w:rsidRDefault="00572CE5" w:rsidP="00F12713">
      <w:pPr>
        <w:pStyle w:val="ListParagraph"/>
        <w:numPr>
          <w:ilvl w:val="0"/>
          <w:numId w:val="2"/>
        </w:numPr>
        <w:spacing w:after="0" w:line="240" w:lineRule="auto"/>
        <w:rPr>
          <w:rFonts w:cstheme="minorHAnsi"/>
          <w:b/>
        </w:rPr>
      </w:pPr>
      <w:r w:rsidRPr="005625E1">
        <w:rPr>
          <w:rFonts w:cstheme="minorHAnsi"/>
          <w:b/>
          <w:color w:val="365F91" w:themeColor="accent1" w:themeShade="BF"/>
        </w:rPr>
        <w:t>C</w:t>
      </w:r>
      <w:r w:rsidR="00511804" w:rsidRPr="005625E1">
        <w:rPr>
          <w:rFonts w:cstheme="minorHAnsi"/>
          <w:b/>
          <w:color w:val="365F91" w:themeColor="accent1" w:themeShade="BF"/>
        </w:rPr>
        <w:t>omments</w:t>
      </w:r>
      <w:r w:rsidRPr="005625E1">
        <w:rPr>
          <w:rFonts w:cstheme="minorHAnsi"/>
          <w:b/>
          <w:color w:val="365F91" w:themeColor="accent1" w:themeShade="BF"/>
        </w:rPr>
        <w:t xml:space="preserve"> on the Limitations of the </w:t>
      </w:r>
      <w:r w:rsidR="00DD1148" w:rsidRPr="005625E1">
        <w:rPr>
          <w:rFonts w:cstheme="minorHAnsi"/>
          <w:b/>
          <w:color w:val="365F91" w:themeColor="accent1" w:themeShade="BF"/>
        </w:rPr>
        <w:t>Validation</w:t>
      </w:r>
    </w:p>
    <w:p w14:paraId="3AD219A6" w14:textId="77777777" w:rsidR="00572CE5" w:rsidRPr="005625E1" w:rsidRDefault="00572CE5" w:rsidP="00F12713">
      <w:pPr>
        <w:spacing w:after="0" w:line="240" w:lineRule="auto"/>
        <w:rPr>
          <w:rFonts w:cstheme="minorHAnsi"/>
        </w:rPr>
      </w:pPr>
    </w:p>
    <w:p w14:paraId="7B943A2D" w14:textId="76A26862" w:rsidR="00573AAF" w:rsidRDefault="00865D33" w:rsidP="00F12713">
      <w:pPr>
        <w:widowControl w:val="0"/>
        <w:suppressAutoHyphens/>
        <w:spacing w:after="0" w:line="240" w:lineRule="auto"/>
        <w:rPr>
          <w:rFonts w:eastAsia="Times New Roman" w:cstheme="minorHAnsi"/>
        </w:rPr>
      </w:pPr>
      <w:r>
        <w:rPr>
          <w:rFonts w:eastAsia="Times New Roman" w:cstheme="minorHAnsi"/>
        </w:rPr>
        <w:t>The Validator carefully reviewed the Secretariat’s Initial Assessment and at this stage has two comments on the limitation of the validation process.</w:t>
      </w:r>
    </w:p>
    <w:p w14:paraId="0855DF57" w14:textId="77777777" w:rsidR="00B83C18" w:rsidRDefault="00B83C18" w:rsidP="00F12713">
      <w:pPr>
        <w:widowControl w:val="0"/>
        <w:suppressAutoHyphens/>
        <w:spacing w:after="0" w:line="240" w:lineRule="auto"/>
        <w:rPr>
          <w:rFonts w:eastAsia="Times New Roman" w:cstheme="minorHAnsi"/>
        </w:rPr>
      </w:pPr>
    </w:p>
    <w:p w14:paraId="48CD625F" w14:textId="3875BA71" w:rsidR="00B048C2" w:rsidRPr="002B2BB3" w:rsidRDefault="00B048C2" w:rsidP="00F12713">
      <w:pPr>
        <w:widowControl w:val="0"/>
        <w:suppressAutoHyphens/>
        <w:spacing w:after="0" w:line="240" w:lineRule="auto"/>
        <w:rPr>
          <w:rFonts w:eastAsia="Times New Roman" w:cstheme="minorHAnsi"/>
        </w:rPr>
      </w:pPr>
      <w:r w:rsidRPr="002B2BB3">
        <w:rPr>
          <w:rFonts w:eastAsia="Times New Roman" w:cstheme="minorHAnsi"/>
        </w:rPr>
        <w:t xml:space="preserve">1.3 Civil Society Engagement.  The Civil Society Protocol – which currently stands in a separate part of the EITI Standard- has been tacitly included within requirement 1.3, in terms of assessment regarding expression, </w:t>
      </w:r>
      <w:proofErr w:type="spellStart"/>
      <w:r w:rsidRPr="002B2BB3">
        <w:rPr>
          <w:rFonts w:eastAsia="Times New Roman" w:cstheme="minorHAnsi"/>
        </w:rPr>
        <w:t>opertion</w:t>
      </w:r>
      <w:proofErr w:type="spellEnd"/>
      <w:r w:rsidRPr="002B2BB3">
        <w:rPr>
          <w:rFonts w:eastAsia="Times New Roman" w:cstheme="minorHAnsi"/>
        </w:rPr>
        <w:t xml:space="preserve">, association, engagement and access to public decision-making.  However, </w:t>
      </w:r>
      <w:proofErr w:type="spellStart"/>
      <w:r w:rsidRPr="002B2BB3">
        <w:rPr>
          <w:rFonts w:eastAsia="Times New Roman" w:cstheme="minorHAnsi"/>
        </w:rPr>
        <w:t>its</w:t>
      </w:r>
      <w:proofErr w:type="spellEnd"/>
      <w:r w:rsidRPr="002B2BB3">
        <w:rPr>
          <w:rFonts w:eastAsia="Times New Roman" w:cstheme="minorHAnsi"/>
        </w:rPr>
        <w:t xml:space="preserve"> not clear how the EITI Board and the validator “apply” the tests of the Civil Society Protocol to </w:t>
      </w:r>
      <w:r w:rsidR="00865D33" w:rsidRPr="002B2BB3">
        <w:rPr>
          <w:rFonts w:eastAsia="Times New Roman" w:cstheme="minorHAnsi"/>
        </w:rPr>
        <w:t>requirement 1.3 (and how this impacts on the score for this requirement).  More clarity needs to be provided here.</w:t>
      </w:r>
    </w:p>
    <w:p w14:paraId="2BCED1C5" w14:textId="77777777" w:rsidR="00B048C2" w:rsidRPr="002B2BB3" w:rsidRDefault="00B048C2" w:rsidP="00F12713">
      <w:pPr>
        <w:widowControl w:val="0"/>
        <w:suppressAutoHyphens/>
        <w:spacing w:after="0" w:line="240" w:lineRule="auto"/>
        <w:rPr>
          <w:rFonts w:eastAsia="Times New Roman" w:cstheme="minorHAnsi"/>
        </w:rPr>
      </w:pPr>
    </w:p>
    <w:p w14:paraId="6165C76C" w14:textId="06321164" w:rsidR="00B83C18" w:rsidRDefault="00B048C2" w:rsidP="00F12713">
      <w:pPr>
        <w:widowControl w:val="0"/>
        <w:suppressAutoHyphens/>
        <w:spacing w:after="0" w:line="240" w:lineRule="auto"/>
        <w:rPr>
          <w:rFonts w:eastAsia="Times New Roman" w:cstheme="minorHAnsi"/>
        </w:rPr>
      </w:pPr>
      <w:r w:rsidRPr="002B2BB3">
        <w:rPr>
          <w:rFonts w:eastAsia="Times New Roman" w:cstheme="minorHAnsi"/>
        </w:rPr>
        <w:t>3.2 P</w:t>
      </w:r>
      <w:r w:rsidR="00B83C18" w:rsidRPr="002B2BB3">
        <w:rPr>
          <w:rFonts w:eastAsia="Times New Roman" w:cstheme="minorHAnsi"/>
        </w:rPr>
        <w:t>roduction volumes</w:t>
      </w:r>
      <w:r w:rsidRPr="002B2BB3">
        <w:rPr>
          <w:rFonts w:eastAsia="Times New Roman" w:cstheme="minorHAnsi"/>
        </w:rPr>
        <w:t xml:space="preserve"> and 3.3</w:t>
      </w:r>
      <w:r w:rsidR="00B83C18" w:rsidRPr="002B2BB3">
        <w:rPr>
          <w:rFonts w:eastAsia="Times New Roman" w:cstheme="minorHAnsi"/>
        </w:rPr>
        <w:t xml:space="preserve"> </w:t>
      </w:r>
      <w:r w:rsidRPr="002B2BB3">
        <w:rPr>
          <w:rFonts w:eastAsia="Times New Roman" w:cstheme="minorHAnsi"/>
        </w:rPr>
        <w:t xml:space="preserve">Export volumes </w:t>
      </w:r>
      <w:r w:rsidR="00B83C18" w:rsidRPr="002B2BB3">
        <w:rPr>
          <w:rFonts w:eastAsia="Times New Roman" w:cstheme="minorHAnsi"/>
        </w:rPr>
        <w:t>– the Standard does not require a strong burden of proof on the reliability of production volumes.</w:t>
      </w:r>
    </w:p>
    <w:p w14:paraId="1888077F" w14:textId="77777777" w:rsidR="00573AAF" w:rsidRDefault="00573AAF" w:rsidP="00F12713">
      <w:pPr>
        <w:widowControl w:val="0"/>
        <w:suppressAutoHyphens/>
        <w:spacing w:after="0" w:line="240" w:lineRule="auto"/>
        <w:rPr>
          <w:rFonts w:eastAsia="Times New Roman" w:cstheme="minorHAnsi"/>
        </w:rPr>
      </w:pPr>
    </w:p>
    <w:p w14:paraId="64D315E3" w14:textId="77777777" w:rsidR="00C71C1F" w:rsidRPr="005625E1" w:rsidRDefault="00C71C1F" w:rsidP="00F12713">
      <w:pPr>
        <w:pStyle w:val="ListParagraph"/>
        <w:spacing w:after="0" w:line="240" w:lineRule="auto"/>
        <w:rPr>
          <w:rFonts w:cstheme="minorHAnsi"/>
          <w:b/>
          <w:color w:val="365F91" w:themeColor="accent1" w:themeShade="BF"/>
        </w:rPr>
      </w:pPr>
    </w:p>
    <w:p w14:paraId="1096F300" w14:textId="3E4AD76F" w:rsidR="00803CB3" w:rsidRPr="005625E1" w:rsidRDefault="00803CB3" w:rsidP="00F12713">
      <w:pPr>
        <w:pStyle w:val="ListParagraph"/>
        <w:numPr>
          <w:ilvl w:val="0"/>
          <w:numId w:val="2"/>
        </w:numPr>
        <w:spacing w:after="0" w:line="240" w:lineRule="auto"/>
        <w:rPr>
          <w:rFonts w:cstheme="minorHAnsi"/>
          <w:b/>
          <w:color w:val="365F91" w:themeColor="accent1" w:themeShade="BF"/>
        </w:rPr>
      </w:pPr>
      <w:r w:rsidRPr="005625E1">
        <w:rPr>
          <w:rFonts w:cstheme="minorHAnsi"/>
          <w:b/>
          <w:color w:val="365F91" w:themeColor="accent1" w:themeShade="BF"/>
        </w:rPr>
        <w:t xml:space="preserve">Comments on the </w:t>
      </w:r>
      <w:r w:rsidR="00A952F9" w:rsidRPr="005625E1">
        <w:rPr>
          <w:rFonts w:cstheme="minorHAnsi"/>
          <w:b/>
          <w:color w:val="365F91" w:themeColor="accent1" w:themeShade="BF"/>
        </w:rPr>
        <w:t xml:space="preserve">International Secretariat’s </w:t>
      </w:r>
      <w:r w:rsidRPr="005625E1">
        <w:rPr>
          <w:rFonts w:cstheme="minorHAnsi"/>
          <w:b/>
          <w:color w:val="365F91" w:themeColor="accent1" w:themeShade="BF"/>
        </w:rPr>
        <w:t xml:space="preserve">Initial Assessment </w:t>
      </w:r>
    </w:p>
    <w:p w14:paraId="14A8ACAE" w14:textId="77777777" w:rsidR="00F62BD3" w:rsidRDefault="00F62BD3" w:rsidP="00F12713">
      <w:pPr>
        <w:spacing w:after="0" w:line="240" w:lineRule="auto"/>
        <w:rPr>
          <w:rFonts w:eastAsia="Times New Roman" w:cstheme="minorHAnsi"/>
        </w:rPr>
      </w:pPr>
    </w:p>
    <w:p w14:paraId="7E32F375" w14:textId="77392837" w:rsidR="00E719C0" w:rsidRPr="00E719C0" w:rsidRDefault="00803CB3" w:rsidP="00E719C0">
      <w:pPr>
        <w:spacing w:after="0" w:line="240" w:lineRule="auto"/>
        <w:rPr>
          <w:rFonts w:eastAsia="Times New Roman" w:cstheme="minorHAnsi"/>
        </w:rPr>
      </w:pPr>
      <w:r w:rsidRPr="005625E1">
        <w:rPr>
          <w:rFonts w:eastAsia="Times New Roman" w:cstheme="minorHAnsi"/>
        </w:rPr>
        <w:t xml:space="preserve">The initial data collection, stakeholder consultations, and drafting of the </w:t>
      </w:r>
      <w:r w:rsidR="00000EAA" w:rsidRPr="005625E1">
        <w:rPr>
          <w:rFonts w:eastAsia="Times New Roman" w:cstheme="minorHAnsi"/>
        </w:rPr>
        <w:t xml:space="preserve">Initial </w:t>
      </w:r>
      <w:r w:rsidRPr="005625E1">
        <w:rPr>
          <w:rFonts w:eastAsia="Times New Roman" w:cstheme="minorHAnsi"/>
        </w:rPr>
        <w:t xml:space="preserve">Assessment were generally undertaken by the </w:t>
      </w:r>
      <w:r w:rsidR="00A952F9" w:rsidRPr="005625E1">
        <w:rPr>
          <w:rFonts w:eastAsia="Times New Roman" w:cstheme="minorHAnsi"/>
        </w:rPr>
        <w:t xml:space="preserve">International </w:t>
      </w:r>
      <w:r w:rsidRPr="005625E1">
        <w:rPr>
          <w:rFonts w:eastAsia="Times New Roman" w:cstheme="minorHAnsi"/>
        </w:rPr>
        <w:t>Secretariat</w:t>
      </w:r>
      <w:r w:rsidR="00000EAA" w:rsidRPr="005625E1">
        <w:rPr>
          <w:rFonts w:eastAsia="Times New Roman" w:cstheme="minorHAnsi"/>
        </w:rPr>
        <w:t xml:space="preserve"> </w:t>
      </w:r>
      <w:r w:rsidRPr="005625E1">
        <w:rPr>
          <w:rFonts w:eastAsia="Times New Roman" w:cstheme="minorHAnsi"/>
        </w:rPr>
        <w:t xml:space="preserve">in accordance with </w:t>
      </w:r>
      <w:r w:rsidR="00000EAA" w:rsidRPr="005625E1">
        <w:rPr>
          <w:rFonts w:eastAsia="Times New Roman" w:cstheme="minorHAnsi"/>
        </w:rPr>
        <w:t xml:space="preserve">the </w:t>
      </w:r>
      <w:r w:rsidRPr="005625E1">
        <w:rPr>
          <w:rFonts w:eastAsia="Times New Roman" w:cstheme="minorHAnsi"/>
        </w:rPr>
        <w:t xml:space="preserve">2016 Validation Guide. </w:t>
      </w:r>
      <w:r w:rsidR="00E719C0">
        <w:rPr>
          <w:rFonts w:eastAsia="Times New Roman" w:cstheme="minorHAnsi"/>
        </w:rPr>
        <w:t xml:space="preserve"> The data collection took place across three phases.  Firstly, from Ja</w:t>
      </w:r>
      <w:r w:rsidR="00CD3C6B">
        <w:rPr>
          <w:rFonts w:eastAsia="Times New Roman" w:cstheme="minorHAnsi"/>
        </w:rPr>
        <w:t>nuary – April</w:t>
      </w:r>
      <w:r w:rsidR="00E719C0">
        <w:rPr>
          <w:rFonts w:eastAsia="Times New Roman" w:cstheme="minorHAnsi"/>
        </w:rPr>
        <w:t xml:space="preserve"> 2017, a desk review of the </w:t>
      </w:r>
      <w:r w:rsidR="00E719C0" w:rsidRPr="00E719C0">
        <w:rPr>
          <w:rFonts w:eastAsia="Times New Roman" w:cstheme="minorHAnsi"/>
        </w:rPr>
        <w:t>available documentation relating to the country’s compliance with the EITI Standard, including but not limited to:</w:t>
      </w:r>
    </w:p>
    <w:p w14:paraId="03B2D900"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The EITI work plan and other planning documents such as budgets and communication plans;</w:t>
      </w:r>
    </w:p>
    <w:p w14:paraId="7F3B9476"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The multi-stakeholder group’s Terms of Reference, and minutes from multi-stakeholder group meetings;</w:t>
      </w:r>
    </w:p>
    <w:p w14:paraId="2BBB6D4D"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EITI Reports, and supplementary information such as summary reports and scoping studies;</w:t>
      </w:r>
    </w:p>
    <w:p w14:paraId="505CF551"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Communication materials;</w:t>
      </w:r>
    </w:p>
    <w:p w14:paraId="193C162B"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Annual progress reports; and</w:t>
      </w:r>
    </w:p>
    <w:p w14:paraId="312B3F1F"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Any other information of relevance to Validation.</w:t>
      </w:r>
    </w:p>
    <w:p w14:paraId="2E5EFC1C" w14:textId="77777777" w:rsidR="00E719C0" w:rsidRDefault="00E719C0" w:rsidP="00F12713">
      <w:pPr>
        <w:spacing w:after="0" w:line="240" w:lineRule="auto"/>
        <w:rPr>
          <w:rFonts w:eastAsia="Times New Roman" w:cstheme="minorHAnsi"/>
        </w:rPr>
      </w:pPr>
    </w:p>
    <w:p w14:paraId="127CC6F7" w14:textId="4EEE6FC6" w:rsidR="00E719C0" w:rsidRDefault="00E719C0" w:rsidP="00F12713">
      <w:pPr>
        <w:spacing w:after="0" w:line="240" w:lineRule="auto"/>
        <w:rPr>
          <w:rFonts w:cstheme="minorHAnsi"/>
        </w:rPr>
      </w:pPr>
      <w:r>
        <w:rPr>
          <w:rFonts w:cstheme="minorHAnsi"/>
        </w:rPr>
        <w:t>Secondly, a country visit, which</w:t>
      </w:r>
      <w:r w:rsidR="00CD3C6B">
        <w:rPr>
          <w:rFonts w:cstheme="minorHAnsi"/>
        </w:rPr>
        <w:t xml:space="preserve"> took place on 13-17</w:t>
      </w:r>
      <w:r w:rsidRPr="00E719C0">
        <w:rPr>
          <w:rFonts w:cstheme="minorHAnsi"/>
        </w:rPr>
        <w:t xml:space="preserve"> February 2017. A</w:t>
      </w:r>
      <w:r w:rsidR="00A66AE5">
        <w:rPr>
          <w:rFonts w:cstheme="minorHAnsi"/>
        </w:rPr>
        <w:t>ll meetings took place in Maputo</w:t>
      </w:r>
      <w:r w:rsidRPr="00E719C0">
        <w:rPr>
          <w:rFonts w:cstheme="minorHAnsi"/>
        </w:rPr>
        <w:t>. The secretariat met with the multi-stakeholder group and its members, the IA and other key stakeholders, including stakeholder groups that are represented on, but not directly participating in, the multi-stakeholder group.</w:t>
      </w:r>
    </w:p>
    <w:p w14:paraId="54BBF6EF" w14:textId="77777777" w:rsidR="00C540D5" w:rsidRDefault="00C540D5" w:rsidP="00C540D5">
      <w:pPr>
        <w:spacing w:after="0" w:line="240" w:lineRule="auto"/>
        <w:rPr>
          <w:rFonts w:cstheme="minorHAnsi"/>
        </w:rPr>
      </w:pPr>
    </w:p>
    <w:p w14:paraId="30014F81" w14:textId="77777777" w:rsidR="00C540D5" w:rsidRPr="00C540D5" w:rsidRDefault="00C540D5" w:rsidP="00C540D5">
      <w:pPr>
        <w:spacing w:after="0" w:line="240" w:lineRule="auto"/>
        <w:rPr>
          <w:rFonts w:cstheme="minorHAnsi"/>
        </w:rPr>
      </w:pPr>
      <w:r w:rsidRPr="00C540D5">
        <w:rPr>
          <w:rFonts w:cstheme="minorHAnsi"/>
        </w:rPr>
        <w:t xml:space="preserve">In addition to meeting with the MSG as a group, the Secretariat met with its constituent parts (government, companies and civil society) either individually or in constituency groups, with appropriate protocols to ensure that stakeholders were able to freely express their views and that requests for confidentially are respected. </w:t>
      </w:r>
    </w:p>
    <w:p w14:paraId="4CF6B818" w14:textId="77777777" w:rsidR="00C540D5" w:rsidRDefault="00C540D5" w:rsidP="00F12713">
      <w:pPr>
        <w:spacing w:after="0" w:line="240" w:lineRule="auto"/>
        <w:rPr>
          <w:rFonts w:cstheme="minorHAnsi"/>
        </w:rPr>
      </w:pPr>
    </w:p>
    <w:p w14:paraId="0A5DE1F5" w14:textId="6A9AC4A3" w:rsidR="006B688F" w:rsidRDefault="006B688F" w:rsidP="00F12713">
      <w:pPr>
        <w:spacing w:after="0" w:line="240" w:lineRule="auto"/>
        <w:rPr>
          <w:rFonts w:cstheme="minorHAnsi"/>
        </w:rPr>
      </w:pPr>
      <w:r>
        <w:rPr>
          <w:rFonts w:cstheme="minorHAnsi"/>
        </w:rPr>
        <w:t xml:space="preserve">Finally, </w:t>
      </w:r>
      <w:r w:rsidRPr="006B688F">
        <w:rPr>
          <w:rFonts w:cstheme="minorHAnsi"/>
        </w:rPr>
        <w:t>the</w:t>
      </w:r>
      <w:r>
        <w:rPr>
          <w:rFonts w:cstheme="minorHAnsi"/>
        </w:rPr>
        <w:t xml:space="preserve"> International Secretariat </w:t>
      </w:r>
      <w:r w:rsidRPr="006B688F">
        <w:rPr>
          <w:rFonts w:cstheme="minorHAnsi"/>
        </w:rPr>
        <w:t>prepare</w:t>
      </w:r>
      <w:r>
        <w:rPr>
          <w:rFonts w:cstheme="minorHAnsi"/>
        </w:rPr>
        <w:t>d</w:t>
      </w:r>
      <w:r w:rsidRPr="006B688F">
        <w:rPr>
          <w:rFonts w:cstheme="minorHAnsi"/>
        </w:rPr>
        <w:t xml:space="preserve"> a report making an initial assessment of progress against requirements in accordance with the Validation Gu</w:t>
      </w:r>
      <w:r w:rsidR="00BE48E7">
        <w:rPr>
          <w:rFonts w:cstheme="minorHAnsi"/>
        </w:rPr>
        <w:t>ide. The initial assessment did</w:t>
      </w:r>
      <w:r w:rsidRPr="006B688F">
        <w:rPr>
          <w:rFonts w:cstheme="minorHAnsi"/>
        </w:rPr>
        <w:t xml:space="preserve"> not include an overall assess</w:t>
      </w:r>
      <w:r w:rsidR="00BE48E7">
        <w:rPr>
          <w:rFonts w:cstheme="minorHAnsi"/>
        </w:rPr>
        <w:t>ment of compliance. The report was submitted to the Validator, with t</w:t>
      </w:r>
      <w:r w:rsidRPr="006B688F">
        <w:rPr>
          <w:rFonts w:cstheme="minorHAnsi"/>
        </w:rPr>
        <w:t xml:space="preserve">he National Coordinator (NC) </w:t>
      </w:r>
      <w:r w:rsidR="00BE48E7">
        <w:rPr>
          <w:rFonts w:cstheme="minorHAnsi"/>
        </w:rPr>
        <w:t>also receiving a</w:t>
      </w:r>
      <w:r w:rsidRPr="006B688F">
        <w:rPr>
          <w:rFonts w:cstheme="minorHAnsi"/>
        </w:rPr>
        <w:t xml:space="preserve"> copy. </w:t>
      </w:r>
    </w:p>
    <w:p w14:paraId="4E7695CD" w14:textId="77777777" w:rsidR="00BE48E7" w:rsidRDefault="00BE48E7" w:rsidP="00F12713">
      <w:pPr>
        <w:spacing w:after="0" w:line="240" w:lineRule="auto"/>
        <w:rPr>
          <w:rFonts w:cstheme="minorHAnsi"/>
        </w:rPr>
      </w:pPr>
    </w:p>
    <w:p w14:paraId="14236177" w14:textId="3E334AE3" w:rsidR="007C0497" w:rsidRPr="005625E1" w:rsidRDefault="007C0497" w:rsidP="00F12713">
      <w:pPr>
        <w:spacing w:after="0" w:line="240" w:lineRule="auto"/>
        <w:rPr>
          <w:rFonts w:eastAsia="Calibri" w:cstheme="minorHAnsi"/>
          <w:color w:val="FF0000"/>
          <w:lang w:bidi="en-US"/>
        </w:rPr>
      </w:pPr>
    </w:p>
    <w:p w14:paraId="2C5EE03B" w14:textId="77777777" w:rsidR="00803CB3" w:rsidRPr="005625E1" w:rsidRDefault="00803CB3" w:rsidP="00F12713">
      <w:pPr>
        <w:spacing w:after="0" w:line="240" w:lineRule="auto"/>
        <w:rPr>
          <w:rFonts w:cstheme="minorHAnsi"/>
          <w:b/>
          <w:color w:val="365F91" w:themeColor="accent1" w:themeShade="BF"/>
        </w:rPr>
      </w:pPr>
      <w:r w:rsidRPr="005625E1">
        <w:rPr>
          <w:rFonts w:cstheme="minorHAnsi"/>
          <w:b/>
          <w:color w:val="365F91" w:themeColor="accent1" w:themeShade="BF"/>
        </w:rPr>
        <w:t xml:space="preserve">2. </w:t>
      </w:r>
      <w:r w:rsidRPr="005625E1">
        <w:rPr>
          <w:rFonts w:cstheme="minorHAnsi"/>
          <w:b/>
          <w:color w:val="365F91" w:themeColor="accent1" w:themeShade="BF"/>
        </w:rPr>
        <w:tab/>
        <w:t>GENERAL COMMENTS</w:t>
      </w:r>
    </w:p>
    <w:p w14:paraId="4ECD14A5" w14:textId="77777777" w:rsidR="007C0497" w:rsidRDefault="007C0497" w:rsidP="00F12713">
      <w:pPr>
        <w:spacing w:after="0" w:line="240" w:lineRule="auto"/>
        <w:rPr>
          <w:rFonts w:cstheme="minorHAnsi"/>
          <w:b/>
          <w:color w:val="365F91" w:themeColor="accent1" w:themeShade="BF"/>
        </w:rPr>
      </w:pPr>
    </w:p>
    <w:p w14:paraId="33798BBC" w14:textId="77777777" w:rsidR="00F46036" w:rsidRPr="005625E1" w:rsidRDefault="00F46036" w:rsidP="00F12713">
      <w:pPr>
        <w:spacing w:after="0" w:line="240" w:lineRule="auto"/>
        <w:rPr>
          <w:rFonts w:cstheme="minorHAnsi"/>
          <w:b/>
          <w:color w:val="365F91" w:themeColor="accent1" w:themeShade="BF"/>
        </w:rPr>
      </w:pPr>
    </w:p>
    <w:p w14:paraId="2C9DD649" w14:textId="77777777" w:rsidR="007C0497" w:rsidRPr="005625E1" w:rsidRDefault="007C0497"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Progress in EITI Implementation </w:t>
      </w:r>
    </w:p>
    <w:p w14:paraId="36F28EF3" w14:textId="77777777" w:rsidR="00D43908" w:rsidRDefault="00D43908" w:rsidP="00D43908">
      <w:pPr>
        <w:spacing w:before="120"/>
        <w:rPr>
          <w:rFonts w:ascii="Calibri" w:hAnsi="Calibri"/>
        </w:rPr>
      </w:pPr>
      <w:r w:rsidRPr="00455866">
        <w:rPr>
          <w:rFonts w:ascii="Calibri" w:hAnsi="Calibri"/>
        </w:rPr>
        <w:t>At the early stages of EITI implementation in Mozambique government interest and commitment was strong, reflecting high expectations for the extractive industries potential to contribute to toward economic development.</w:t>
      </w:r>
      <w:r>
        <w:rPr>
          <w:rFonts w:ascii="Calibri" w:hAnsi="Calibri"/>
        </w:rPr>
        <w:t xml:space="preserve"> </w:t>
      </w:r>
      <w:r w:rsidRPr="00455866">
        <w:rPr>
          <w:rFonts w:ascii="Calibri" w:hAnsi="Calibri"/>
        </w:rPr>
        <w:t xml:space="preserve"> </w:t>
      </w:r>
      <w:commentRangeStart w:id="9"/>
      <w:r>
        <w:rPr>
          <w:rFonts w:ascii="Calibri" w:hAnsi="Calibri"/>
        </w:rPr>
        <w:t>As</w:t>
      </w:r>
      <w:r w:rsidRPr="00455866">
        <w:rPr>
          <w:rFonts w:ascii="Calibri" w:hAnsi="Calibri"/>
        </w:rPr>
        <w:t xml:space="preserve"> commodity prices and the value of the Mozambican metical</w:t>
      </w:r>
      <w:r>
        <w:rPr>
          <w:rFonts w:ascii="Calibri" w:hAnsi="Calibri"/>
        </w:rPr>
        <w:t xml:space="preserve"> has declined in the last couple of years</w:t>
      </w:r>
      <w:r w:rsidRPr="00455866">
        <w:rPr>
          <w:rFonts w:ascii="Calibri" w:hAnsi="Calibri"/>
        </w:rPr>
        <w:t>,</w:t>
      </w:r>
      <w:r>
        <w:rPr>
          <w:rFonts w:ascii="Calibri" w:hAnsi="Calibri"/>
        </w:rPr>
        <w:t xml:space="preserve"> government interest in the EITI process appears to have decreased at the same rate.  </w:t>
      </w:r>
      <w:commentRangeEnd w:id="9"/>
      <w:r w:rsidR="004377C4">
        <w:rPr>
          <w:rStyle w:val="CommentReference"/>
        </w:rPr>
        <w:commentReference w:id="9"/>
      </w:r>
    </w:p>
    <w:p w14:paraId="17ABDAB8" w14:textId="77777777" w:rsidR="00D43908" w:rsidRDefault="00D43908" w:rsidP="00D61113">
      <w:pPr>
        <w:spacing w:after="0" w:line="240" w:lineRule="auto"/>
        <w:rPr>
          <w:rFonts w:cstheme="minorHAnsi"/>
        </w:rPr>
      </w:pPr>
    </w:p>
    <w:p w14:paraId="1531726A" w14:textId="77777777" w:rsidR="00D61113" w:rsidRDefault="00D61113" w:rsidP="00D61113">
      <w:pPr>
        <w:spacing w:after="0" w:line="240" w:lineRule="auto"/>
        <w:rPr>
          <w:rFonts w:cstheme="minorHAnsi"/>
        </w:rPr>
      </w:pPr>
      <w:r w:rsidRPr="00D61113">
        <w:rPr>
          <w:rFonts w:cstheme="minorHAnsi"/>
        </w:rPr>
        <w:t xml:space="preserve">While engagement by government and industry had declined, strong civil society engagement in the process and useful analysis by civil society organisations highlight the opportunities to make the EITI more effective in Mozambique. The lack of vision for where the EITI should go appears to have resulted in the current funding crisis of the EITI process and national secretariat. Renewed government commitment will </w:t>
      </w:r>
      <w:r w:rsidRPr="00D61113">
        <w:rPr>
          <w:rFonts w:cstheme="minorHAnsi"/>
        </w:rPr>
        <w:lastRenderedPageBreak/>
        <w:t xml:space="preserve">be key to take the process forward, and there are signs that the new administration and direction at the Ministry will be able to take ownership of the EITI if action is taken to address some of the issues raised in this preliminary assessment. </w:t>
      </w:r>
    </w:p>
    <w:p w14:paraId="187384BF" w14:textId="77777777" w:rsidR="00D43908" w:rsidRPr="00D61113" w:rsidRDefault="00D43908" w:rsidP="00D61113">
      <w:pPr>
        <w:spacing w:after="0" w:line="240" w:lineRule="auto"/>
        <w:rPr>
          <w:rFonts w:cstheme="minorHAnsi"/>
        </w:rPr>
      </w:pPr>
    </w:p>
    <w:p w14:paraId="24FEFD83" w14:textId="77777777" w:rsidR="00D61113" w:rsidRPr="00D61113" w:rsidRDefault="00D61113" w:rsidP="00D61113">
      <w:pPr>
        <w:spacing w:after="0" w:line="240" w:lineRule="auto"/>
        <w:rPr>
          <w:rFonts w:cstheme="minorHAnsi"/>
        </w:rPr>
      </w:pPr>
      <w:r w:rsidRPr="00D61113">
        <w:rPr>
          <w:rFonts w:cstheme="minorHAnsi"/>
        </w:rPr>
        <w:t xml:space="preserve">In the longer term, the key challenges ahead for EITI stakeholders will be to collaborate with government entities and companies to ensure comprehensive disclosure of information on extractives to help improve the management of the sector, making use of the process to address the priorities of government, industry and civils society, and making sure that the way the EITI is set up enables the necessary collaboration between stakeholder groups as well as coordination between government agencies. This will require that discussions and decisions take place on whether to institutionalise EITI, who to be represented on the multi-stakeholder group, and how to financially support the process. </w:t>
      </w:r>
    </w:p>
    <w:p w14:paraId="23D51BBE" w14:textId="1130FA5E" w:rsidR="00172322" w:rsidRPr="00D61113" w:rsidRDefault="00172322" w:rsidP="00F12713">
      <w:pPr>
        <w:spacing w:after="0" w:line="240" w:lineRule="auto"/>
        <w:rPr>
          <w:rFonts w:cstheme="minorHAnsi"/>
        </w:rPr>
      </w:pPr>
    </w:p>
    <w:p w14:paraId="3EA7C111" w14:textId="77777777" w:rsidR="00406FF1" w:rsidRPr="005625E1" w:rsidRDefault="00CE3B4B"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Impact of </w:t>
      </w:r>
      <w:r w:rsidR="00406FF1" w:rsidRPr="005625E1">
        <w:rPr>
          <w:rFonts w:cstheme="minorHAnsi"/>
          <w:b/>
          <w:color w:val="365F91" w:themeColor="accent1" w:themeShade="BF"/>
        </w:rPr>
        <w:t xml:space="preserve">EITI </w:t>
      </w:r>
      <w:r w:rsidRPr="005625E1">
        <w:rPr>
          <w:rFonts w:cstheme="minorHAnsi"/>
          <w:b/>
          <w:color w:val="365F91" w:themeColor="accent1" w:themeShade="BF"/>
        </w:rPr>
        <w:t>I</w:t>
      </w:r>
      <w:r w:rsidR="00406FF1" w:rsidRPr="005625E1">
        <w:rPr>
          <w:rFonts w:cstheme="minorHAnsi"/>
          <w:b/>
          <w:color w:val="365F91" w:themeColor="accent1" w:themeShade="BF"/>
        </w:rPr>
        <w:t>mplementation</w:t>
      </w:r>
    </w:p>
    <w:p w14:paraId="7E8E1DC7" w14:textId="77777777" w:rsidR="005625E1" w:rsidRPr="005625E1" w:rsidRDefault="005625E1" w:rsidP="00F12713">
      <w:pPr>
        <w:spacing w:after="0" w:line="240" w:lineRule="auto"/>
        <w:rPr>
          <w:rFonts w:cstheme="minorHAnsi"/>
          <w:color w:val="FF0000"/>
        </w:rPr>
      </w:pPr>
    </w:p>
    <w:p w14:paraId="2D1386B1" w14:textId="77777777" w:rsidR="00D43908" w:rsidRPr="00D43908" w:rsidRDefault="00D43908" w:rsidP="00D43908">
      <w:pPr>
        <w:spacing w:after="0" w:line="240" w:lineRule="auto"/>
        <w:rPr>
          <w:rFonts w:cstheme="minorHAnsi"/>
        </w:rPr>
      </w:pPr>
      <w:r w:rsidRPr="00D43908">
        <w:rPr>
          <w:rFonts w:cstheme="minorHAnsi"/>
        </w:rPr>
        <w:t xml:space="preserve">The EITI process - in particular the latest EITI Report covering 2013 and 2014 – has provided much useful information and has contributed to   technical improvements to record keeping and revenue collection systems. </w:t>
      </w:r>
      <w:commentRangeStart w:id="10"/>
      <w:r w:rsidRPr="00D43908">
        <w:rPr>
          <w:rFonts w:cstheme="minorHAnsi"/>
        </w:rPr>
        <w:t>The EITI has also contributed to placing transparency on the policy agenda and has, according to stakeholders, been important in ensuring that the petroleum and mining legal frameworks provide for transparency in payment information and full disclosure of contracts</w:t>
      </w:r>
      <w:commentRangeEnd w:id="10"/>
      <w:r w:rsidR="007B5C20">
        <w:rPr>
          <w:rStyle w:val="CommentReference"/>
        </w:rPr>
        <w:commentReference w:id="10"/>
      </w:r>
      <w:r w:rsidRPr="00D43908">
        <w:rPr>
          <w:rFonts w:cstheme="minorHAnsi"/>
        </w:rPr>
        <w:t>. EITI reporting has improved under the EITI Standard and timelier reporting makes EITI more relevant. The 2013-14 EITI Report did however fail to address some gaps in the previous reports, especially in the areas where it is most needed: state participation and the relationship between the state and state-owned enterprises.</w:t>
      </w:r>
    </w:p>
    <w:p w14:paraId="4730C240" w14:textId="405F8F91" w:rsidR="00056339" w:rsidRPr="005625E1" w:rsidRDefault="00C71C1F" w:rsidP="000608BE">
      <w:pPr>
        <w:rPr>
          <w:rFonts w:cstheme="minorHAnsi"/>
          <w:b/>
          <w:color w:val="365F91" w:themeColor="accent1" w:themeShade="BF"/>
        </w:rPr>
      </w:pPr>
      <w:r>
        <w:rPr>
          <w:rFonts w:cstheme="minorHAnsi"/>
          <w:color w:val="FF0000"/>
        </w:rPr>
        <w:br w:type="page"/>
      </w:r>
      <w:r w:rsidR="00CC23A6" w:rsidRPr="005625E1">
        <w:rPr>
          <w:rFonts w:cstheme="minorHAnsi"/>
          <w:b/>
          <w:color w:val="365F91" w:themeColor="accent1" w:themeShade="BF"/>
        </w:rPr>
        <w:lastRenderedPageBreak/>
        <w:t>T</w:t>
      </w:r>
      <w:r w:rsidR="00056339" w:rsidRPr="005625E1">
        <w:rPr>
          <w:rFonts w:cstheme="minorHAnsi"/>
          <w:b/>
          <w:color w:val="365F91" w:themeColor="accent1" w:themeShade="BF"/>
        </w:rPr>
        <w:t xml:space="preserve">he Independent Validator’s </w:t>
      </w:r>
      <w:r w:rsidR="002D2440" w:rsidRPr="005625E1">
        <w:rPr>
          <w:rFonts w:cstheme="minorHAnsi"/>
          <w:b/>
          <w:color w:val="365F91" w:themeColor="accent1" w:themeShade="BF"/>
        </w:rPr>
        <w:t xml:space="preserve">Assessment of Compliance </w:t>
      </w:r>
    </w:p>
    <w:p w14:paraId="6A711829" w14:textId="7E9CC165" w:rsidR="002D2440" w:rsidRPr="005625E1" w:rsidRDefault="002D2440" w:rsidP="00F12713">
      <w:pPr>
        <w:spacing w:after="0" w:line="240" w:lineRule="auto"/>
        <w:rPr>
          <w:rFonts w:eastAsia="Calibri" w:cstheme="minorHAnsi"/>
          <w:i/>
          <w:color w:val="365F91" w:themeColor="accent1" w:themeShade="BF"/>
        </w:rPr>
      </w:pPr>
      <w:r w:rsidRPr="005625E1">
        <w:rPr>
          <w:rFonts w:eastAsia="Calibri" w:cstheme="minorHAnsi"/>
          <w:i/>
          <w:color w:val="365F91" w:themeColor="accent1" w:themeShade="BF"/>
        </w:rPr>
        <w:t>Figure 1 – Validator’s assessment</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D83638" w:rsidRPr="00F67643" w14:paraId="497CF76C" w14:textId="77777777" w:rsidTr="003366ED">
        <w:trPr>
          <w:trHeight w:val="142"/>
        </w:trPr>
        <w:tc>
          <w:tcPr>
            <w:tcW w:w="6662" w:type="dxa"/>
            <w:gridSpan w:val="5"/>
            <w:tcBorders>
              <w:top w:val="single" w:sz="12" w:space="0" w:color="auto"/>
              <w:left w:val="single" w:sz="12" w:space="0" w:color="auto"/>
              <w:bottom w:val="single" w:sz="6" w:space="0" w:color="auto"/>
              <w:right w:val="single" w:sz="6" w:space="0" w:color="auto"/>
            </w:tcBorders>
            <w:shd w:val="clear" w:color="000000" w:fill="366092"/>
            <w:noWrap/>
            <w:vAlign w:val="bottom"/>
          </w:tcPr>
          <w:p w14:paraId="3B0A23B2" w14:textId="77777777" w:rsidR="00D83638" w:rsidRPr="00884312" w:rsidRDefault="00D83638" w:rsidP="003366ED">
            <w:pPr>
              <w:spacing w:after="0" w:line="240" w:lineRule="auto"/>
              <w:rPr>
                <w:rFonts w:ascii="Calibri" w:hAnsi="Calibri" w:cs="Times New Roman"/>
                <w:b/>
                <w:bCs/>
                <w:color w:val="FFFFFF"/>
                <w:lang w:eastAsia="en-GB"/>
              </w:rPr>
            </w:pPr>
            <w:r w:rsidRPr="00884312">
              <w:rPr>
                <w:rFonts w:ascii="Calibri" w:hAnsi="Calibri" w:cs="Times New Roman"/>
                <w:b/>
                <w:bCs/>
                <w:color w:val="FFFFFF"/>
                <w:lang w:eastAsia="en-GB"/>
              </w:rPr>
              <w:t>EITI Requirements</w:t>
            </w:r>
          </w:p>
        </w:tc>
        <w:tc>
          <w:tcPr>
            <w:tcW w:w="2405" w:type="dxa"/>
            <w:gridSpan w:val="5"/>
            <w:tcBorders>
              <w:top w:val="single" w:sz="12" w:space="0" w:color="auto"/>
              <w:left w:val="single" w:sz="6" w:space="0" w:color="auto"/>
              <w:bottom w:val="single" w:sz="6" w:space="0" w:color="auto"/>
              <w:right w:val="single" w:sz="12" w:space="0" w:color="auto"/>
            </w:tcBorders>
            <w:shd w:val="clear" w:color="000000" w:fill="366092"/>
            <w:vAlign w:val="center"/>
          </w:tcPr>
          <w:p w14:paraId="0F0838F0" w14:textId="77777777" w:rsidR="00D83638" w:rsidRPr="00884312" w:rsidRDefault="00D83638" w:rsidP="003366ED">
            <w:pPr>
              <w:spacing w:after="0" w:line="240" w:lineRule="auto"/>
              <w:jc w:val="center"/>
              <w:rPr>
                <w:rFonts w:ascii="Calibri" w:hAnsi="Calibri" w:cs="Times New Roman"/>
                <w:b/>
                <w:bCs/>
                <w:color w:val="FFFFFF"/>
                <w:lang w:eastAsia="en-GB"/>
              </w:rPr>
            </w:pPr>
            <w:r w:rsidRPr="00884312">
              <w:rPr>
                <w:rFonts w:ascii="Calibri" w:hAnsi="Calibri" w:cs="Times New Roman"/>
                <w:b/>
                <w:bCs/>
                <w:color w:val="FFFFFF"/>
                <w:lang w:eastAsia="en-GB"/>
              </w:rPr>
              <w:t>LEVEL OF PROGRESS</w:t>
            </w:r>
          </w:p>
        </w:tc>
      </w:tr>
      <w:tr w:rsidR="00D83638" w:rsidRPr="00F67643" w14:paraId="4D4A99A4" w14:textId="77777777" w:rsidTr="003366ED">
        <w:trPr>
          <w:trHeight w:val="1372"/>
        </w:trPr>
        <w:tc>
          <w:tcPr>
            <w:tcW w:w="2700" w:type="dxa"/>
            <w:gridSpan w:val="2"/>
            <w:tcBorders>
              <w:top w:val="single" w:sz="6" w:space="0" w:color="auto"/>
              <w:left w:val="single" w:sz="12" w:space="0" w:color="auto"/>
              <w:bottom w:val="single" w:sz="6" w:space="0" w:color="auto"/>
              <w:right w:val="single" w:sz="6" w:space="0" w:color="auto"/>
            </w:tcBorders>
            <w:shd w:val="clear" w:color="000000" w:fill="F2F2F2"/>
            <w:noWrap/>
            <w:vAlign w:val="bottom"/>
            <w:hideMark/>
          </w:tcPr>
          <w:p w14:paraId="5A2CD8D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94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14:paraId="05871AC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266"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14:paraId="2B1A1A8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2756"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2377B024" w14:textId="77777777" w:rsidR="00D83638" w:rsidRPr="00884312" w:rsidRDefault="00D83638" w:rsidP="003366ED">
            <w:pPr>
              <w:spacing w:after="0" w:line="240" w:lineRule="auto"/>
              <w:rPr>
                <w:rFonts w:ascii="Calibri" w:hAnsi="Calibri" w:cs="Times New Roman"/>
                <w:b/>
                <w:bCs/>
                <w:color w:val="FFFFFF"/>
                <w:lang w:eastAsia="en-GB"/>
              </w:rPr>
            </w:pPr>
            <w:r w:rsidRPr="00884312">
              <w:rPr>
                <w:rFonts w:ascii="Calibri" w:hAnsi="Calibri" w:cs="Times New Roman"/>
                <w:b/>
                <w:bCs/>
                <w:color w:val="FFFFFF"/>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41AD106C" w14:textId="77777777" w:rsidR="00D83638" w:rsidRPr="00884312" w:rsidRDefault="00D83638" w:rsidP="003366ED">
            <w:pPr>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No</w:t>
            </w:r>
          </w:p>
        </w:tc>
        <w:tc>
          <w:tcPr>
            <w:tcW w:w="532"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275BD3AE" w14:textId="77777777" w:rsidR="00D83638" w:rsidRPr="00884312" w:rsidRDefault="00D83638" w:rsidP="003366ED">
            <w:pPr>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Inadequate</w:t>
            </w:r>
          </w:p>
        </w:tc>
        <w:tc>
          <w:tcPr>
            <w:tcW w:w="491"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08D488E4" w14:textId="77777777" w:rsidR="00D83638" w:rsidRPr="00884312" w:rsidRDefault="00D83638" w:rsidP="003366ED">
            <w:pPr>
              <w:spacing w:after="0" w:line="240" w:lineRule="auto"/>
              <w:rPr>
                <w:rFonts w:ascii="Calibri" w:hAnsi="Calibri" w:cs="Times New Roman"/>
                <w:bCs/>
                <w:color w:val="000000"/>
                <w:lang w:eastAsia="en-GB"/>
              </w:rPr>
            </w:pPr>
            <w:r w:rsidRPr="00884312">
              <w:rPr>
                <w:rFonts w:ascii="Calibri" w:hAnsi="Calibri" w:cs="Times New Roman"/>
                <w:bCs/>
                <w:color w:val="000000"/>
                <w:lang w:eastAsia="en-GB"/>
              </w:rPr>
              <w:t xml:space="preserve"> </w:t>
            </w:r>
            <w:r>
              <w:rPr>
                <w:rFonts w:ascii="Calibri" w:hAnsi="Calibri" w:cs="Times New Roman"/>
                <w:bCs/>
                <w:color w:val="000000"/>
                <w:lang w:eastAsia="en-GB"/>
              </w:rPr>
              <w:t xml:space="preserve"> </w:t>
            </w:r>
            <w:r w:rsidRPr="00884312">
              <w:rPr>
                <w:rFonts w:ascii="Calibri" w:hAnsi="Calibri" w:cs="Times New Roman"/>
                <w:bCs/>
                <w:color w:val="000000"/>
                <w:lang w:eastAsia="en-GB"/>
              </w:rPr>
              <w:t>Meaningful</w:t>
            </w:r>
          </w:p>
        </w:tc>
        <w:tc>
          <w:tcPr>
            <w:tcW w:w="470"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5C943BAA" w14:textId="77777777" w:rsidR="00D83638" w:rsidRPr="00884312" w:rsidRDefault="00D83638" w:rsidP="003366ED">
            <w:pPr>
              <w:spacing w:after="0" w:line="240" w:lineRule="auto"/>
              <w:rPr>
                <w:rFonts w:ascii="Calibri" w:hAnsi="Calibri" w:cs="Times New Roman"/>
                <w:bCs/>
                <w:color w:val="000000"/>
                <w:lang w:eastAsia="en-GB"/>
              </w:rPr>
            </w:pPr>
            <w:r w:rsidRPr="00884312">
              <w:rPr>
                <w:rFonts w:ascii="Calibri" w:hAnsi="Calibri" w:cs="Times New Roman"/>
                <w:bCs/>
                <w:color w:val="000000"/>
                <w:lang w:eastAsia="en-GB"/>
              </w:rPr>
              <w:t xml:space="preserve"> </w:t>
            </w:r>
            <w:r>
              <w:rPr>
                <w:rFonts w:ascii="Calibri" w:hAnsi="Calibri" w:cs="Times New Roman"/>
                <w:bCs/>
                <w:color w:val="000000"/>
                <w:lang w:eastAsia="en-GB"/>
              </w:rPr>
              <w:t xml:space="preserve"> </w:t>
            </w:r>
            <w:r w:rsidRPr="00884312">
              <w:rPr>
                <w:rFonts w:ascii="Calibri" w:hAnsi="Calibri" w:cs="Times New Roman"/>
                <w:bCs/>
                <w:color w:val="000000"/>
                <w:lang w:eastAsia="en-GB"/>
              </w:rPr>
              <w:t>Satisfactory</w:t>
            </w:r>
          </w:p>
        </w:tc>
        <w:tc>
          <w:tcPr>
            <w:tcW w:w="421" w:type="dxa"/>
            <w:tcBorders>
              <w:top w:val="single" w:sz="6" w:space="0" w:color="auto"/>
              <w:left w:val="single" w:sz="6" w:space="0" w:color="auto"/>
              <w:bottom w:val="single" w:sz="6" w:space="0" w:color="auto"/>
              <w:right w:val="single" w:sz="12" w:space="0" w:color="auto"/>
            </w:tcBorders>
            <w:shd w:val="clear" w:color="000000" w:fill="F2F2F2"/>
            <w:textDirection w:val="btLr"/>
            <w:vAlign w:val="center"/>
          </w:tcPr>
          <w:p w14:paraId="3DC1C25F" w14:textId="77777777" w:rsidR="00D83638" w:rsidRPr="00884312" w:rsidRDefault="00D83638" w:rsidP="003366ED">
            <w:pPr>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Beyond</w:t>
            </w:r>
          </w:p>
        </w:tc>
      </w:tr>
      <w:tr w:rsidR="00D83638" w:rsidRPr="00F67643" w14:paraId="5604CBF5" w14:textId="77777777" w:rsidTr="003366ED">
        <w:trPr>
          <w:trHeight w:val="306"/>
        </w:trPr>
        <w:tc>
          <w:tcPr>
            <w:tcW w:w="2127" w:type="dxa"/>
            <w:tcBorders>
              <w:top w:val="single" w:sz="6" w:space="0" w:color="auto"/>
              <w:left w:val="single" w:sz="12" w:space="0" w:color="auto"/>
              <w:bottom w:val="single" w:sz="12" w:space="0" w:color="auto"/>
              <w:right w:val="single" w:sz="6" w:space="0" w:color="auto"/>
            </w:tcBorders>
            <w:shd w:val="clear" w:color="000000" w:fill="F2F2F2"/>
            <w:noWrap/>
            <w:vAlign w:val="bottom"/>
            <w:hideMark/>
          </w:tcPr>
          <w:p w14:paraId="41F50E55"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Categories</w:t>
            </w:r>
          </w:p>
        </w:tc>
        <w:tc>
          <w:tcPr>
            <w:tcW w:w="4535" w:type="dxa"/>
            <w:gridSpan w:val="4"/>
            <w:tcBorders>
              <w:top w:val="single" w:sz="6" w:space="0" w:color="auto"/>
              <w:left w:val="single" w:sz="6" w:space="0" w:color="auto"/>
              <w:bottom w:val="single" w:sz="12" w:space="0" w:color="auto"/>
              <w:right w:val="single" w:sz="6" w:space="0" w:color="auto"/>
            </w:tcBorders>
            <w:shd w:val="clear" w:color="000000" w:fill="F2F2F2"/>
            <w:noWrap/>
            <w:vAlign w:val="center"/>
            <w:hideMark/>
          </w:tcPr>
          <w:p w14:paraId="71339FFA"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Requirements</w:t>
            </w:r>
          </w:p>
        </w:tc>
        <w:tc>
          <w:tcPr>
            <w:tcW w:w="491" w:type="dxa"/>
            <w:tcBorders>
              <w:top w:val="single" w:sz="6" w:space="0" w:color="auto"/>
              <w:left w:val="single" w:sz="6" w:space="0" w:color="auto"/>
              <w:bottom w:val="single" w:sz="12" w:space="0" w:color="auto"/>
              <w:right w:val="single" w:sz="6" w:space="0" w:color="auto"/>
            </w:tcBorders>
            <w:shd w:val="clear" w:color="auto" w:fill="C00000"/>
          </w:tcPr>
          <w:p w14:paraId="648D3680" w14:textId="77777777" w:rsidR="00D83638" w:rsidRPr="00884312" w:rsidRDefault="00D83638" w:rsidP="003366ED">
            <w:pPr>
              <w:spacing w:after="0" w:line="240" w:lineRule="auto"/>
              <w:rPr>
                <w:rFonts w:ascii="Calibri" w:hAnsi="Calibri" w:cs="Times New Roman"/>
                <w:b/>
                <w:bCs/>
                <w:color w:val="C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FAC433"/>
          </w:tcPr>
          <w:p w14:paraId="1870AFEF" w14:textId="77777777" w:rsidR="00D83638" w:rsidRPr="00884312" w:rsidRDefault="00D83638" w:rsidP="003366ED">
            <w:pPr>
              <w:spacing w:after="0" w:line="240" w:lineRule="auto"/>
              <w:rPr>
                <w:rFonts w:ascii="Calibri" w:hAnsi="Calibri" w:cs="Times New Roman"/>
                <w:b/>
                <w:bCs/>
                <w:color w:val="C00000"/>
                <w:lang w:eastAsia="en-GB"/>
              </w:rPr>
            </w:pPr>
          </w:p>
        </w:tc>
        <w:tc>
          <w:tcPr>
            <w:tcW w:w="491" w:type="dxa"/>
            <w:tcBorders>
              <w:top w:val="single" w:sz="6" w:space="0" w:color="auto"/>
              <w:left w:val="single" w:sz="6" w:space="0" w:color="auto"/>
              <w:bottom w:val="single" w:sz="12" w:space="0" w:color="auto"/>
              <w:right w:val="single" w:sz="6" w:space="0" w:color="auto"/>
            </w:tcBorders>
            <w:shd w:val="clear" w:color="auto" w:fill="84AE42"/>
            <w:vAlign w:val="bottom"/>
          </w:tcPr>
          <w:p w14:paraId="361A18B9"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vAlign w:val="bottom"/>
          </w:tcPr>
          <w:p w14:paraId="22335430"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000000" w:fill="0076AF"/>
            <w:vAlign w:val="center"/>
          </w:tcPr>
          <w:p w14:paraId="26318D41"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r>
      <w:tr w:rsidR="00D83638" w:rsidRPr="00F67643" w14:paraId="6581E181" w14:textId="77777777" w:rsidTr="003366ED">
        <w:trPr>
          <w:trHeight w:val="53"/>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11114B93"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MSG oversight</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bottom"/>
            <w:hideMark/>
          </w:tcPr>
          <w:p w14:paraId="5F8D0A8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Government engagement (#1.1)</w:t>
            </w:r>
          </w:p>
        </w:tc>
        <w:tc>
          <w:tcPr>
            <w:tcW w:w="491" w:type="dxa"/>
            <w:tcBorders>
              <w:top w:val="single" w:sz="12" w:space="0" w:color="auto"/>
              <w:left w:val="single" w:sz="6" w:space="0" w:color="auto"/>
              <w:bottom w:val="single" w:sz="6" w:space="0" w:color="auto"/>
              <w:right w:val="single" w:sz="6" w:space="0" w:color="auto"/>
            </w:tcBorders>
            <w:shd w:val="clear" w:color="auto" w:fill="auto"/>
          </w:tcPr>
          <w:p w14:paraId="40D921B3"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64EEAF4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33C6720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5F109A4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1AFC8B8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8D36C1B" w14:textId="77777777" w:rsidTr="003366ED">
        <w:trPr>
          <w:trHeight w:val="281"/>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2B510CB"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7520A0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Industry engagement (#1.2)</w:t>
            </w:r>
          </w:p>
        </w:tc>
        <w:tc>
          <w:tcPr>
            <w:tcW w:w="491" w:type="dxa"/>
            <w:tcBorders>
              <w:top w:val="single" w:sz="6" w:space="0" w:color="auto"/>
              <w:left w:val="single" w:sz="6" w:space="0" w:color="auto"/>
              <w:bottom w:val="single" w:sz="6" w:space="0" w:color="auto"/>
              <w:right w:val="single" w:sz="6" w:space="0" w:color="auto"/>
            </w:tcBorders>
          </w:tcPr>
          <w:p w14:paraId="61584114"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C58A7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625E984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05B95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0A3D94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6FC8CE9D"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61E7368D"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E24AB0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Civil society engagement (#1.3)</w:t>
            </w:r>
          </w:p>
        </w:tc>
        <w:tc>
          <w:tcPr>
            <w:tcW w:w="491" w:type="dxa"/>
            <w:tcBorders>
              <w:top w:val="single" w:sz="6" w:space="0" w:color="auto"/>
              <w:left w:val="single" w:sz="6" w:space="0" w:color="auto"/>
              <w:bottom w:val="single" w:sz="6" w:space="0" w:color="auto"/>
              <w:right w:val="single" w:sz="6" w:space="0" w:color="auto"/>
            </w:tcBorders>
          </w:tcPr>
          <w:p w14:paraId="5FC2AD72"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84D05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39A95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1321711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4FCC2C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1DB7C67" w14:textId="77777777" w:rsidTr="003366ED">
        <w:trPr>
          <w:trHeight w:val="32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5AB4F14"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805776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MSG governance (#1.4)</w:t>
            </w:r>
          </w:p>
        </w:tc>
        <w:tc>
          <w:tcPr>
            <w:tcW w:w="491" w:type="dxa"/>
            <w:tcBorders>
              <w:top w:val="single" w:sz="6" w:space="0" w:color="auto"/>
              <w:left w:val="single" w:sz="6" w:space="0" w:color="auto"/>
              <w:bottom w:val="single" w:sz="6" w:space="0" w:color="auto"/>
              <w:right w:val="single" w:sz="6" w:space="0" w:color="auto"/>
            </w:tcBorders>
          </w:tcPr>
          <w:p w14:paraId="24C35D2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DA533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53B8982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B25BE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347C5BD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02ECB380" w14:textId="77777777" w:rsidTr="003366ED">
        <w:trPr>
          <w:trHeight w:val="53"/>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7C405195"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bottom"/>
            <w:hideMark/>
          </w:tcPr>
          <w:p w14:paraId="4A86BCF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Work</w:t>
            </w:r>
            <w:r>
              <w:rPr>
                <w:rFonts w:ascii="Calibri" w:hAnsi="Calibri" w:cs="Times New Roman"/>
                <w:color w:val="000000"/>
                <w:lang w:eastAsia="en-GB"/>
              </w:rPr>
              <w:t xml:space="preserve"> </w:t>
            </w:r>
            <w:r w:rsidRPr="00884312">
              <w:rPr>
                <w:rFonts w:ascii="Calibri" w:hAnsi="Calibri" w:cs="Times New Roman"/>
                <w:color w:val="000000"/>
                <w:lang w:eastAsia="en-GB"/>
              </w:rPr>
              <w:t>plan (#1.5)</w:t>
            </w:r>
          </w:p>
        </w:tc>
        <w:tc>
          <w:tcPr>
            <w:tcW w:w="491" w:type="dxa"/>
            <w:tcBorders>
              <w:top w:val="single" w:sz="6" w:space="0" w:color="auto"/>
              <w:left w:val="single" w:sz="6" w:space="0" w:color="auto"/>
              <w:bottom w:val="single" w:sz="12" w:space="0" w:color="auto"/>
              <w:right w:val="single" w:sz="6" w:space="0" w:color="auto"/>
            </w:tcBorders>
          </w:tcPr>
          <w:p w14:paraId="2E0CF321"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41D7FBD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15E4A86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noWrap/>
            <w:vAlign w:val="bottom"/>
            <w:hideMark/>
          </w:tcPr>
          <w:p w14:paraId="001CDCE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6E530B7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D324FE6" w14:textId="77777777" w:rsidTr="003366ED">
        <w:trPr>
          <w:trHeight w:val="53"/>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4DAEE561"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Licenses and contracts</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9A296B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Legal framework (#2.1)</w:t>
            </w:r>
          </w:p>
        </w:tc>
        <w:tc>
          <w:tcPr>
            <w:tcW w:w="491" w:type="dxa"/>
            <w:tcBorders>
              <w:top w:val="single" w:sz="12" w:space="0" w:color="auto"/>
              <w:left w:val="single" w:sz="6" w:space="0" w:color="auto"/>
              <w:bottom w:val="single" w:sz="6" w:space="0" w:color="auto"/>
              <w:right w:val="single" w:sz="6" w:space="0" w:color="auto"/>
            </w:tcBorders>
          </w:tcPr>
          <w:p w14:paraId="7D7C4769"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3CC870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7865B39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2D8B2A"/>
            <w:noWrap/>
            <w:vAlign w:val="bottom"/>
            <w:hideMark/>
          </w:tcPr>
          <w:p w14:paraId="70A7BF0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6E59919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60A21EB3"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E301DDF"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6F6BC7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License allocations (#2.2)</w:t>
            </w:r>
          </w:p>
        </w:tc>
        <w:tc>
          <w:tcPr>
            <w:tcW w:w="491" w:type="dxa"/>
            <w:tcBorders>
              <w:top w:val="single" w:sz="6" w:space="0" w:color="auto"/>
              <w:left w:val="single" w:sz="6" w:space="0" w:color="auto"/>
              <w:bottom w:val="single" w:sz="6" w:space="0" w:color="auto"/>
              <w:right w:val="single" w:sz="6" w:space="0" w:color="auto"/>
            </w:tcBorders>
          </w:tcPr>
          <w:p w14:paraId="22A913DF"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6C286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0F56E1D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21E61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683FD8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32A54B02"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680A021"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8BE96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License register (#2.3)</w:t>
            </w:r>
          </w:p>
        </w:tc>
        <w:tc>
          <w:tcPr>
            <w:tcW w:w="491" w:type="dxa"/>
            <w:tcBorders>
              <w:top w:val="single" w:sz="6" w:space="0" w:color="auto"/>
              <w:left w:val="single" w:sz="6" w:space="0" w:color="auto"/>
              <w:bottom w:val="single" w:sz="6" w:space="0" w:color="auto"/>
              <w:right w:val="single" w:sz="6" w:space="0" w:color="auto"/>
            </w:tcBorders>
          </w:tcPr>
          <w:p w14:paraId="4586F9D3"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2AFDD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1A58704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D736F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4649B4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4B851802"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A3B5443"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11C3B39" w14:textId="77777777" w:rsidR="00D83638" w:rsidRPr="00884312" w:rsidRDefault="00D83638" w:rsidP="003366ED">
            <w:pPr>
              <w:spacing w:after="0" w:line="240" w:lineRule="auto"/>
              <w:rPr>
                <w:rFonts w:ascii="Calibri" w:hAnsi="Calibri" w:cs="Times New Roman"/>
                <w:color w:val="000000"/>
                <w:lang w:eastAsia="en-GB"/>
              </w:rPr>
            </w:pPr>
            <w:commentRangeStart w:id="11"/>
            <w:r w:rsidRPr="00884312">
              <w:rPr>
                <w:rFonts w:ascii="Calibri" w:hAnsi="Calibri" w:cs="Times New Roman"/>
                <w:color w:val="000000"/>
                <w:lang w:eastAsia="en-GB"/>
              </w:rPr>
              <w:t>Policy on contract disclosure (#2.4)</w:t>
            </w:r>
          </w:p>
        </w:tc>
        <w:tc>
          <w:tcPr>
            <w:tcW w:w="491" w:type="dxa"/>
            <w:tcBorders>
              <w:top w:val="single" w:sz="6" w:space="0" w:color="auto"/>
              <w:left w:val="single" w:sz="6" w:space="0" w:color="auto"/>
              <w:bottom w:val="single" w:sz="6" w:space="0" w:color="auto"/>
              <w:right w:val="single" w:sz="6" w:space="0" w:color="auto"/>
            </w:tcBorders>
          </w:tcPr>
          <w:p w14:paraId="5318CBFA"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56209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2D3AD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7A3718D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EC15FC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commentRangeEnd w:id="11"/>
            <w:r w:rsidR="00252AF6">
              <w:rPr>
                <w:rStyle w:val="CommentReference"/>
              </w:rPr>
              <w:commentReference w:id="11"/>
            </w:r>
          </w:p>
        </w:tc>
      </w:tr>
      <w:tr w:rsidR="00D83638" w:rsidRPr="00F67643" w14:paraId="3C9BDC54"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BF6EB14"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AA53CC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Beneficial ownership (#2.5)</w:t>
            </w:r>
          </w:p>
        </w:tc>
        <w:tc>
          <w:tcPr>
            <w:tcW w:w="491" w:type="dxa"/>
            <w:tcBorders>
              <w:top w:val="single" w:sz="6" w:space="0" w:color="auto"/>
              <w:left w:val="single" w:sz="6" w:space="0" w:color="auto"/>
              <w:bottom w:val="single" w:sz="6" w:space="0" w:color="auto"/>
              <w:right w:val="single" w:sz="6" w:space="0" w:color="auto"/>
            </w:tcBorders>
            <w:shd w:val="clear" w:color="000000" w:fill="D9D9D9"/>
          </w:tcPr>
          <w:p w14:paraId="10186D77"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142C2E4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7DF8D8B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4E9E229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000000" w:fill="D9D9D9"/>
            <w:noWrap/>
            <w:vAlign w:val="bottom"/>
            <w:hideMark/>
          </w:tcPr>
          <w:p w14:paraId="23A2EE4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5A268242" w14:textId="77777777" w:rsidTr="003366ED">
        <w:trPr>
          <w:trHeight w:val="31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426067BE"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778CD14" w14:textId="77777777" w:rsidR="00D83638" w:rsidRPr="00884312" w:rsidRDefault="00D83638" w:rsidP="003366ED">
            <w:pPr>
              <w:spacing w:after="0" w:line="240" w:lineRule="auto"/>
              <w:rPr>
                <w:rFonts w:ascii="Calibri" w:hAnsi="Calibri" w:cs="Times New Roman"/>
                <w:color w:val="000000"/>
                <w:lang w:eastAsia="en-GB"/>
              </w:rPr>
            </w:pPr>
            <w:commentRangeStart w:id="12"/>
            <w:r w:rsidRPr="00884312">
              <w:rPr>
                <w:rFonts w:ascii="Calibri" w:hAnsi="Calibri" w:cs="Times New Roman"/>
                <w:color w:val="000000"/>
                <w:lang w:eastAsia="en-GB"/>
              </w:rPr>
              <w:t>State participation (#2.6)</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tcPr>
          <w:p w14:paraId="40601EB4"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FAC433"/>
            <w:noWrap/>
            <w:vAlign w:val="bottom"/>
            <w:hideMark/>
          </w:tcPr>
          <w:p w14:paraId="4286C03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4688321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71F6030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FFFFFF" w:themeFill="background1"/>
            <w:noWrap/>
            <w:vAlign w:val="bottom"/>
            <w:hideMark/>
          </w:tcPr>
          <w:p w14:paraId="05DF149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commentRangeEnd w:id="12"/>
            <w:r w:rsidR="00252AF6">
              <w:rPr>
                <w:rStyle w:val="CommentReference"/>
              </w:rPr>
              <w:commentReference w:id="12"/>
            </w:r>
          </w:p>
        </w:tc>
      </w:tr>
      <w:tr w:rsidR="00D83638" w:rsidRPr="00F67643" w14:paraId="35B19E93" w14:textId="77777777" w:rsidTr="003366ED">
        <w:trPr>
          <w:trHeight w:val="337"/>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125FF2CC"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Monitoring production</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5F2474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Exploration data (#3.1)</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tcPr>
          <w:p w14:paraId="3AA4B64C"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5BF25D1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7BEA599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2D8B2A"/>
            <w:noWrap/>
            <w:vAlign w:val="bottom"/>
            <w:hideMark/>
          </w:tcPr>
          <w:p w14:paraId="687C5AC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FFFFFF" w:themeFill="background1"/>
            <w:noWrap/>
            <w:vAlign w:val="bottom"/>
            <w:hideMark/>
          </w:tcPr>
          <w:p w14:paraId="05B2C16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56288B8"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A1D3C4C"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9F3A1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Production data (#3.2)</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4D83DE84"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56FC523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28EA967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4A9A491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1BF1C6C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537B28CD"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5023D3EF"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986508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Export data (#3.3)</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tcPr>
          <w:p w14:paraId="00CC9A60"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444AF8F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0B3EF0E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noWrap/>
            <w:vAlign w:val="bottom"/>
            <w:hideMark/>
          </w:tcPr>
          <w:p w14:paraId="08ABCD6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FFFFFF" w:themeFill="background1"/>
            <w:noWrap/>
            <w:vAlign w:val="bottom"/>
            <w:hideMark/>
          </w:tcPr>
          <w:p w14:paraId="41F4480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61661B82" w14:textId="77777777" w:rsidTr="003366ED">
        <w:trPr>
          <w:trHeight w:val="285"/>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36D92387"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Revenue collection</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334D0D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Comprehensiveness (#4.1)</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tcPr>
          <w:p w14:paraId="5C3C263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0A93C81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6270746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2D8B2A"/>
            <w:noWrap/>
            <w:vAlign w:val="bottom"/>
            <w:hideMark/>
          </w:tcPr>
          <w:p w14:paraId="0F2E369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FFFFFF" w:themeFill="background1"/>
            <w:noWrap/>
            <w:vAlign w:val="bottom"/>
            <w:hideMark/>
          </w:tcPr>
          <w:p w14:paraId="7AEFED0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6A89BC7"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253A39F2"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5CDCC1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In-kind revenues (#4.2)</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031B334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58BB32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1B643F5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6FDE3C6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3BC1034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11048CA" w14:textId="77777777" w:rsidTr="003366ED">
        <w:trPr>
          <w:trHeight w:val="77"/>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3D6D1655"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FE8A3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Barter agreements (#4.3)</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6C09BA9E"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4940A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314206E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D0ED92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4DAC965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35E3A9CA"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18C56EA3"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32236D" w14:textId="77777777" w:rsidR="00D83638" w:rsidRPr="00884312" w:rsidRDefault="00D83638" w:rsidP="003366ED">
            <w:pPr>
              <w:spacing w:after="0" w:line="240" w:lineRule="auto"/>
              <w:rPr>
                <w:rFonts w:ascii="Calibri" w:hAnsi="Calibri" w:cs="Times New Roman"/>
                <w:color w:val="000000"/>
                <w:lang w:eastAsia="en-GB"/>
              </w:rPr>
            </w:pPr>
            <w:commentRangeStart w:id="13"/>
            <w:r w:rsidRPr="00884312">
              <w:rPr>
                <w:rFonts w:ascii="Calibri" w:hAnsi="Calibri" w:cs="Times New Roman"/>
                <w:color w:val="000000"/>
                <w:lang w:eastAsia="en-GB"/>
              </w:rPr>
              <w:t>Transportation revenues (#4.4)</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4385FFF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AC433"/>
            <w:noWrap/>
            <w:vAlign w:val="bottom"/>
            <w:hideMark/>
          </w:tcPr>
          <w:p w14:paraId="06BA5C4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36723787" w14:textId="77777777" w:rsidR="00D83638" w:rsidRPr="001B0607" w:rsidRDefault="00D83638" w:rsidP="003366ED">
            <w:pPr>
              <w:spacing w:after="0" w:line="240" w:lineRule="auto"/>
              <w:rPr>
                <w:rFonts w:ascii="Calibri" w:hAnsi="Calibri" w:cs="Times New Roman"/>
                <w:color w:val="000000"/>
                <w:lang w:eastAsia="en-GB"/>
              </w:rPr>
            </w:pPr>
            <w:r w:rsidRPr="001B0607">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6C910EE" w14:textId="77777777" w:rsidR="00D83638" w:rsidRPr="00884312" w:rsidRDefault="00D83638" w:rsidP="003366ED">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center"/>
            <w:hideMark/>
          </w:tcPr>
          <w:p w14:paraId="7A9B60F6" w14:textId="77777777" w:rsidR="00D83638" w:rsidRPr="00884312" w:rsidRDefault="00D83638" w:rsidP="003366ED">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commentRangeEnd w:id="13"/>
            <w:r w:rsidR="00252AF6">
              <w:rPr>
                <w:rStyle w:val="CommentReference"/>
              </w:rPr>
              <w:commentReference w:id="13"/>
            </w:r>
          </w:p>
        </w:tc>
      </w:tr>
      <w:tr w:rsidR="00D83638" w:rsidRPr="00F67643" w14:paraId="52A205C2"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9F57DED"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ECDB3E" w14:textId="77777777" w:rsidR="00D83638" w:rsidRPr="00884312" w:rsidRDefault="00D83638" w:rsidP="003366ED">
            <w:pPr>
              <w:spacing w:after="0" w:line="240" w:lineRule="auto"/>
              <w:rPr>
                <w:rFonts w:ascii="Calibri" w:hAnsi="Calibri" w:cs="Times New Roman"/>
                <w:color w:val="000000"/>
                <w:lang w:eastAsia="en-GB"/>
              </w:rPr>
            </w:pPr>
            <w:commentRangeStart w:id="14"/>
            <w:r w:rsidRPr="00884312">
              <w:rPr>
                <w:rFonts w:ascii="Calibri" w:hAnsi="Calibri" w:cs="Times New Roman"/>
                <w:color w:val="000000"/>
                <w:lang w:eastAsia="en-GB"/>
              </w:rPr>
              <w:t>SOE transactions (#4.5)</w:t>
            </w:r>
            <w:commentRangeEnd w:id="14"/>
            <w:r w:rsidR="00F111FD">
              <w:rPr>
                <w:rStyle w:val="CommentReference"/>
              </w:rPr>
              <w:commentReference w:id="14"/>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6EA3B3F6"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AC433"/>
            <w:noWrap/>
            <w:vAlign w:val="bottom"/>
            <w:hideMark/>
          </w:tcPr>
          <w:p w14:paraId="193BC76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255E592C" w14:textId="77777777" w:rsidR="00D83638" w:rsidRPr="00884312" w:rsidRDefault="00D83638" w:rsidP="003366ED">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2F8FA5C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34D7B75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3D16F43E" w14:textId="77777777" w:rsidTr="003366ED">
        <w:trPr>
          <w:trHeight w:val="281"/>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2CC3CC4E"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81843B" w14:textId="77777777" w:rsidR="00D83638" w:rsidRPr="00884312" w:rsidRDefault="00D83638" w:rsidP="003366ED">
            <w:pPr>
              <w:spacing w:after="0" w:line="240" w:lineRule="auto"/>
              <w:rPr>
                <w:rFonts w:ascii="Calibri" w:hAnsi="Calibri" w:cs="Times New Roman"/>
                <w:color w:val="000000"/>
                <w:lang w:eastAsia="en-GB"/>
              </w:rPr>
            </w:pPr>
            <w:commentRangeStart w:id="15"/>
            <w:r w:rsidRPr="00884312">
              <w:rPr>
                <w:rFonts w:ascii="Calibri" w:hAnsi="Calibri" w:cs="Times New Roman"/>
                <w:color w:val="000000"/>
                <w:lang w:eastAsia="en-GB"/>
              </w:rPr>
              <w:t>Direct subnational payments (#4.6)</w:t>
            </w:r>
            <w:commentRangeEnd w:id="15"/>
            <w:r w:rsidR="00F111FD">
              <w:rPr>
                <w:rStyle w:val="CommentReference"/>
              </w:rPr>
              <w:commentReference w:id="15"/>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79BAB89A"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0B48DED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0598969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9D5440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15A02E2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790001C"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34A4CE35"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1879F5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Disaggregation (#4.7)</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3AF9CA5E"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1BD53D3C" w14:textId="089C29A2"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5E9AEC67" w14:textId="69F5D01D" w:rsidR="00D83638" w:rsidRPr="00884312" w:rsidRDefault="00C0038A" w:rsidP="003366ED">
            <w:pPr>
              <w:spacing w:after="0" w:line="240" w:lineRule="auto"/>
              <w:rPr>
                <w:rFonts w:ascii="Calibri" w:hAnsi="Calibri" w:cs="Times New Roman"/>
                <w:color w:val="000000"/>
                <w:lang w:eastAsia="en-GB"/>
              </w:rPr>
            </w:pPr>
            <w:r w:rsidRPr="005625E1">
              <w:rPr>
                <w:rFonts w:cstheme="minorHAnsi"/>
                <w:noProof/>
                <w:lang w:val="nb-NO" w:eastAsia="nb-NO"/>
              </w:rPr>
              <mc:AlternateContent>
                <mc:Choice Requires="wps">
                  <w:drawing>
                    <wp:anchor distT="0" distB="0" distL="114300" distR="114300" simplePos="0" relativeHeight="251659264" behindDoc="0" locked="0" layoutInCell="1" allowOverlap="1" wp14:anchorId="63E50A56" wp14:editId="073FD23F">
                      <wp:simplePos x="0" y="0"/>
                      <wp:positionH relativeFrom="column">
                        <wp:posOffset>-25400</wp:posOffset>
                      </wp:positionH>
                      <wp:positionV relativeFrom="paragraph">
                        <wp:posOffset>14605</wp:posOffset>
                      </wp:positionV>
                      <wp:extent cx="233680" cy="133985"/>
                      <wp:effectExtent l="0" t="0" r="0" b="0"/>
                      <wp:wrapNone/>
                      <wp:docPr id="1" name="Arrow: Left 5"/>
                      <wp:cNvGraphicFramePr/>
                      <a:graphic xmlns:a="http://schemas.openxmlformats.org/drawingml/2006/main">
                        <a:graphicData uri="http://schemas.microsoft.com/office/word/2010/wordprocessingShape">
                          <wps:wsp>
                            <wps:cNvSpPr/>
                            <wps:spPr>
                              <a:xfrm>
                                <a:off x="0" y="0"/>
                                <a:ext cx="233680" cy="133985"/>
                              </a:xfrm>
                              <a:prstGeom prst="leftArrow">
                                <a:avLst/>
                              </a:prstGeom>
                              <a:solidFill>
                                <a:srgbClr val="9BBB59"/>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3F6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2pt;margin-top:1.15pt;width:18.4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" adj="6192" fillcolor="#9bbb59" stroked="f"/>
                  </w:pict>
                </mc:Fallback>
              </mc:AlternateContent>
            </w:r>
            <w:r w:rsidR="00D83638"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786C21C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6759B56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D10F680" w14:textId="77777777" w:rsidTr="003366ED">
        <w:trPr>
          <w:trHeight w:val="56"/>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6A612303"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89193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Data timeliness (#4.8)</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4598EE67"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16FED1B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8BF38D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6AF432C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354D99C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1A88B38"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0ECD87D6"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DE0CF9D" w14:textId="77777777" w:rsidR="00D83638" w:rsidRPr="00884312" w:rsidRDefault="00D83638" w:rsidP="003366ED">
            <w:pPr>
              <w:spacing w:after="0" w:line="240" w:lineRule="auto"/>
              <w:rPr>
                <w:rFonts w:ascii="Calibri" w:hAnsi="Calibri" w:cs="Times New Roman"/>
                <w:color w:val="000000"/>
                <w:lang w:eastAsia="en-GB"/>
              </w:rPr>
            </w:pPr>
            <w:commentRangeStart w:id="16"/>
            <w:r w:rsidRPr="00884312">
              <w:rPr>
                <w:rFonts w:ascii="Calibri" w:hAnsi="Calibri" w:cs="Times New Roman"/>
                <w:color w:val="000000"/>
                <w:lang w:eastAsia="en-GB"/>
              </w:rPr>
              <w:t>Data quality (#4.9)</w:t>
            </w:r>
            <w:commentRangeEnd w:id="16"/>
            <w:r w:rsidR="00F111FD">
              <w:rPr>
                <w:rStyle w:val="CommentReference"/>
              </w:rPr>
              <w:commentReference w:id="16"/>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tcPr>
          <w:p w14:paraId="3489C70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24A611D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84AE42"/>
            <w:noWrap/>
            <w:vAlign w:val="bottom"/>
            <w:hideMark/>
          </w:tcPr>
          <w:p w14:paraId="12084AD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632AED3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FFFFFF" w:themeFill="background1"/>
            <w:noWrap/>
            <w:vAlign w:val="bottom"/>
            <w:hideMark/>
          </w:tcPr>
          <w:p w14:paraId="00DC620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BD470BA" w14:textId="77777777" w:rsidTr="003366ED">
        <w:trPr>
          <w:trHeight w:val="300"/>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vAlign w:val="center"/>
            <w:hideMark/>
          </w:tcPr>
          <w:p w14:paraId="59F1A86D"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Revenue allocation</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vAlign w:val="center"/>
            <w:hideMark/>
          </w:tcPr>
          <w:p w14:paraId="26D75513" w14:textId="77777777" w:rsidR="00D83638" w:rsidRPr="00884312" w:rsidRDefault="00D83638" w:rsidP="003366ED">
            <w:pPr>
              <w:spacing w:after="0" w:line="240" w:lineRule="auto"/>
              <w:rPr>
                <w:rFonts w:ascii="Calibri" w:hAnsi="Calibri" w:cs="Times New Roman"/>
                <w:color w:val="000000"/>
                <w:lang w:eastAsia="en-GB"/>
              </w:rPr>
            </w:pPr>
            <w:commentRangeStart w:id="17"/>
            <w:r w:rsidRPr="00884312">
              <w:rPr>
                <w:rFonts w:ascii="Calibri" w:hAnsi="Calibri" w:cs="Times New Roman"/>
                <w:color w:val="000000"/>
                <w:lang w:eastAsia="en-GB"/>
              </w:rPr>
              <w:t>Distribution of revenues (#5.1)</w:t>
            </w:r>
            <w:commentRangeEnd w:id="17"/>
            <w:r w:rsidR="00B353BB">
              <w:rPr>
                <w:rStyle w:val="CommentReference"/>
              </w:rPr>
              <w:commentReference w:id="17"/>
            </w:r>
          </w:p>
        </w:tc>
        <w:tc>
          <w:tcPr>
            <w:tcW w:w="491" w:type="dxa"/>
            <w:tcBorders>
              <w:top w:val="single" w:sz="12" w:space="0" w:color="auto"/>
              <w:left w:val="single" w:sz="6" w:space="0" w:color="auto"/>
              <w:bottom w:val="single" w:sz="6" w:space="0" w:color="auto"/>
              <w:right w:val="single" w:sz="6" w:space="0" w:color="auto"/>
            </w:tcBorders>
          </w:tcPr>
          <w:p w14:paraId="2DE77240"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316CB8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3C89EDE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000000" w:fill="auto"/>
            <w:noWrap/>
            <w:vAlign w:val="bottom"/>
            <w:hideMark/>
          </w:tcPr>
          <w:p w14:paraId="127983A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5ABD50D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4F80D219"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FF550C3"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127FD5D" w14:textId="77777777" w:rsidR="00D83638" w:rsidRPr="00884312" w:rsidRDefault="00D83638" w:rsidP="003366ED">
            <w:pPr>
              <w:spacing w:after="0" w:line="240" w:lineRule="auto"/>
              <w:rPr>
                <w:rFonts w:ascii="Calibri" w:hAnsi="Calibri" w:cs="Times New Roman"/>
                <w:color w:val="000000"/>
                <w:lang w:eastAsia="en-GB"/>
              </w:rPr>
            </w:pPr>
            <w:commentRangeStart w:id="18"/>
            <w:r w:rsidRPr="00884312">
              <w:rPr>
                <w:rFonts w:ascii="Calibri" w:hAnsi="Calibri" w:cs="Times New Roman"/>
                <w:color w:val="000000"/>
                <w:lang w:eastAsia="en-GB"/>
              </w:rPr>
              <w:t>Subnational transfers (#5.2)</w:t>
            </w:r>
            <w:commentRangeEnd w:id="18"/>
            <w:r w:rsidR="00B353BB">
              <w:rPr>
                <w:rStyle w:val="CommentReference"/>
              </w:rPr>
              <w:commentReference w:id="18"/>
            </w:r>
          </w:p>
        </w:tc>
        <w:tc>
          <w:tcPr>
            <w:tcW w:w="491" w:type="dxa"/>
            <w:tcBorders>
              <w:top w:val="single" w:sz="6" w:space="0" w:color="auto"/>
              <w:left w:val="single" w:sz="6" w:space="0" w:color="auto"/>
              <w:bottom w:val="single" w:sz="6" w:space="0" w:color="auto"/>
              <w:right w:val="single" w:sz="6" w:space="0" w:color="auto"/>
            </w:tcBorders>
          </w:tcPr>
          <w:p w14:paraId="062FBF4A"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CA3FF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1A03D40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E9AB2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257706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7F601D8"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1C08F462"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vAlign w:val="center"/>
            <w:hideMark/>
          </w:tcPr>
          <w:p w14:paraId="1E940B4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Revenue management and expenditures</w:t>
            </w:r>
            <w:r w:rsidRPr="00884312" w:rsidDel="00A91DEE">
              <w:rPr>
                <w:rFonts w:ascii="Calibri" w:hAnsi="Calibri" w:cs="Times New Roman"/>
                <w:color w:val="000000"/>
                <w:lang w:eastAsia="en-GB"/>
              </w:rPr>
              <w:t xml:space="preserve"> </w:t>
            </w:r>
            <w:r w:rsidRPr="00884312">
              <w:rPr>
                <w:rFonts w:ascii="Calibri" w:hAnsi="Calibri" w:cs="Times New Roman"/>
                <w:color w:val="000000"/>
                <w:lang w:eastAsia="en-GB"/>
              </w:rPr>
              <w:t>(#5.3)</w:t>
            </w:r>
          </w:p>
        </w:tc>
        <w:tc>
          <w:tcPr>
            <w:tcW w:w="491" w:type="dxa"/>
            <w:tcBorders>
              <w:top w:val="single" w:sz="6" w:space="0" w:color="auto"/>
              <w:left w:val="single" w:sz="6" w:space="0" w:color="auto"/>
              <w:bottom w:val="single" w:sz="12" w:space="0" w:color="auto"/>
              <w:right w:val="single" w:sz="6" w:space="0" w:color="auto"/>
            </w:tcBorders>
            <w:shd w:val="clear" w:color="000000" w:fill="D9D9D9"/>
          </w:tcPr>
          <w:p w14:paraId="308154B2"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000000" w:fill="D9D9D9"/>
            <w:noWrap/>
            <w:vAlign w:val="bottom"/>
            <w:hideMark/>
          </w:tcPr>
          <w:p w14:paraId="6C9B097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000000" w:fill="D9D9D9"/>
            <w:noWrap/>
            <w:vAlign w:val="bottom"/>
            <w:hideMark/>
          </w:tcPr>
          <w:p w14:paraId="12C68A5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000000" w:fill="D9D9D9"/>
            <w:noWrap/>
            <w:vAlign w:val="bottom"/>
            <w:hideMark/>
          </w:tcPr>
          <w:p w14:paraId="65B63EB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000000" w:fill="D9D9D9"/>
            <w:noWrap/>
            <w:vAlign w:val="bottom"/>
            <w:hideMark/>
          </w:tcPr>
          <w:p w14:paraId="1B8FD54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12645D4A" w14:textId="77777777" w:rsidTr="003366ED">
        <w:trPr>
          <w:trHeight w:val="300"/>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vAlign w:val="center"/>
            <w:hideMark/>
          </w:tcPr>
          <w:p w14:paraId="33B1C1BE"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Socio-economic contribution</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vAlign w:val="center"/>
            <w:hideMark/>
          </w:tcPr>
          <w:p w14:paraId="45625CAE" w14:textId="77777777" w:rsidR="00D83638" w:rsidRPr="00884312" w:rsidRDefault="00D83638" w:rsidP="003366ED">
            <w:pPr>
              <w:spacing w:after="0" w:line="240" w:lineRule="auto"/>
              <w:rPr>
                <w:rFonts w:ascii="Calibri" w:hAnsi="Calibri" w:cs="Times New Roman"/>
                <w:color w:val="000000"/>
                <w:lang w:eastAsia="en-GB"/>
              </w:rPr>
            </w:pPr>
            <w:commentRangeStart w:id="19"/>
            <w:r w:rsidRPr="00884312">
              <w:rPr>
                <w:rFonts w:ascii="Calibri" w:hAnsi="Calibri" w:cs="Times New Roman"/>
                <w:color w:val="000000"/>
                <w:lang w:eastAsia="en-GB"/>
              </w:rPr>
              <w:t>Mandatory social expenditures (#6.1.a)</w:t>
            </w:r>
            <w:commentRangeEnd w:id="19"/>
            <w:r w:rsidR="00B353BB">
              <w:rPr>
                <w:rStyle w:val="CommentReference"/>
              </w:rPr>
              <w:commentReference w:id="19"/>
            </w:r>
          </w:p>
        </w:tc>
        <w:tc>
          <w:tcPr>
            <w:tcW w:w="491" w:type="dxa"/>
            <w:tcBorders>
              <w:top w:val="single" w:sz="12" w:space="0" w:color="auto"/>
              <w:left w:val="single" w:sz="6" w:space="0" w:color="auto"/>
              <w:bottom w:val="single" w:sz="6" w:space="0" w:color="auto"/>
              <w:right w:val="single" w:sz="6" w:space="0" w:color="auto"/>
            </w:tcBorders>
          </w:tcPr>
          <w:p w14:paraId="698A6410"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7D2DA66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5B54DF0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61FC2EA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2296E88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7409EBB"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2F5BA139"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6944CA2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Discretionary social expenditures (#6.1.b)</w:t>
            </w:r>
          </w:p>
        </w:tc>
        <w:tc>
          <w:tcPr>
            <w:tcW w:w="491" w:type="dxa"/>
            <w:tcBorders>
              <w:top w:val="single" w:sz="6" w:space="0" w:color="auto"/>
              <w:left w:val="single" w:sz="6" w:space="0" w:color="auto"/>
              <w:bottom w:val="single" w:sz="6" w:space="0" w:color="auto"/>
              <w:right w:val="single" w:sz="6" w:space="0" w:color="auto"/>
            </w:tcBorders>
            <w:shd w:val="clear" w:color="000000" w:fill="D9D9D9"/>
          </w:tcPr>
          <w:p w14:paraId="0F0CB1E2"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7510F1E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261D441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4BC94AD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000000" w:fill="D9D9D9"/>
            <w:noWrap/>
            <w:vAlign w:val="bottom"/>
            <w:hideMark/>
          </w:tcPr>
          <w:p w14:paraId="044A08C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49FE8CC2"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51621E1"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6D1EAC8C" w14:textId="77777777" w:rsidR="00D83638" w:rsidRPr="00884312" w:rsidRDefault="00D83638" w:rsidP="003366ED">
            <w:pPr>
              <w:spacing w:after="0" w:line="240" w:lineRule="auto"/>
              <w:rPr>
                <w:rFonts w:ascii="Calibri" w:hAnsi="Calibri" w:cs="Times New Roman"/>
                <w:color w:val="000000"/>
                <w:lang w:eastAsia="en-GB"/>
              </w:rPr>
            </w:pPr>
            <w:commentRangeStart w:id="20"/>
            <w:r w:rsidRPr="00884312">
              <w:rPr>
                <w:rFonts w:ascii="Calibri" w:hAnsi="Calibri" w:cs="Times New Roman"/>
                <w:color w:val="000000"/>
                <w:lang w:eastAsia="en-GB"/>
              </w:rPr>
              <w:t>SOE quasi-fiscal expenditures (#6.2)</w:t>
            </w:r>
            <w:commentRangeEnd w:id="20"/>
            <w:r w:rsidR="00B353BB">
              <w:rPr>
                <w:rStyle w:val="CommentReference"/>
              </w:rPr>
              <w:commentReference w:id="20"/>
            </w:r>
          </w:p>
        </w:tc>
        <w:tc>
          <w:tcPr>
            <w:tcW w:w="491" w:type="dxa"/>
            <w:tcBorders>
              <w:top w:val="single" w:sz="6" w:space="0" w:color="auto"/>
              <w:left w:val="single" w:sz="6" w:space="0" w:color="auto"/>
              <w:bottom w:val="single" w:sz="6" w:space="0" w:color="auto"/>
              <w:right w:val="single" w:sz="6" w:space="0" w:color="auto"/>
            </w:tcBorders>
            <w:shd w:val="clear" w:color="auto" w:fill="C00000"/>
          </w:tcPr>
          <w:p w14:paraId="4CCE61C8"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8A174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AC3F5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077F3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9A8562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4A27F3AA"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456ABFEC"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vAlign w:val="center"/>
            <w:hideMark/>
          </w:tcPr>
          <w:p w14:paraId="2B51AB9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Economic contribution (#6.3)</w:t>
            </w:r>
          </w:p>
        </w:tc>
        <w:tc>
          <w:tcPr>
            <w:tcW w:w="491" w:type="dxa"/>
            <w:tcBorders>
              <w:top w:val="single" w:sz="6" w:space="0" w:color="auto"/>
              <w:left w:val="single" w:sz="6" w:space="0" w:color="auto"/>
              <w:bottom w:val="single" w:sz="12" w:space="0" w:color="auto"/>
              <w:right w:val="single" w:sz="6" w:space="0" w:color="auto"/>
            </w:tcBorders>
          </w:tcPr>
          <w:p w14:paraId="77304DB7"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1322567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84AE42"/>
            <w:noWrap/>
            <w:vAlign w:val="bottom"/>
            <w:hideMark/>
          </w:tcPr>
          <w:p w14:paraId="275C368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17A39E7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7B0356D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570C1DB0" w14:textId="77777777" w:rsidTr="003366ED">
        <w:trPr>
          <w:trHeight w:val="300"/>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79BB8E01"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Outcomes and impact</w:t>
            </w:r>
          </w:p>
        </w:tc>
        <w:tc>
          <w:tcPr>
            <w:tcW w:w="4535" w:type="dxa"/>
            <w:gridSpan w:val="4"/>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B43C6F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Public debate (#7.1)</w:t>
            </w:r>
          </w:p>
        </w:tc>
        <w:tc>
          <w:tcPr>
            <w:tcW w:w="491" w:type="dxa"/>
            <w:tcBorders>
              <w:top w:val="single" w:sz="12" w:space="0" w:color="auto"/>
              <w:left w:val="single" w:sz="6" w:space="0" w:color="auto"/>
              <w:bottom w:val="single" w:sz="6" w:space="0" w:color="auto"/>
              <w:right w:val="single" w:sz="6" w:space="0" w:color="auto"/>
            </w:tcBorders>
          </w:tcPr>
          <w:p w14:paraId="62356685"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35AAE64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7850926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460D28C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01E205F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60EB6046" w14:textId="77777777" w:rsidTr="003366ED">
        <w:trPr>
          <w:trHeight w:val="282"/>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6DBC8ED"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B7EA5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Data accessibility (#7.2)</w:t>
            </w:r>
          </w:p>
        </w:tc>
        <w:tc>
          <w:tcPr>
            <w:tcW w:w="491" w:type="dxa"/>
            <w:tcBorders>
              <w:top w:val="single" w:sz="6" w:space="0" w:color="auto"/>
              <w:left w:val="single" w:sz="6" w:space="0" w:color="auto"/>
              <w:bottom w:val="single" w:sz="6" w:space="0" w:color="auto"/>
              <w:right w:val="single" w:sz="6" w:space="0" w:color="auto"/>
            </w:tcBorders>
            <w:shd w:val="clear" w:color="000000" w:fill="D9D9D9"/>
          </w:tcPr>
          <w:p w14:paraId="02A6C975"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538B2E8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1D858EA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27BF36D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000000" w:fill="D9D9D9"/>
            <w:noWrap/>
            <w:vAlign w:val="bottom"/>
            <w:hideMark/>
          </w:tcPr>
          <w:p w14:paraId="6DA7FEE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59F1A24A"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0D954A4"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90F10A" w14:textId="77777777" w:rsidR="00D83638" w:rsidRPr="00884312" w:rsidRDefault="00D83638" w:rsidP="003366ED">
            <w:pPr>
              <w:spacing w:after="0" w:line="240" w:lineRule="auto"/>
              <w:rPr>
                <w:rFonts w:ascii="Calibri" w:hAnsi="Calibri" w:cs="Times New Roman"/>
                <w:color w:val="000000"/>
                <w:lang w:eastAsia="en-GB"/>
              </w:rPr>
            </w:pPr>
            <w:commentRangeStart w:id="21"/>
            <w:r w:rsidRPr="00884312">
              <w:rPr>
                <w:rFonts w:ascii="Calibri" w:hAnsi="Calibri" w:cs="Times New Roman"/>
                <w:color w:val="000000"/>
                <w:lang w:eastAsia="en-GB"/>
              </w:rPr>
              <w:t>Follow up on recommendations (#7.3)</w:t>
            </w:r>
            <w:commentRangeEnd w:id="21"/>
            <w:r w:rsidR="00B353BB">
              <w:rPr>
                <w:rStyle w:val="CommentReference"/>
              </w:rPr>
              <w:commentReference w:id="21"/>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0F7C0831"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2453078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053D98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4BCDA91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2BDD0AB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9C00635"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25EBE27A"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655C23E1" w14:textId="77777777" w:rsidR="00D83638" w:rsidRPr="00884312" w:rsidRDefault="00D83638" w:rsidP="003366ED">
            <w:pPr>
              <w:spacing w:after="0" w:line="240" w:lineRule="auto"/>
              <w:rPr>
                <w:rFonts w:ascii="Calibri" w:hAnsi="Calibri" w:cs="Times New Roman"/>
                <w:color w:val="000000"/>
                <w:lang w:eastAsia="en-GB"/>
              </w:rPr>
            </w:pPr>
            <w:commentRangeStart w:id="22"/>
            <w:r w:rsidRPr="00884312">
              <w:rPr>
                <w:rFonts w:ascii="Calibri" w:hAnsi="Calibri" w:cs="Times New Roman"/>
                <w:color w:val="000000"/>
                <w:lang w:eastAsia="en-GB"/>
              </w:rPr>
              <w:t>Outcomes and impact of implementation (#7.4)</w:t>
            </w:r>
            <w:commentRangeEnd w:id="22"/>
            <w:r w:rsidR="00B353BB">
              <w:rPr>
                <w:rStyle w:val="CommentReference"/>
              </w:rPr>
              <w:commentReference w:id="22"/>
            </w:r>
          </w:p>
        </w:tc>
        <w:tc>
          <w:tcPr>
            <w:tcW w:w="491" w:type="dxa"/>
            <w:tcBorders>
              <w:top w:val="single" w:sz="6" w:space="0" w:color="auto"/>
              <w:left w:val="single" w:sz="6" w:space="0" w:color="auto"/>
              <w:bottom w:val="single" w:sz="12" w:space="0" w:color="auto"/>
              <w:right w:val="single" w:sz="6" w:space="0" w:color="auto"/>
            </w:tcBorders>
          </w:tcPr>
          <w:p w14:paraId="1AD96C78"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2223097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352FEEB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noWrap/>
            <w:vAlign w:val="bottom"/>
            <w:hideMark/>
          </w:tcPr>
          <w:p w14:paraId="0AE5579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1B5F154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bl>
    <w:p w14:paraId="62D9987F" w14:textId="77777777" w:rsidR="007F1C2E" w:rsidRDefault="007F1C2E" w:rsidP="00F12713">
      <w:pPr>
        <w:spacing w:after="0" w:line="240" w:lineRule="auto"/>
        <w:rPr>
          <w:rFonts w:cstheme="minorHAnsi"/>
          <w:color w:val="000000" w:themeColor="text1"/>
          <w:lang w:eastAsia="en-GB"/>
        </w:rPr>
      </w:pPr>
    </w:p>
    <w:p w14:paraId="7DA52E5A" w14:textId="77777777" w:rsidR="00C17CE1" w:rsidRDefault="00C17CE1" w:rsidP="00F12713">
      <w:pPr>
        <w:spacing w:after="0" w:line="240" w:lineRule="auto"/>
        <w:rPr>
          <w:rFonts w:cstheme="minorHAnsi"/>
          <w:color w:val="000000" w:themeColor="text1"/>
          <w:lang w:eastAsia="en-GB"/>
        </w:rPr>
      </w:pPr>
    </w:p>
    <w:p w14:paraId="44F02676" w14:textId="77777777" w:rsidR="00C17CE1" w:rsidRDefault="00C17CE1" w:rsidP="00F12713">
      <w:pPr>
        <w:spacing w:after="0" w:line="240" w:lineRule="auto"/>
        <w:rPr>
          <w:rFonts w:cstheme="minorHAnsi"/>
          <w:color w:val="000000" w:themeColor="text1"/>
          <w:lang w:eastAsia="en-GB"/>
        </w:rPr>
      </w:pPr>
    </w:p>
    <w:tbl>
      <w:tblPr>
        <w:tblW w:w="9896" w:type="dxa"/>
        <w:tblLook w:val="04A0" w:firstRow="1" w:lastRow="0" w:firstColumn="1" w:lastColumn="0" w:noHBand="0" w:noVBand="1"/>
      </w:tblPr>
      <w:tblGrid>
        <w:gridCol w:w="1050"/>
        <w:gridCol w:w="8846"/>
      </w:tblGrid>
      <w:tr w:rsidR="00C17CE1" w:rsidRPr="000F507E"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77777777" w:rsidR="00C17CE1" w:rsidRPr="000F507E" w:rsidRDefault="00C17CE1" w:rsidP="00780054">
            <w:pPr>
              <w:spacing w:after="0" w:line="240" w:lineRule="auto"/>
              <w:rPr>
                <w:rFonts w:cs="Times New Roman"/>
                <w:i/>
                <w:color w:val="000000"/>
              </w:rPr>
            </w:pPr>
            <w:r w:rsidRPr="000F507E">
              <w:rPr>
                <w:rFonts w:cs="Times New Roman"/>
                <w:i/>
                <w:color w:val="000000"/>
              </w:rPr>
              <w:t>Legend to the assessment card</w:t>
            </w:r>
          </w:p>
        </w:tc>
      </w:tr>
      <w:tr w:rsidR="00C17CE1" w:rsidRPr="000F507E"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0F507E" w:rsidRDefault="00C17CE1" w:rsidP="00780054">
            <w:pPr>
              <w:spacing w:after="0" w:line="240" w:lineRule="auto"/>
              <w:rPr>
                <w:rFonts w:cs="Times New Roman"/>
              </w:rPr>
            </w:pPr>
          </w:p>
        </w:tc>
        <w:tc>
          <w:tcPr>
            <w:tcW w:w="8846" w:type="dxa"/>
            <w:tcBorders>
              <w:top w:val="nil"/>
              <w:left w:val="nil"/>
              <w:bottom w:val="nil"/>
              <w:right w:val="nil"/>
            </w:tcBorders>
            <w:shd w:val="clear" w:color="auto" w:fill="auto"/>
            <w:noWrap/>
            <w:vAlign w:val="bottom"/>
            <w:hideMark/>
          </w:tcPr>
          <w:p w14:paraId="033E7A01" w14:textId="77777777" w:rsidR="00C17CE1" w:rsidRPr="000F507E" w:rsidRDefault="00C17CE1" w:rsidP="00780054">
            <w:pPr>
              <w:spacing w:after="0" w:line="240" w:lineRule="auto"/>
              <w:rPr>
                <w:rFonts w:cs="Times New Roman"/>
              </w:rPr>
            </w:pPr>
          </w:p>
        </w:tc>
      </w:tr>
      <w:tr w:rsidR="00C17CE1" w:rsidRPr="000F507E"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76FB92DD"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no progress in addressing the requirement.  The broader objective of the requirement is in no way fulfilled.</w:t>
            </w:r>
          </w:p>
        </w:tc>
      </w:tr>
      <w:tr w:rsidR="00C17CE1" w:rsidRPr="000F507E"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EFFCF05"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inadequate progress in meeting the requirement. Significant elements of the requirement are outstanding and the broader objective of the requirement is far from being fulfilled.</w:t>
            </w:r>
          </w:p>
        </w:tc>
      </w:tr>
      <w:tr w:rsidR="00C17CE1" w:rsidRPr="000F507E"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46C2B5A"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made progress in meeting the requirement. Significant elements of the requirement are being implemented and the broader objective of the requirement is being fulfilled. </w:t>
            </w:r>
          </w:p>
        </w:tc>
      </w:tr>
      <w:tr w:rsidR="00C17CE1" w:rsidRPr="000F507E"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5FDF83B"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is compliant with the EITI requirement. </w:t>
            </w:r>
          </w:p>
        </w:tc>
      </w:tr>
      <w:tr w:rsidR="00C17CE1" w:rsidRPr="000F507E"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A604ADE"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gone beyond the requirement. </w:t>
            </w:r>
          </w:p>
        </w:tc>
      </w:tr>
      <w:tr w:rsidR="00C17CE1" w:rsidRPr="000F507E"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0F507E" w:rsidRDefault="00C17CE1" w:rsidP="00780054">
            <w:pPr>
              <w:spacing w:after="0" w:line="240" w:lineRule="auto"/>
              <w:jc w:val="center"/>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80F230E" w14:textId="77777777" w:rsidR="00C17CE1" w:rsidRPr="000F507E" w:rsidRDefault="00C17CE1" w:rsidP="00780054">
            <w:pPr>
              <w:spacing w:after="0" w:line="240" w:lineRule="auto"/>
              <w:rPr>
                <w:rFonts w:cs="Times New Roman"/>
                <w:color w:val="000000"/>
              </w:rPr>
            </w:pPr>
            <w:r w:rsidRPr="000F507E">
              <w:rPr>
                <w:rFonts w:cs="Times New Roman"/>
                <w:color w:val="000000"/>
              </w:rPr>
              <w:t>This requirement is only encouraged or recommended and should not be taken into account in assessing compliance.</w:t>
            </w:r>
          </w:p>
        </w:tc>
      </w:tr>
      <w:tr w:rsidR="00C17CE1" w:rsidRPr="000F507E"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0F507E" w:rsidRDefault="00C17CE1" w:rsidP="00780054">
            <w:pPr>
              <w:spacing w:after="0" w:line="240" w:lineRule="auto"/>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DB0A30F"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MSG has demonstrated that this requirement is not applicable in the country. </w:t>
            </w:r>
          </w:p>
        </w:tc>
      </w:tr>
    </w:tbl>
    <w:p w14:paraId="2AFE60CA" w14:textId="77777777" w:rsidR="00C17CE1" w:rsidRDefault="00C17CE1" w:rsidP="00F12713">
      <w:pPr>
        <w:spacing w:after="0" w:line="240" w:lineRule="auto"/>
        <w:rPr>
          <w:rFonts w:cstheme="minorHAnsi"/>
          <w:color w:val="000000" w:themeColor="text1"/>
          <w:lang w:eastAsia="en-GB"/>
        </w:rPr>
      </w:pPr>
    </w:p>
    <w:p w14:paraId="183C2573" w14:textId="026FA95E" w:rsidR="00A67544" w:rsidRPr="005625E1" w:rsidRDefault="002D2440" w:rsidP="00F12713">
      <w:pPr>
        <w:spacing w:after="0" w:line="240" w:lineRule="auto"/>
        <w:rPr>
          <w:rFonts w:cstheme="minorHAnsi"/>
          <w:b/>
          <w:color w:val="365F91" w:themeColor="accent1" w:themeShade="BF"/>
        </w:rPr>
      </w:pPr>
      <w:r w:rsidRPr="005625E1">
        <w:rPr>
          <w:rFonts w:cstheme="minorHAnsi"/>
          <w:b/>
          <w:color w:val="365F91" w:themeColor="accent1" w:themeShade="BF"/>
        </w:rPr>
        <w:br w:type="page"/>
      </w:r>
      <w:r w:rsidR="00B06EE0" w:rsidRPr="005625E1">
        <w:rPr>
          <w:rFonts w:cstheme="minorHAnsi"/>
          <w:b/>
          <w:color w:val="365F91" w:themeColor="accent1" w:themeShade="BF"/>
        </w:rPr>
        <w:lastRenderedPageBreak/>
        <w:t>3</w:t>
      </w:r>
      <w:r w:rsidR="00A67544" w:rsidRPr="005625E1">
        <w:rPr>
          <w:rFonts w:cstheme="minorHAnsi"/>
          <w:b/>
          <w:color w:val="365F91" w:themeColor="accent1" w:themeShade="BF"/>
        </w:rPr>
        <w:t>.</w:t>
      </w:r>
      <w:r w:rsidR="00310D77" w:rsidRPr="005625E1">
        <w:rPr>
          <w:rFonts w:cstheme="minorHAnsi"/>
          <w:b/>
          <w:color w:val="365F91" w:themeColor="accent1" w:themeShade="BF"/>
        </w:rPr>
        <w:tab/>
      </w:r>
      <w:r w:rsidR="00FD1CB7" w:rsidRPr="005625E1">
        <w:rPr>
          <w:rFonts w:cstheme="minorHAnsi"/>
          <w:b/>
          <w:color w:val="365F91" w:themeColor="accent1" w:themeShade="BF"/>
        </w:rPr>
        <w:t xml:space="preserve">DETAILED FINDINGS </w:t>
      </w:r>
    </w:p>
    <w:p w14:paraId="10C12F4D" w14:textId="77777777" w:rsidR="00824402" w:rsidRDefault="00824402" w:rsidP="00F12713">
      <w:pPr>
        <w:spacing w:after="0" w:line="240" w:lineRule="auto"/>
        <w:rPr>
          <w:rFonts w:cstheme="minorHAnsi"/>
          <w:b/>
        </w:rPr>
      </w:pPr>
    </w:p>
    <w:p w14:paraId="6A19A75B" w14:textId="32CBC7BE" w:rsidR="000F7F99" w:rsidRDefault="000F7F99" w:rsidP="00F12713">
      <w:pPr>
        <w:spacing w:after="0" w:line="240" w:lineRule="auto"/>
        <w:rPr>
          <w:rFonts w:cstheme="minorHAnsi"/>
        </w:rPr>
      </w:pPr>
      <w:r>
        <w:rPr>
          <w:rFonts w:cstheme="minorHAnsi"/>
        </w:rPr>
        <w:t>This section highlights areas where the Validator disagrees with the</w:t>
      </w:r>
      <w:r w:rsidR="006F0D9A">
        <w:rPr>
          <w:rFonts w:cstheme="minorHAnsi"/>
        </w:rPr>
        <w:t xml:space="preserve"> findings of the</w:t>
      </w:r>
      <w:r>
        <w:rPr>
          <w:rFonts w:cstheme="minorHAnsi"/>
        </w:rPr>
        <w:t xml:space="preserve"> Initial Assessment</w:t>
      </w:r>
      <w:r w:rsidR="00603DEF">
        <w:rPr>
          <w:rFonts w:cstheme="minorHAnsi"/>
        </w:rPr>
        <w:t xml:space="preserve">, </w:t>
      </w:r>
      <w:r w:rsidR="001A50F7">
        <w:rPr>
          <w:rFonts w:cstheme="minorHAnsi"/>
        </w:rPr>
        <w:t>requires further clarification</w:t>
      </w:r>
      <w:r w:rsidR="00603DEF">
        <w:rPr>
          <w:rFonts w:cstheme="minorHAnsi"/>
        </w:rPr>
        <w:t>, or wishes to further emphasise a specific issue.</w:t>
      </w:r>
    </w:p>
    <w:p w14:paraId="75363814" w14:textId="77777777" w:rsidR="000F7F99" w:rsidRDefault="000F7F99" w:rsidP="00F12713">
      <w:pPr>
        <w:spacing w:after="0" w:line="240" w:lineRule="auto"/>
        <w:rPr>
          <w:rFonts w:cstheme="minorHAnsi"/>
        </w:rPr>
      </w:pPr>
    </w:p>
    <w:p w14:paraId="4E0359ED" w14:textId="2E11726D" w:rsidR="00853FAF" w:rsidRDefault="00853FAF" w:rsidP="00853FAF">
      <w:pPr>
        <w:spacing w:after="0" w:line="240" w:lineRule="auto"/>
        <w:rPr>
          <w:rFonts w:cstheme="minorHAnsi"/>
          <w:b/>
        </w:rPr>
      </w:pPr>
      <w:r>
        <w:rPr>
          <w:rFonts w:cstheme="minorHAnsi"/>
          <w:b/>
        </w:rPr>
        <w:t>1.5   Work plan</w:t>
      </w:r>
    </w:p>
    <w:p w14:paraId="4261BF31" w14:textId="77777777" w:rsidR="00853FAF" w:rsidRDefault="00853FAF" w:rsidP="00853FAF">
      <w:pPr>
        <w:spacing w:after="0" w:line="240" w:lineRule="auto"/>
        <w:rPr>
          <w:rFonts w:cstheme="minorHAnsi"/>
        </w:rPr>
      </w:pPr>
      <w:commentRangeStart w:id="23"/>
      <w:r w:rsidRPr="00853FAF">
        <w:rPr>
          <w:rFonts w:cstheme="minorHAnsi"/>
        </w:rPr>
        <w:t>Requirement 1.5 (d) states that the work plan must ‘identify domestic and external sources of funding and technical assistance where appropriate in order to ensure timely implementation of the agreed work plan’. As pointed out by International Secretariat in the initial assessment, the 2016-2018 work plan includes some activities that do not appear to have confirmed sources of funding, but which state that ‘the MSG is committed to reach out to the available sources of funding (government, private sector and donors) to help secure funding for the activity’.</w:t>
      </w:r>
    </w:p>
    <w:p w14:paraId="1AD4C7BC" w14:textId="77777777" w:rsidR="009A2FD7" w:rsidRPr="00853FAF" w:rsidRDefault="009A2FD7" w:rsidP="00853FAF">
      <w:pPr>
        <w:spacing w:after="0" w:line="240" w:lineRule="auto"/>
        <w:rPr>
          <w:rFonts w:cstheme="minorHAnsi"/>
        </w:rPr>
      </w:pPr>
    </w:p>
    <w:p w14:paraId="3AF091F1" w14:textId="77777777" w:rsidR="00853FAF" w:rsidRDefault="00853FAF" w:rsidP="00853FAF">
      <w:pPr>
        <w:spacing w:after="0" w:line="240" w:lineRule="auto"/>
        <w:rPr>
          <w:rFonts w:cstheme="minorHAnsi"/>
        </w:rPr>
      </w:pPr>
      <w:r w:rsidRPr="00853FAF">
        <w:rPr>
          <w:rFonts w:cstheme="minorHAnsi"/>
        </w:rPr>
        <w:t>The Independent Validator notes that the lack of secure funding for the work plan and for EITI implementation generally moving forwards is a major concern. According to the initial assessment, World Bank funds, including for the national secretariat, came to an end in March 2017 and it is not clear what will take their place, although Canada, GIZ and UNDP are also cited as other donors of some aspects of the work plan.  It may be that funding for the national secretariat and other activities included in the work plan has now been secured (since the initial assessment report was produced) – but if not, then this remains a major concern.</w:t>
      </w:r>
    </w:p>
    <w:p w14:paraId="6FFF320A" w14:textId="77777777" w:rsidR="009A2FD7" w:rsidRPr="00853FAF" w:rsidRDefault="009A2FD7" w:rsidP="00853FAF">
      <w:pPr>
        <w:spacing w:after="0" w:line="240" w:lineRule="auto"/>
        <w:rPr>
          <w:rFonts w:cstheme="minorHAnsi"/>
        </w:rPr>
      </w:pPr>
    </w:p>
    <w:p w14:paraId="3A1BADE8" w14:textId="77777777" w:rsidR="00853FAF" w:rsidRDefault="00853FAF" w:rsidP="00853FAF">
      <w:pPr>
        <w:spacing w:after="0" w:line="240" w:lineRule="auto"/>
        <w:rPr>
          <w:rFonts w:cstheme="minorHAnsi"/>
        </w:rPr>
      </w:pPr>
      <w:r w:rsidRPr="00853FAF">
        <w:rPr>
          <w:rFonts w:cstheme="minorHAnsi"/>
        </w:rPr>
        <w:t xml:space="preserve">In addition, the Mozambique EITI website appears to no longer be active/online. This further raises concerns about the active and effective functioning of the process overall, as well as the extent to which sufficient funds are available for basic activities such as maintaining a functioning website. </w:t>
      </w:r>
      <w:commentRangeEnd w:id="23"/>
      <w:r w:rsidR="003D6B4A">
        <w:rPr>
          <w:rStyle w:val="CommentReference"/>
        </w:rPr>
        <w:commentReference w:id="23"/>
      </w:r>
    </w:p>
    <w:p w14:paraId="1216C8BB" w14:textId="77777777" w:rsidR="001B0E39" w:rsidRDefault="001B0E39" w:rsidP="00853FAF">
      <w:pPr>
        <w:spacing w:after="0" w:line="240" w:lineRule="auto"/>
        <w:rPr>
          <w:rFonts w:cstheme="minorHAnsi"/>
        </w:rPr>
      </w:pPr>
    </w:p>
    <w:p w14:paraId="70FA0369" w14:textId="6D42C6A1" w:rsidR="00853FAF" w:rsidRDefault="001B0E39" w:rsidP="00F12713">
      <w:pPr>
        <w:spacing w:after="0" w:line="240" w:lineRule="auto"/>
        <w:rPr>
          <w:rFonts w:cstheme="minorHAnsi"/>
          <w:b/>
        </w:rPr>
      </w:pPr>
      <w:r w:rsidRPr="001B0E39">
        <w:rPr>
          <w:rFonts w:cstheme="minorHAnsi"/>
          <w:b/>
        </w:rPr>
        <w:t xml:space="preserve">2.1 </w:t>
      </w:r>
      <w:r w:rsidR="00D35AA1">
        <w:rPr>
          <w:rFonts w:cstheme="minorHAnsi"/>
          <w:b/>
        </w:rPr>
        <w:t>Legal framework and fiscal regime:</w:t>
      </w:r>
    </w:p>
    <w:p w14:paraId="3FCF305A" w14:textId="0BDAE356" w:rsidR="00D35AA1" w:rsidRDefault="00D35AA1" w:rsidP="00F12713">
      <w:pPr>
        <w:spacing w:after="0" w:line="240" w:lineRule="auto"/>
        <w:rPr>
          <w:rFonts w:cstheme="minorHAnsi"/>
        </w:rPr>
      </w:pPr>
      <w:commentRangeStart w:id="24"/>
      <w:r>
        <w:rPr>
          <w:rFonts w:cstheme="minorHAnsi"/>
        </w:rPr>
        <w:t>Although</w:t>
      </w:r>
      <w:r w:rsidR="00043C99">
        <w:rPr>
          <w:rFonts w:cstheme="minorHAnsi"/>
        </w:rPr>
        <w:t xml:space="preserve"> section 3.1</w:t>
      </w:r>
      <w:r>
        <w:rPr>
          <w:rFonts w:cstheme="minorHAnsi"/>
        </w:rPr>
        <w:t xml:space="preserve"> </w:t>
      </w:r>
      <w:r w:rsidR="00043C99">
        <w:rPr>
          <w:rFonts w:cstheme="minorHAnsi"/>
        </w:rPr>
        <w:t>(</w:t>
      </w:r>
      <w:r>
        <w:rPr>
          <w:rFonts w:cstheme="minorHAnsi"/>
        </w:rPr>
        <w:t>p42 onwards</w:t>
      </w:r>
      <w:r w:rsidR="00043C99">
        <w:rPr>
          <w:rFonts w:cstheme="minorHAnsi"/>
        </w:rPr>
        <w:t>)</w:t>
      </w:r>
      <w:r>
        <w:rPr>
          <w:rFonts w:cstheme="minorHAnsi"/>
        </w:rPr>
        <w:t xml:space="preserve"> of the EITI 2013-14 report provides an analysis of the Mozambique tax system at national and municipal level and includes a section on mining and hydrocarbons, there is no explicit discussion of the level of fiscal devolution, as required by the EITI Standard.</w:t>
      </w:r>
      <w:r w:rsidR="00043C99">
        <w:rPr>
          <w:rFonts w:cstheme="minorHAnsi"/>
        </w:rPr>
        <w:t xml:space="preserve">  The Independent Assessment does note that there is allocation to specific programs/regions (in section 7.2 of the EITI 2013-14 report).  While relevant, this does not count as a summary description of the level of fiscal devolution, which in any case should appear in section 3.1 of the report.</w:t>
      </w:r>
      <w:commentRangeEnd w:id="24"/>
      <w:r w:rsidR="003D6B4A">
        <w:rPr>
          <w:rStyle w:val="CommentReference"/>
        </w:rPr>
        <w:commentReference w:id="24"/>
      </w:r>
    </w:p>
    <w:p w14:paraId="792EDFD3" w14:textId="77777777" w:rsidR="00AA2D9A" w:rsidRDefault="00AA2D9A" w:rsidP="00F12713">
      <w:pPr>
        <w:spacing w:after="0" w:line="240" w:lineRule="auto"/>
        <w:rPr>
          <w:rFonts w:cstheme="minorHAnsi"/>
        </w:rPr>
      </w:pPr>
    </w:p>
    <w:p w14:paraId="164D914C" w14:textId="1B5113DA" w:rsidR="00AA2D9A" w:rsidRPr="00AA2D9A" w:rsidRDefault="00AA2D9A" w:rsidP="00F12713">
      <w:pPr>
        <w:spacing w:after="0" w:line="240" w:lineRule="auto"/>
        <w:rPr>
          <w:rFonts w:cstheme="minorHAnsi"/>
          <w:b/>
        </w:rPr>
      </w:pPr>
      <w:r w:rsidRPr="00AA2D9A">
        <w:rPr>
          <w:rFonts w:cstheme="minorHAnsi"/>
          <w:b/>
        </w:rPr>
        <w:t>2.4 Contract disclosures:</w:t>
      </w:r>
    </w:p>
    <w:p w14:paraId="7FE8A6B9" w14:textId="55316016" w:rsidR="00AA2D9A" w:rsidRPr="00D35AA1" w:rsidRDefault="00AA2D9A" w:rsidP="00F12713">
      <w:pPr>
        <w:spacing w:after="0" w:line="240" w:lineRule="auto"/>
        <w:rPr>
          <w:rFonts w:cstheme="minorHAnsi"/>
        </w:rPr>
      </w:pPr>
      <w:commentRangeStart w:id="25"/>
      <w:r>
        <w:rPr>
          <w:rFonts w:cstheme="minorHAnsi"/>
        </w:rPr>
        <w:t xml:space="preserve">There is a lack of clarity in the </w:t>
      </w:r>
      <w:r w:rsidR="009D5C0D">
        <w:rPr>
          <w:rFonts w:cstheme="minorHAnsi"/>
        </w:rPr>
        <w:t>2014 Petroleum Law regarding the issue of whether addenda to the contracts (beyond the “main terms”) will remain confidential.  It is recommended that subsequent EITI reports in Mozambique clarify this issue.  For mining, there is no clarity at policy level regarding whether mining contracts must be publicly available, nor whether they are standardised or subject to direct negotiation.  Again, it is recommended that there is clarity on this issue in subsequent EITI reports.</w:t>
      </w:r>
      <w:commentRangeEnd w:id="25"/>
      <w:r w:rsidR="003D6B4A">
        <w:rPr>
          <w:rStyle w:val="CommentReference"/>
        </w:rPr>
        <w:commentReference w:id="25"/>
      </w:r>
    </w:p>
    <w:p w14:paraId="002B9C21" w14:textId="77777777" w:rsidR="001B0E39" w:rsidRPr="000F7F99" w:rsidRDefault="001B0E39" w:rsidP="00F12713">
      <w:pPr>
        <w:spacing w:after="0" w:line="240" w:lineRule="auto"/>
        <w:rPr>
          <w:rFonts w:cstheme="minorHAnsi"/>
        </w:rPr>
      </w:pPr>
    </w:p>
    <w:p w14:paraId="3DC1051E" w14:textId="77777777" w:rsidR="009A2FD7" w:rsidRPr="009A2FD7" w:rsidRDefault="009A2FD7" w:rsidP="009A2FD7">
      <w:pPr>
        <w:spacing w:after="0" w:line="240" w:lineRule="auto"/>
        <w:rPr>
          <w:rFonts w:cstheme="minorHAnsi"/>
          <w:b/>
        </w:rPr>
      </w:pPr>
      <w:r w:rsidRPr="009A2FD7">
        <w:rPr>
          <w:rFonts w:cstheme="minorHAnsi"/>
          <w:b/>
        </w:rPr>
        <w:t xml:space="preserve">4.7 Level of disaggregation: </w:t>
      </w:r>
    </w:p>
    <w:p w14:paraId="30EE2ED5" w14:textId="77777777" w:rsidR="009A2FD7" w:rsidRPr="009A2FD7" w:rsidRDefault="009A2FD7" w:rsidP="009A2FD7">
      <w:pPr>
        <w:spacing w:after="0" w:line="240" w:lineRule="auto"/>
        <w:rPr>
          <w:rFonts w:cstheme="minorHAnsi"/>
        </w:rPr>
      </w:pPr>
      <w:r w:rsidRPr="009A2FD7">
        <w:rPr>
          <w:rFonts w:cstheme="minorHAnsi"/>
        </w:rPr>
        <w:t xml:space="preserve">We recommend that requirement 4.7 is downgraded to meaningful progress.  </w:t>
      </w:r>
    </w:p>
    <w:p w14:paraId="3C87808A" w14:textId="65CA75D4" w:rsidR="009A2FD7" w:rsidRPr="009A2FD7" w:rsidRDefault="009A2FD7" w:rsidP="009A2FD7">
      <w:pPr>
        <w:spacing w:after="0" w:line="240" w:lineRule="auto"/>
        <w:rPr>
          <w:rFonts w:cstheme="minorHAnsi"/>
        </w:rPr>
      </w:pPr>
      <w:r w:rsidRPr="009A2FD7">
        <w:rPr>
          <w:rFonts w:cstheme="minorHAnsi"/>
        </w:rPr>
        <w:t xml:space="preserve">Provision 4.7 requires that EITI data is </w:t>
      </w:r>
      <w:r w:rsidR="008A0D05">
        <w:rPr>
          <w:rFonts w:cstheme="minorHAnsi"/>
        </w:rPr>
        <w:t>disaggregated</w:t>
      </w:r>
      <w:r w:rsidRPr="009A2FD7">
        <w:rPr>
          <w:rFonts w:cstheme="minorHAnsi"/>
        </w:rPr>
        <w:t xml:space="preserve"> by government entity, individual company and revenue stream. In</w:t>
      </w:r>
      <w:r w:rsidR="008A0D05">
        <w:rPr>
          <w:rFonts w:cstheme="minorHAnsi"/>
        </w:rPr>
        <w:t xml:space="preserve"> addition, it data should</w:t>
      </w:r>
      <w:r w:rsidRPr="009A2FD7">
        <w:rPr>
          <w:rFonts w:cstheme="minorHAnsi"/>
        </w:rPr>
        <w:t xml:space="preserve"> be </w:t>
      </w:r>
      <w:r w:rsidR="008A0D05">
        <w:rPr>
          <w:rFonts w:cstheme="minorHAnsi"/>
        </w:rPr>
        <w:t>disaggregated</w:t>
      </w:r>
      <w:r w:rsidRPr="009A2FD7">
        <w:rPr>
          <w:rFonts w:cstheme="minorHAnsi"/>
        </w:rPr>
        <w:t xml:space="preserve"> by project</w:t>
      </w:r>
      <w:r w:rsidR="008A0D05">
        <w:rPr>
          <w:rFonts w:cstheme="minorHAnsi"/>
        </w:rPr>
        <w:t>,</w:t>
      </w:r>
      <w:r w:rsidRPr="009A2FD7">
        <w:rPr>
          <w:rFonts w:cstheme="minorHAnsi"/>
        </w:rPr>
        <w:t xml:space="preserve"> consistent with the United States Securities and Exchange Commission and European Union rules.   </w:t>
      </w:r>
    </w:p>
    <w:p w14:paraId="23173FED" w14:textId="77777777" w:rsidR="008A0D05" w:rsidRDefault="008A0D05" w:rsidP="009A2FD7">
      <w:pPr>
        <w:spacing w:after="0" w:line="240" w:lineRule="auto"/>
        <w:rPr>
          <w:rFonts w:cstheme="minorHAnsi"/>
        </w:rPr>
      </w:pPr>
    </w:p>
    <w:p w14:paraId="355AFBD6" w14:textId="5A37DDB8" w:rsidR="009A2FD7" w:rsidRDefault="009A2FD7" w:rsidP="009A2FD7">
      <w:pPr>
        <w:spacing w:after="0" w:line="240" w:lineRule="auto"/>
        <w:rPr>
          <w:rFonts w:cstheme="minorHAnsi"/>
        </w:rPr>
      </w:pPr>
      <w:r w:rsidRPr="009A2FD7">
        <w:rPr>
          <w:rFonts w:cstheme="minorHAnsi"/>
        </w:rPr>
        <w:t>As indicated in the</w:t>
      </w:r>
      <w:r w:rsidR="00D35AA1">
        <w:rPr>
          <w:rFonts w:cstheme="minorHAnsi"/>
        </w:rPr>
        <w:t xml:space="preserve"> EITI 2013-14</w:t>
      </w:r>
      <w:r w:rsidRPr="009A2FD7">
        <w:rPr>
          <w:rFonts w:cstheme="minorHAnsi"/>
        </w:rPr>
        <w:t xml:space="preserve"> report on initial data collection, we observed that tables 40 and 41 (Pages 116-121) provide reconciliation figures divided by company but with no indication of the </w:t>
      </w:r>
      <w:r w:rsidR="009F1431">
        <w:rPr>
          <w:rFonts w:cstheme="minorHAnsi"/>
        </w:rPr>
        <w:t xml:space="preserve">specific </w:t>
      </w:r>
      <w:r w:rsidRPr="009A2FD7">
        <w:rPr>
          <w:rFonts w:cstheme="minorHAnsi"/>
        </w:rPr>
        <w:t>project they relate to, nor which government agency received the corresponding taxes and mandatory payments from oil, gas and mining activities for 2013 and 2014.</w:t>
      </w:r>
    </w:p>
    <w:p w14:paraId="11EE5436" w14:textId="77777777" w:rsidR="007F2D87" w:rsidRPr="000F5101" w:rsidRDefault="007F2D87" w:rsidP="000F5101">
      <w:pPr>
        <w:spacing w:after="0" w:line="240" w:lineRule="auto"/>
        <w:rPr>
          <w:rFonts w:cstheme="minorHAnsi"/>
        </w:rPr>
      </w:pPr>
    </w:p>
    <w:p w14:paraId="5408CCA0" w14:textId="77777777" w:rsidR="00A938B1" w:rsidRDefault="00A938B1" w:rsidP="00A938B1">
      <w:pPr>
        <w:spacing w:after="0" w:line="240" w:lineRule="auto"/>
        <w:rPr>
          <w:rFonts w:cstheme="minorHAnsi"/>
        </w:rPr>
      </w:pPr>
    </w:p>
    <w:p w14:paraId="709EEE9D" w14:textId="77777777" w:rsidR="00A938B1" w:rsidRPr="00A938B1" w:rsidRDefault="00A938B1" w:rsidP="00A938B1">
      <w:pPr>
        <w:spacing w:after="0" w:line="240" w:lineRule="auto"/>
        <w:rPr>
          <w:rFonts w:cstheme="minorHAnsi"/>
        </w:rPr>
      </w:pPr>
    </w:p>
    <w:p w14:paraId="53E190DE" w14:textId="344C38FF" w:rsidR="00766D41" w:rsidRPr="005625E1" w:rsidRDefault="00766D41" w:rsidP="00D03129">
      <w:pPr>
        <w:spacing w:after="0" w:line="240" w:lineRule="auto"/>
        <w:ind w:left="720" w:hanging="720"/>
        <w:rPr>
          <w:rFonts w:cstheme="minorHAnsi"/>
          <w:b/>
          <w:color w:val="1F497D" w:themeColor="text2"/>
        </w:rPr>
      </w:pPr>
      <w:r w:rsidRPr="005625E1">
        <w:rPr>
          <w:rFonts w:cstheme="minorHAnsi"/>
          <w:b/>
          <w:color w:val="1F497D" w:themeColor="text2"/>
        </w:rPr>
        <w:t>4</w:t>
      </w:r>
      <w:r w:rsidR="00310D77" w:rsidRPr="005625E1">
        <w:rPr>
          <w:rFonts w:cstheme="minorHAnsi"/>
          <w:b/>
          <w:color w:val="1F497D" w:themeColor="text2"/>
        </w:rPr>
        <w:t>.</w:t>
      </w:r>
      <w:r w:rsidR="00310D77" w:rsidRPr="005625E1">
        <w:rPr>
          <w:rFonts w:cstheme="minorHAnsi"/>
          <w:b/>
          <w:color w:val="1F497D" w:themeColor="text2"/>
        </w:rPr>
        <w:tab/>
      </w:r>
      <w:r w:rsidRPr="005625E1">
        <w:rPr>
          <w:rFonts w:cstheme="minorHAnsi"/>
          <w:b/>
          <w:color w:val="1F497D" w:themeColor="text2"/>
        </w:rPr>
        <w:t>RECOMMENDATIONS</w:t>
      </w:r>
      <w:r w:rsidR="00310D77" w:rsidRPr="005625E1">
        <w:rPr>
          <w:rFonts w:cstheme="minorHAnsi"/>
          <w:b/>
          <w:color w:val="1F497D" w:themeColor="text2"/>
        </w:rPr>
        <w:t xml:space="preserve"> </w:t>
      </w:r>
    </w:p>
    <w:p w14:paraId="0F7F6A38" w14:textId="77954A7A" w:rsidR="00823D46" w:rsidRDefault="00823D46" w:rsidP="00F12713">
      <w:pPr>
        <w:spacing w:after="0" w:line="240" w:lineRule="auto"/>
        <w:ind w:left="720" w:hanging="720"/>
        <w:rPr>
          <w:rFonts w:cstheme="minorHAnsi"/>
          <w:b/>
          <w:color w:val="FF0000"/>
        </w:rPr>
      </w:pPr>
    </w:p>
    <w:p w14:paraId="14BA90F4" w14:textId="04196C80" w:rsidR="002E590F" w:rsidRDefault="00151499" w:rsidP="00C352FD">
      <w:pPr>
        <w:spacing w:after="0" w:line="240" w:lineRule="auto"/>
        <w:rPr>
          <w:rFonts w:cstheme="minorHAnsi"/>
        </w:rPr>
      </w:pPr>
      <w:r>
        <w:rPr>
          <w:rFonts w:cstheme="minorHAnsi"/>
        </w:rPr>
        <w:t>The f</w:t>
      </w:r>
      <w:r w:rsidR="009B0699" w:rsidRPr="005625E1">
        <w:rPr>
          <w:rFonts w:cstheme="minorHAnsi"/>
        </w:rPr>
        <w:t xml:space="preserve">ollowing are the Secretariat’s overarching recommendations for improving EITI implementation in </w:t>
      </w:r>
      <w:r w:rsidR="008001A1">
        <w:rPr>
          <w:rFonts w:cstheme="minorHAnsi"/>
        </w:rPr>
        <w:t>Mozambique</w:t>
      </w:r>
      <w:r w:rsidR="009B0699" w:rsidRPr="005625E1">
        <w:rPr>
          <w:rFonts w:cstheme="minorHAnsi"/>
        </w:rPr>
        <w:t xml:space="preserve">, with the Validation Team’s </w:t>
      </w:r>
      <w:r w:rsidR="00D17081">
        <w:rPr>
          <w:rFonts w:cstheme="minorHAnsi"/>
        </w:rPr>
        <w:t xml:space="preserve">amendments, </w:t>
      </w:r>
      <w:r w:rsidR="00A531BC">
        <w:rPr>
          <w:rFonts w:cstheme="minorHAnsi"/>
        </w:rPr>
        <w:t>queries</w:t>
      </w:r>
      <w:r w:rsidR="009B0699" w:rsidRPr="005625E1">
        <w:rPr>
          <w:rFonts w:cstheme="minorHAnsi"/>
        </w:rPr>
        <w:t xml:space="preserve"> </w:t>
      </w:r>
      <w:r w:rsidR="00D17081">
        <w:rPr>
          <w:rFonts w:cstheme="minorHAnsi"/>
        </w:rPr>
        <w:t xml:space="preserve">and additions are </w:t>
      </w:r>
      <w:r w:rsidR="009B0699" w:rsidRPr="005625E1">
        <w:rPr>
          <w:rFonts w:cstheme="minorHAnsi"/>
        </w:rPr>
        <w:t>in italics.</w:t>
      </w:r>
    </w:p>
    <w:p w14:paraId="33DC332F" w14:textId="77777777" w:rsidR="008001A1" w:rsidRDefault="008001A1" w:rsidP="00C352FD">
      <w:pPr>
        <w:spacing w:after="0" w:line="240" w:lineRule="auto"/>
        <w:rPr>
          <w:rFonts w:cstheme="minorHAnsi"/>
        </w:rPr>
      </w:pPr>
    </w:p>
    <w:p w14:paraId="38856772" w14:textId="77777777" w:rsidR="008001A1" w:rsidRPr="008001A1" w:rsidRDefault="008001A1" w:rsidP="008001A1">
      <w:pPr>
        <w:numPr>
          <w:ilvl w:val="0"/>
          <w:numId w:val="11"/>
        </w:numPr>
        <w:spacing w:after="0" w:line="240" w:lineRule="auto"/>
        <w:rPr>
          <w:rFonts w:cstheme="minorHAnsi"/>
          <w:bCs/>
        </w:rPr>
      </w:pPr>
      <w:commentRangeStart w:id="26"/>
      <w:r w:rsidRPr="008001A1">
        <w:rPr>
          <w:rFonts w:cstheme="minorHAnsi"/>
          <w:bCs/>
        </w:rPr>
        <w:t>High-level government commitment to the EITI will be critical for its continued progress and impact. It is recommended that the government demonstrates commitment regarding its intention to implement EITI and to be fully, actively and effectively engaged in the EITI process. It is important that the government and MIREME is engaged on a regular basis, in particular at the MSG level, to maintain engagement by other stakeholder groups.</w:t>
      </w:r>
      <w:commentRangeEnd w:id="26"/>
      <w:r w:rsidR="005C3EB8">
        <w:rPr>
          <w:rStyle w:val="CommentReference"/>
        </w:rPr>
        <w:commentReference w:id="26"/>
      </w:r>
    </w:p>
    <w:p w14:paraId="70DE4186" w14:textId="77777777" w:rsidR="008001A1" w:rsidRPr="008001A1" w:rsidRDefault="008001A1" w:rsidP="008001A1">
      <w:pPr>
        <w:numPr>
          <w:ilvl w:val="0"/>
          <w:numId w:val="11"/>
        </w:numPr>
        <w:spacing w:after="0" w:line="240" w:lineRule="auto"/>
        <w:rPr>
          <w:rFonts w:cstheme="minorHAnsi"/>
          <w:bCs/>
        </w:rPr>
      </w:pPr>
      <w:commentRangeStart w:id="27"/>
      <w:r w:rsidRPr="008001A1">
        <w:rPr>
          <w:rFonts w:cstheme="minorHAnsi"/>
          <w:bCs/>
        </w:rPr>
        <w:t>The government and MIREME should consider making a decision with regards to whether and how to institutionalise the EITI in Mozambique, taking financial sustainability into account. This could include developing an action plan for the institutionalisation. Funding would need to be secured for the national secretariat.</w:t>
      </w:r>
      <w:commentRangeEnd w:id="27"/>
      <w:r w:rsidR="00A67540">
        <w:rPr>
          <w:rStyle w:val="CommentReference"/>
        </w:rPr>
        <w:commentReference w:id="27"/>
      </w:r>
    </w:p>
    <w:p w14:paraId="1984ABF7" w14:textId="77777777" w:rsidR="008001A1" w:rsidRPr="008001A1" w:rsidRDefault="008001A1" w:rsidP="008001A1">
      <w:pPr>
        <w:numPr>
          <w:ilvl w:val="0"/>
          <w:numId w:val="11"/>
        </w:numPr>
        <w:spacing w:after="0" w:line="240" w:lineRule="auto"/>
        <w:rPr>
          <w:rFonts w:cstheme="minorHAnsi"/>
          <w:bCs/>
        </w:rPr>
      </w:pPr>
      <w:commentRangeStart w:id="28"/>
      <w:r w:rsidRPr="008001A1">
        <w:rPr>
          <w:rFonts w:cstheme="minorHAnsi"/>
          <w:bCs/>
        </w:rPr>
        <w:t>To strengthen implementation of EITI in Mozambique, each constituency should ensure that their representatives’ attendance at MSG meetings is consistent and at sufficiently high level to allow the MSG to take decisions and follow up on agreed matters.</w:t>
      </w:r>
      <w:r w:rsidRPr="008001A1" w:rsidDel="008974A8">
        <w:rPr>
          <w:rFonts w:cstheme="minorHAnsi"/>
          <w:b/>
          <w:bCs/>
        </w:rPr>
        <w:t xml:space="preserve"> </w:t>
      </w:r>
      <w:r w:rsidRPr="008001A1">
        <w:rPr>
          <w:rFonts w:cstheme="minorHAnsi"/>
          <w:bCs/>
        </w:rPr>
        <w:t>The MSG is encouraged to use the refreshment of MSG membership as an opportunity to include broader set of government agencies in the MSG, ensure to appoint government members with the capacity to carry out their duties in terms of influences decision-making and properly informing their constituencies. The MSG might want to include relevant actors in the revised TORs, or the government might with to establish mechanism for inter-agency coordination on issues related to extractive sector revenue and data collection and governance.</w:t>
      </w:r>
      <w:commentRangeEnd w:id="28"/>
      <w:r w:rsidR="00145671">
        <w:rPr>
          <w:rStyle w:val="CommentReference"/>
        </w:rPr>
        <w:commentReference w:id="28"/>
      </w:r>
    </w:p>
    <w:p w14:paraId="11C5E6FE"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 xml:space="preserve">The MSG is encouraged to help facilitate company participation in EITI. The ongoing institutionalisation review, e-reporting and other efforts to mainstream the EITI can provide opportunities for engaging industry in the process. </w:t>
      </w:r>
    </w:p>
    <w:p w14:paraId="703B63F4"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 xml:space="preserve">Industry should establish a platform or use existing channels to disseminate EITI information to companies beyond the MSG, and should play an active role in setting objectives for EITI implementation in the country. </w:t>
      </w:r>
    </w:p>
    <w:p w14:paraId="317684FF"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The MSG may wish to ensure that laws and regulations governing the oil, gas and mining sectors are accessible from government websites, and to provide links to these in the EITI Report. Given comments made by stakeholders on the lack of enforcement of the laws, the MSG may wish to consider including activities in the work plan or tasking the Independent Administrator to review or provide commentary on the lack of enforcement if the laws and regulations governing the extractive sector.</w:t>
      </w:r>
    </w:p>
    <w:p w14:paraId="2AD90022" w14:textId="77777777" w:rsidR="008001A1" w:rsidRPr="008001A1" w:rsidRDefault="008001A1" w:rsidP="008001A1">
      <w:pPr>
        <w:numPr>
          <w:ilvl w:val="0"/>
          <w:numId w:val="11"/>
        </w:numPr>
        <w:spacing w:after="0" w:line="240" w:lineRule="auto"/>
        <w:rPr>
          <w:rFonts w:cstheme="minorHAnsi"/>
          <w:bCs/>
        </w:rPr>
      </w:pPr>
      <w:commentRangeStart w:id="29"/>
      <w:r w:rsidRPr="008001A1">
        <w:rPr>
          <w:rFonts w:cstheme="minorHAnsi"/>
          <w:bCs/>
        </w:rPr>
        <w:t>The MSG should ensure that the next EITI Report includes information on the process for transferring licenses and technical and financial criteria used. The MSG is encouraged to ensure that the next EITI Report refers to the resources and documents available from the INP websites. The MSG could also consider tasking the Independent Administrator to provide an evaluation of the licensing process and make recommendations for its improvement. </w:t>
      </w:r>
      <w:commentRangeEnd w:id="29"/>
      <w:r w:rsidR="00145671">
        <w:rPr>
          <w:rStyle w:val="CommentReference"/>
        </w:rPr>
        <w:commentReference w:id="29"/>
      </w:r>
    </w:p>
    <w:p w14:paraId="61E6D57E" w14:textId="77777777" w:rsidR="008001A1" w:rsidRPr="008001A1" w:rsidRDefault="008001A1" w:rsidP="008001A1">
      <w:pPr>
        <w:numPr>
          <w:ilvl w:val="0"/>
          <w:numId w:val="11"/>
        </w:numPr>
        <w:spacing w:after="0" w:line="240" w:lineRule="auto"/>
        <w:rPr>
          <w:rFonts w:cstheme="minorHAnsi"/>
          <w:bCs/>
        </w:rPr>
      </w:pPr>
      <w:commentRangeStart w:id="30"/>
      <w:r w:rsidRPr="008001A1">
        <w:rPr>
          <w:rFonts w:cstheme="minorHAnsi"/>
          <w:bCs/>
        </w:rPr>
        <w:t xml:space="preserve">The MSG should ensure that the next EITI Report includes a comprehensive overview of active hydrocarbon licenses/concessions, including date of application, date of award and duration of the license, or reference to where this information is accessible. The MSG is encouraged to collaborate with Mining Cadastre regarding the </w:t>
      </w:r>
      <w:proofErr w:type="spellStart"/>
      <w:r w:rsidRPr="008001A1">
        <w:rPr>
          <w:rFonts w:cstheme="minorHAnsi"/>
          <w:bCs/>
        </w:rPr>
        <w:t>Flexicadastre</w:t>
      </w:r>
      <w:proofErr w:type="spellEnd"/>
      <w:r w:rsidRPr="008001A1">
        <w:rPr>
          <w:rFonts w:cstheme="minorHAnsi"/>
          <w:bCs/>
        </w:rPr>
        <w:t xml:space="preserve">, using the EITI Report to highlight existing data and drawing attention to any gaps and inconsistencies. The MSG is also encouraged to consider opportunities to link cadastre data with other data, for example, on production, exports, tax payments </w:t>
      </w:r>
      <w:r w:rsidRPr="008001A1">
        <w:rPr>
          <w:rFonts w:cstheme="minorHAnsi"/>
          <w:bCs/>
        </w:rPr>
        <w:lastRenderedPageBreak/>
        <w:t>and beneficial ownership. If these other data are collected in different systems and agencies, the MSG may wish to consider opportunities to harmonise data standards in line with international best practice.</w:t>
      </w:r>
      <w:r w:rsidRPr="008001A1">
        <w:rPr>
          <w:rFonts w:cstheme="minorHAnsi"/>
          <w:bCs/>
        </w:rPr>
        <w:footnoteReference w:id="2"/>
      </w:r>
      <w:commentRangeEnd w:id="30"/>
      <w:r w:rsidR="00145671">
        <w:rPr>
          <w:rStyle w:val="CommentReference"/>
        </w:rPr>
        <w:commentReference w:id="30"/>
      </w:r>
    </w:p>
    <w:p w14:paraId="6F992500" w14:textId="77777777" w:rsidR="008001A1" w:rsidRDefault="008001A1" w:rsidP="008001A1">
      <w:pPr>
        <w:numPr>
          <w:ilvl w:val="0"/>
          <w:numId w:val="11"/>
        </w:numPr>
        <w:spacing w:after="0" w:line="240" w:lineRule="auto"/>
        <w:rPr>
          <w:rFonts w:cstheme="minorHAnsi"/>
          <w:bCs/>
        </w:rPr>
      </w:pPr>
      <w:r w:rsidRPr="008001A1">
        <w:rPr>
          <w:rFonts w:cstheme="minorHAnsi"/>
          <w:bCs/>
        </w:rPr>
        <w:t>The MSG in encouraged to continue monitoring contract disclosure in the extractive sectors, both through EITI reporting and work plan objectives and activities related to contract transparency.</w:t>
      </w:r>
    </w:p>
    <w:p w14:paraId="09241758" w14:textId="6C193447" w:rsidR="00461510" w:rsidRPr="00461510" w:rsidRDefault="00461510" w:rsidP="008001A1">
      <w:pPr>
        <w:numPr>
          <w:ilvl w:val="0"/>
          <w:numId w:val="11"/>
        </w:numPr>
        <w:spacing w:after="0" w:line="240" w:lineRule="auto"/>
        <w:rPr>
          <w:rFonts w:cstheme="minorHAnsi"/>
          <w:bCs/>
          <w:i/>
        </w:rPr>
      </w:pPr>
      <w:r w:rsidRPr="00461510">
        <w:rPr>
          <w:rFonts w:cstheme="minorHAnsi"/>
          <w:bCs/>
          <w:i/>
        </w:rPr>
        <w:t>It is recommended that subsequent EITI reports in</w:t>
      </w:r>
      <w:r>
        <w:rPr>
          <w:rFonts w:cstheme="minorHAnsi"/>
          <w:bCs/>
          <w:i/>
        </w:rPr>
        <w:t xml:space="preserve"> Mozambique clarify the</w:t>
      </w:r>
      <w:r w:rsidRPr="00461510">
        <w:rPr>
          <w:rFonts w:cstheme="minorHAnsi"/>
          <w:bCs/>
          <w:i/>
        </w:rPr>
        <w:t xml:space="preserve"> issue</w:t>
      </w:r>
      <w:r>
        <w:rPr>
          <w:rFonts w:cstheme="minorHAnsi"/>
          <w:bCs/>
          <w:i/>
        </w:rPr>
        <w:t xml:space="preserve"> of what the “main terms” of petroleum contracts are that must be published</w:t>
      </w:r>
      <w:r w:rsidRPr="00461510">
        <w:rPr>
          <w:rFonts w:cstheme="minorHAnsi"/>
          <w:bCs/>
          <w:i/>
        </w:rPr>
        <w:t xml:space="preserve">.  For </w:t>
      </w:r>
      <w:r>
        <w:rPr>
          <w:rFonts w:cstheme="minorHAnsi"/>
          <w:bCs/>
          <w:i/>
        </w:rPr>
        <w:t xml:space="preserve">the </w:t>
      </w:r>
      <w:r w:rsidRPr="00461510">
        <w:rPr>
          <w:rFonts w:cstheme="minorHAnsi"/>
          <w:bCs/>
          <w:i/>
        </w:rPr>
        <w:t>mining</w:t>
      </w:r>
      <w:r>
        <w:rPr>
          <w:rFonts w:cstheme="minorHAnsi"/>
          <w:bCs/>
          <w:i/>
        </w:rPr>
        <w:t xml:space="preserve"> sector</w:t>
      </w:r>
      <w:r w:rsidRPr="00461510">
        <w:rPr>
          <w:rFonts w:cstheme="minorHAnsi"/>
          <w:bCs/>
          <w:i/>
        </w:rPr>
        <w:t xml:space="preserve">, it is recommended that there is clarity </w:t>
      </w:r>
      <w:r w:rsidR="00ED66E5">
        <w:rPr>
          <w:rFonts w:cstheme="minorHAnsi"/>
          <w:bCs/>
          <w:i/>
        </w:rPr>
        <w:t xml:space="preserve">provided in future EITI reports </w:t>
      </w:r>
      <w:r w:rsidRPr="00461510">
        <w:rPr>
          <w:rFonts w:cstheme="minorHAnsi"/>
          <w:bCs/>
          <w:i/>
        </w:rPr>
        <w:t xml:space="preserve">regarding </w:t>
      </w:r>
      <w:commentRangeStart w:id="31"/>
      <w:r w:rsidRPr="00461510">
        <w:rPr>
          <w:rFonts w:cstheme="minorHAnsi"/>
          <w:bCs/>
          <w:i/>
        </w:rPr>
        <w:t>whether contr</w:t>
      </w:r>
      <w:r w:rsidR="00ED66E5">
        <w:rPr>
          <w:rFonts w:cstheme="minorHAnsi"/>
          <w:bCs/>
          <w:i/>
        </w:rPr>
        <w:t>acts must be publicly available</w:t>
      </w:r>
      <w:commentRangeEnd w:id="31"/>
      <w:r w:rsidR="00145671">
        <w:rPr>
          <w:rStyle w:val="CommentReference"/>
        </w:rPr>
        <w:commentReference w:id="31"/>
      </w:r>
      <w:r w:rsidRPr="00461510">
        <w:rPr>
          <w:rFonts w:cstheme="minorHAnsi"/>
          <w:bCs/>
          <w:i/>
        </w:rPr>
        <w:t xml:space="preserve"> </w:t>
      </w:r>
      <w:r w:rsidR="00ED66E5">
        <w:rPr>
          <w:rFonts w:cstheme="minorHAnsi"/>
          <w:bCs/>
          <w:i/>
        </w:rPr>
        <w:t>and</w:t>
      </w:r>
      <w:r w:rsidRPr="00461510">
        <w:rPr>
          <w:rFonts w:cstheme="minorHAnsi"/>
          <w:bCs/>
          <w:i/>
        </w:rPr>
        <w:t xml:space="preserve"> whether they are standardised or subject to direct negotiation.  </w:t>
      </w:r>
    </w:p>
    <w:p w14:paraId="612D7639"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 xml:space="preserve">The MSG and Independent Administrator should ensure that the next report clarifies the state's participation in the sector through other entities, such as IGEPE, and discloses i) an explanation of the prevailing rules and practices regarding the financial relationship between the government and state-owned enterprises (SOEs), e.g., the rules and practices governing transfers of funds between the SOE(s) and the state, retained earnings, reinvestment and third-party financing; ii) changes in the level of ownership during the reporting period; and iii) details of the terms attached to their equity stake, including level of responsibility to cover expenses at various phases of the project cycle. If the government and state governments have granted loans or loan guarantees to extractive companies, the details of such transactions should be disclosed. Where this information is already available, the report could refer to these sources of information. </w:t>
      </w:r>
    </w:p>
    <w:p w14:paraId="281D410D"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The MSG should consider discussing and documenting its definition of SOEs taking into account national laws and government structures. This could be particularly useful in light of ongoing reforms to the legal and regulatory frameworks applicable to SOEs.</w:t>
      </w:r>
    </w:p>
    <w:p w14:paraId="0555491F"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The MSG way wish to work with MIREME to encourage regular publication of data on resource reserves, volume of production, selling prices, exports and production costs.</w:t>
      </w:r>
    </w:p>
    <w:p w14:paraId="33E2E2FC" w14:textId="3A6F56BE" w:rsidR="008001A1" w:rsidRPr="008001A1" w:rsidRDefault="008001A1" w:rsidP="008001A1">
      <w:pPr>
        <w:numPr>
          <w:ilvl w:val="0"/>
          <w:numId w:val="10"/>
        </w:numPr>
        <w:spacing w:after="0" w:line="240" w:lineRule="auto"/>
        <w:rPr>
          <w:rFonts w:cstheme="minorHAnsi"/>
          <w:bCs/>
        </w:rPr>
      </w:pPr>
      <w:r w:rsidRPr="008001A1">
        <w:rPr>
          <w:rFonts w:cstheme="minorHAnsi"/>
          <w:bCs/>
        </w:rPr>
        <w:t>In the next EITI Report, the MSG should ensure that the rationale for setting the materiality threshold is clearly documented, and that full government disclosure is clearly presented by revenue stream. The MSG may also wish to review the materiality threshold, and list the revenue streams deemed immaterial in the final report, and not only in the inception report.  The MSG might want to ensure that the absolute amounts of the revenues collected by the disaggregated by revenue stream are clearly presented.</w:t>
      </w:r>
    </w:p>
    <w:p w14:paraId="222AA448"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next EITI Report should consistently and comprehensively describe the rules and practices regarding ENH’s and MCG’s management of revenue from the sale of in-kind gas. The revenues transferred to the treasury from the sale of in-kind gas royalties by MGC and ENH should be disaggregated by each of these companies. The revenue ENH receives from the marketing of these in-kind revenues to domestic buyers should be disclosed, unless considered immaterial by the MSG. The Independent Administrator should provide a clear opinion on the comprehensiveness of the reported data.</w:t>
      </w:r>
    </w:p>
    <w:p w14:paraId="58ED239D"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continue to investigate the tariffs and revenues received by ROMPCO, CMG and CFM, consider whether any revenues are material and whether to include these and other relevant information revenues in the next EITI Report. The MSG and MIREME should work with the relevant companies to ensure that the requested information is provided for the next EITI Report.</w:t>
      </w:r>
    </w:p>
    <w:p w14:paraId="1C7C267D"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reach out to relevant government agencies and work with the Independent Administrator to obtain information about possible transactions between SOEs and government to ensure that this is covered in a comprehensive and clear manner.</w:t>
      </w:r>
    </w:p>
    <w:p w14:paraId="61DD44D4"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 xml:space="preserve">The MSG should ensure that the next EITI Report documents whether direct payments from companies to provinces or municipalities exist, and whether these are material. If payments made by companies directly to sub-national levels of government are found material, these should be disclosed </w:t>
      </w:r>
      <w:r w:rsidRPr="008001A1">
        <w:rPr>
          <w:rFonts w:cstheme="minorHAnsi"/>
          <w:bCs/>
        </w:rPr>
        <w:lastRenderedPageBreak/>
        <w:t>and reconciled. may wish to explicitly state whether direct payments from companies to provinces or municipalities specifically related to extractives activities exist, and whether these are considered material or not.</w:t>
      </w:r>
    </w:p>
    <w:p w14:paraId="00A6546F"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may wish to work with MIREME and other government agencies to ensure more regular publication of payment information, as part of mainstreaming EITI disclosures.</w:t>
      </w:r>
    </w:p>
    <w:p w14:paraId="0801CA85"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While the 2014-13 EITI Report makes reference to government agencies having been audited, the MSG should ensure that the next report includes a review of whether government agencies have been audited in accordance with the legislation and a review of company auditing practices and relevant regulations. The report should include a list of government entities and companies that did not provide the requested assurances. The MSG may wish to ensure that direct links to resources referred to in the report, such as public documents and reports, are included. The MSG should also agree the reporting templates used for the reconciliation and document the decision.</w:t>
      </w:r>
    </w:p>
    <w:p w14:paraId="47C2F987"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ensure that EITI Reports comprehensively addresses social expenditures and clarifies whether the funds allocated for training are disbursed from the Institutional Capacity Building Fund, and describes how Institutional Contribution payments are allocated. The MSG may also wish to consider including a description of the basis for selection of beneficiaries of the social fund.</w:t>
      </w:r>
    </w:p>
    <w:p w14:paraId="1DEB91A4"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consider whether there are any material quasi-fiscal expenditures by SOEs including ENH and EMEM, in accordance with EITI Requirement 2.6, and develop a reporting process with a view to achieving a level of transparency commensurate with other payments and revenue streams. The MSG should consider whether there are any material quasi-fiscal expenditures by SOEs, EMEM, in accordance with EITI Requirement 6.2, and develop a reporting process with a view to achieving a level of transparency commensurate with other payments and revenue streams.</w:t>
      </w:r>
    </w:p>
    <w:p w14:paraId="713EF76C"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ensure consistency in the figures provided on total government revenue from the sector, and that the next EITI Report indicates i) the size of the extractive sector in absolute terms and as % of GDP, ii) exports from the extractive industry in absolute terms, iii) employment in extractive sector as % of total employment. If any of this information is not available, the MSG should ensure that the report describes the efforts made to obtain the information. The MSG may also wish to consider including information on local content provisions and commentary on whether these have been applied with.</w:t>
      </w:r>
    </w:p>
    <w:p w14:paraId="17A6E8F1"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To help ensure that the EITI can contribute mo</w:t>
      </w:r>
      <w:bookmarkStart w:id="32" w:name="_GoBack"/>
      <w:bookmarkEnd w:id="32"/>
      <w:r w:rsidRPr="008001A1">
        <w:rPr>
          <w:rFonts w:cstheme="minorHAnsi"/>
          <w:bCs/>
        </w:rPr>
        <w:t>re meaningfully to public debate and policy discussion on extractive sector management, the MSG should continue disseminating EITI data across the country and consider undertaking outreach activities strategically targeting media, parliament, industry and key extractive sector players.</w:t>
      </w:r>
    </w:p>
    <w:p w14:paraId="79431F05"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is encouraged to make EITI Reports available in a machine-readable and open data format.</w:t>
      </w:r>
    </w:p>
    <w:p w14:paraId="0E5459B0" w14:textId="77777777" w:rsidR="008001A1" w:rsidRDefault="008001A1" w:rsidP="008001A1">
      <w:pPr>
        <w:numPr>
          <w:ilvl w:val="0"/>
          <w:numId w:val="10"/>
        </w:numPr>
        <w:spacing w:after="0" w:line="240" w:lineRule="auto"/>
        <w:rPr>
          <w:rFonts w:cstheme="minorHAnsi"/>
          <w:bCs/>
        </w:rPr>
      </w:pPr>
      <w:r w:rsidRPr="008001A1">
        <w:rPr>
          <w:rFonts w:cstheme="minorHAnsi"/>
          <w:bCs/>
        </w:rPr>
        <w:t>More systematic follow-up by the MSG on the EITI Report recommendations and ensuring that these highlight gaps identified through the reporting process could help ensure that the EITI could serve as a tool for improved extractive sector governance.</w:t>
      </w:r>
    </w:p>
    <w:p w14:paraId="21A45609" w14:textId="55017CF1" w:rsidR="008001A1" w:rsidRPr="008A0D05" w:rsidRDefault="008001A1" w:rsidP="008001A1">
      <w:pPr>
        <w:numPr>
          <w:ilvl w:val="0"/>
          <w:numId w:val="10"/>
        </w:numPr>
        <w:spacing w:after="0" w:line="240" w:lineRule="auto"/>
        <w:rPr>
          <w:rFonts w:cstheme="minorHAnsi"/>
          <w:bCs/>
        </w:rPr>
      </w:pPr>
      <w:r w:rsidRPr="008001A1">
        <w:rPr>
          <w:rFonts w:cstheme="minorHAnsi"/>
        </w:rPr>
        <w:t xml:space="preserve">The MSG should ensure that the </w:t>
      </w:r>
      <w:r w:rsidRPr="008001A1">
        <w:rPr>
          <w:rFonts w:cstheme="minorHAnsi"/>
          <w:bCs/>
        </w:rPr>
        <w:t xml:space="preserve">plans for implementing the recommendations from Validation and EITI reporting, including the rationale for deciding not to implement a recommendation, </w:t>
      </w:r>
      <w:r w:rsidRPr="008001A1">
        <w:rPr>
          <w:rFonts w:cstheme="minorHAnsi"/>
        </w:rPr>
        <w:t>are reflected in the 2016 Annual Progress Report, in accordance with the transitional arrangements to the 2016 EITI Standard.</w:t>
      </w:r>
    </w:p>
    <w:p w14:paraId="19CE7F6C" w14:textId="0475C617" w:rsidR="008A0D05" w:rsidRPr="008A0D05" w:rsidRDefault="008A0D05" w:rsidP="008A0D05">
      <w:pPr>
        <w:numPr>
          <w:ilvl w:val="0"/>
          <w:numId w:val="10"/>
        </w:numPr>
        <w:spacing w:after="0" w:line="240" w:lineRule="auto"/>
        <w:rPr>
          <w:rFonts w:cstheme="minorHAnsi"/>
          <w:i/>
        </w:rPr>
      </w:pPr>
      <w:commentRangeStart w:id="33"/>
      <w:r w:rsidRPr="008A0D05">
        <w:rPr>
          <w:rFonts w:cstheme="minorHAnsi"/>
          <w:i/>
        </w:rPr>
        <w:t>It is recommended that MSG include project</w:t>
      </w:r>
      <w:r>
        <w:rPr>
          <w:rFonts w:cstheme="minorHAnsi"/>
          <w:i/>
        </w:rPr>
        <w:t>-level payments</w:t>
      </w:r>
      <w:r w:rsidRPr="008A0D05">
        <w:rPr>
          <w:rFonts w:cstheme="minorHAnsi"/>
          <w:i/>
        </w:rPr>
        <w:t xml:space="preserve"> and government institution </w:t>
      </w:r>
      <w:r>
        <w:rPr>
          <w:rFonts w:cstheme="minorHAnsi"/>
          <w:i/>
        </w:rPr>
        <w:t xml:space="preserve">receipt </w:t>
      </w:r>
      <w:r w:rsidRPr="008A0D05">
        <w:rPr>
          <w:rFonts w:cstheme="minorHAnsi"/>
          <w:i/>
        </w:rPr>
        <w:t xml:space="preserve">disclosure for the reconciliation process in future EITI reports. </w:t>
      </w:r>
      <w:commentRangeEnd w:id="33"/>
      <w:r w:rsidR="00145671">
        <w:rPr>
          <w:rStyle w:val="CommentReference"/>
        </w:rPr>
        <w:commentReference w:id="33"/>
      </w:r>
    </w:p>
    <w:p w14:paraId="1F9B09AA" w14:textId="77777777" w:rsidR="008A0D05" w:rsidRPr="008001A1" w:rsidRDefault="008A0D05" w:rsidP="0081357E">
      <w:pPr>
        <w:spacing w:after="0" w:line="240" w:lineRule="auto"/>
        <w:ind w:left="360"/>
        <w:rPr>
          <w:rFonts w:cstheme="minorHAnsi"/>
          <w:bCs/>
        </w:rPr>
      </w:pPr>
    </w:p>
    <w:p w14:paraId="35790013" w14:textId="77777777" w:rsidR="00C352FD" w:rsidRDefault="00C352FD" w:rsidP="00C352FD">
      <w:pPr>
        <w:spacing w:after="0" w:line="240" w:lineRule="auto"/>
        <w:rPr>
          <w:rFonts w:cstheme="minorHAnsi"/>
        </w:rPr>
      </w:pPr>
    </w:p>
    <w:p w14:paraId="7E04B2AA" w14:textId="77777777" w:rsidR="00C352FD" w:rsidRDefault="00C352FD" w:rsidP="00C352FD">
      <w:pPr>
        <w:spacing w:after="0" w:line="240" w:lineRule="auto"/>
        <w:rPr>
          <w:rFonts w:cstheme="minorHAnsi"/>
        </w:rPr>
      </w:pPr>
    </w:p>
    <w:p w14:paraId="7053208A" w14:textId="2CC17537" w:rsidR="000608BE" w:rsidRPr="000608BE" w:rsidRDefault="000608BE" w:rsidP="002E590F">
      <w:pPr>
        <w:widowControl w:val="0"/>
        <w:suppressAutoHyphens/>
        <w:spacing w:after="0" w:line="240" w:lineRule="auto"/>
        <w:jc w:val="center"/>
        <w:rPr>
          <w:rFonts w:cstheme="minorHAnsi"/>
        </w:rPr>
      </w:pPr>
      <w:r>
        <w:rPr>
          <w:rFonts w:cstheme="minorHAnsi"/>
        </w:rPr>
        <w:t>***</w:t>
      </w:r>
    </w:p>
    <w:sectPr w:rsidR="000608BE" w:rsidRPr="000608BE" w:rsidSect="00C71C1F">
      <w:footerReference w:type="even" r:id="rId10"/>
      <w:footerReference w:type="default" r:id="rId11"/>
      <w:pgSz w:w="12240" w:h="15840" w:code="1"/>
      <w:pgMar w:top="1170" w:right="1260" w:bottom="1170"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Fatima Mimbire" w:date="2017-08-04T11:51:00Z" w:initials="FM">
    <w:p w14:paraId="6385D1EF" w14:textId="11994416" w:rsidR="00B353BB" w:rsidRPr="004377C4" w:rsidRDefault="00B353BB" w:rsidP="004377C4">
      <w:pPr>
        <w:pStyle w:val="CommentText"/>
      </w:pPr>
      <w:r>
        <w:rPr>
          <w:rStyle w:val="CommentReference"/>
        </w:rPr>
        <w:annotationRef/>
      </w:r>
      <w:r w:rsidRPr="004377C4">
        <w:t xml:space="preserve">That's true, but </w:t>
      </w:r>
      <w:r>
        <w:t>it will ease out</w:t>
      </w:r>
      <w:r w:rsidRPr="004377C4">
        <w:t xml:space="preserve">. We have </w:t>
      </w:r>
      <w:r>
        <w:t xml:space="preserve">essentially noticed </w:t>
      </w:r>
      <w:r w:rsidRPr="004377C4">
        <w:t xml:space="preserve">this </w:t>
      </w:r>
      <w:r>
        <w:t>decline in interest since 2014.</w:t>
      </w:r>
    </w:p>
    <w:p w14:paraId="1D186B7D" w14:textId="4CE0566D" w:rsidR="00B353BB" w:rsidRPr="004377C4" w:rsidRDefault="00B353BB">
      <w:pPr>
        <w:pStyle w:val="CommentText"/>
      </w:pPr>
    </w:p>
  </w:comment>
  <w:comment w:id="10" w:author="Fatima Mimbire" w:date="2017-08-04T12:06:00Z" w:initials="FM">
    <w:p w14:paraId="602C18AF" w14:textId="76977727" w:rsidR="00B353BB" w:rsidRDefault="00B353BB" w:rsidP="007B5C20">
      <w:pPr>
        <w:pStyle w:val="CommentText"/>
      </w:pPr>
      <w:r>
        <w:rPr>
          <w:rStyle w:val="CommentReference"/>
        </w:rPr>
        <w:annotationRef/>
      </w:r>
      <w:r>
        <w:t xml:space="preserve">I'm not </w:t>
      </w:r>
      <w:r>
        <w:t>really sure about that. If they refer to this because of the legislative advances, it should be said that the merit is purely of the Assembly of the Republic.</w:t>
      </w:r>
    </w:p>
    <w:p w14:paraId="16BBD380" w14:textId="77777777" w:rsidR="00B353BB" w:rsidRDefault="00B353BB" w:rsidP="007B5C20">
      <w:pPr>
        <w:pStyle w:val="CommentText"/>
      </w:pPr>
    </w:p>
    <w:p w14:paraId="2C91D8F3" w14:textId="69E0B350" w:rsidR="00B353BB" w:rsidRDefault="00B353BB" w:rsidP="007B5C20">
      <w:pPr>
        <w:pStyle w:val="CommentText"/>
      </w:pPr>
      <w:r>
        <w:t>It does not seem to me that transparency is at the top of the political agenda. The question of hidden debts is evidence of this. The issue of closed-door discussions on exploration of resources is another area where transparency is not prioritised. The non-disclosure other contracts signed in 2014 does not reveal an interest in transparency and completely contradicts the legislation. Currently we do not know where the contracts stand, if they are still in the possession of the Government or if they have already been sent for review by the Administrative Court.</w:t>
      </w:r>
    </w:p>
  </w:comment>
  <w:comment w:id="11" w:author="Fatima Mimbire" w:date="2017-08-04T12:32:00Z" w:initials="FM">
    <w:p w14:paraId="2BEFDC05" w14:textId="405A7073" w:rsidR="00B353BB" w:rsidRDefault="00B353BB" w:rsidP="00252AF6">
      <w:pPr>
        <w:pStyle w:val="CommentText"/>
      </w:pPr>
      <w:r>
        <w:rPr>
          <w:rStyle w:val="CommentReference"/>
        </w:rPr>
        <w:annotationRef/>
      </w:r>
      <w:r>
        <w:t>To what extent is it satisfactory? Because of the existence of legal guarantees? Because some of the contracts are already public?</w:t>
      </w:r>
    </w:p>
    <w:p w14:paraId="4308245A" w14:textId="4E437600" w:rsidR="00B353BB" w:rsidRDefault="00B353BB" w:rsidP="00252AF6">
      <w:pPr>
        <w:pStyle w:val="CommentText"/>
      </w:pPr>
      <w:r>
        <w:t>But can we question why the contracts of Jindal, Rubi Mining, and the three signed in 2014 are still not public, how does that fit in?</w:t>
      </w:r>
    </w:p>
  </w:comment>
  <w:comment w:id="12" w:author="Fatima Mimbire" w:date="2017-08-04T12:33:00Z" w:initials="FM">
    <w:p w14:paraId="233CAE6D" w14:textId="25F7B31C" w:rsidR="00B353BB" w:rsidRDefault="00B353BB">
      <w:pPr>
        <w:pStyle w:val="CommentText"/>
      </w:pPr>
      <w:r>
        <w:rPr>
          <w:rStyle w:val="CommentReference"/>
        </w:rPr>
        <w:annotationRef/>
      </w:r>
      <w:r w:rsidRPr="00252AF6">
        <w:t>I fully agree and there are concerns of promiscuity in the relat</w:t>
      </w:r>
      <w:r>
        <w:t>ionship between Government and the companies</w:t>
      </w:r>
      <w:r w:rsidRPr="00252AF6">
        <w:t xml:space="preserve">. Corporate governance issues have never been adequately addressed, it is well known that top managers are </w:t>
      </w:r>
      <w:r>
        <w:t>appointed based on political confidence</w:t>
      </w:r>
      <w:r w:rsidRPr="00252AF6">
        <w:t xml:space="preserve"> and </w:t>
      </w:r>
      <w:r>
        <w:t>they have</w:t>
      </w:r>
      <w:r w:rsidRPr="00252AF6">
        <w:t xml:space="preserve"> a heavy structure, also fuelled by trust relationships, on the board of directors</w:t>
      </w:r>
      <w:r>
        <w:t>.</w:t>
      </w:r>
    </w:p>
  </w:comment>
  <w:comment w:id="13" w:author="Fatima Mimbire" w:date="2017-08-04T12:35:00Z" w:initials="FM">
    <w:p w14:paraId="54A6D821" w14:textId="1CE22465" w:rsidR="00B353BB" w:rsidRDefault="00B353BB">
      <w:pPr>
        <w:pStyle w:val="CommentText"/>
      </w:pPr>
      <w:r>
        <w:rPr>
          <w:rStyle w:val="CommentReference"/>
        </w:rPr>
        <w:annotationRef/>
      </w:r>
      <w:r w:rsidRPr="00252AF6">
        <w:t>It is</w:t>
      </w:r>
      <w:r>
        <w:t xml:space="preserve"> indeed</w:t>
      </w:r>
      <w:r w:rsidRPr="00252AF6">
        <w:t xml:space="preserve"> inadequate, especially since </w:t>
      </w:r>
      <w:r>
        <w:t>with regards to</w:t>
      </w:r>
      <w:r w:rsidRPr="00252AF6">
        <w:t xml:space="preserve"> natural gas</w:t>
      </w:r>
      <w:r>
        <w:t xml:space="preserve">, the company </w:t>
      </w:r>
      <w:proofErr w:type="spellStart"/>
      <w:r w:rsidRPr="00252AF6">
        <w:t>Mocambicana</w:t>
      </w:r>
      <w:proofErr w:type="spellEnd"/>
      <w:r w:rsidRPr="00252AF6">
        <w:t xml:space="preserve"> do </w:t>
      </w:r>
      <w:proofErr w:type="spellStart"/>
      <w:r w:rsidRPr="00252AF6">
        <w:t>Gasoduto</w:t>
      </w:r>
      <w:proofErr w:type="spellEnd"/>
      <w:r>
        <w:t xml:space="preserve"> has </w:t>
      </w:r>
      <w:r w:rsidRPr="00252AF6">
        <w:t>for a long time it refused to give information and when it</w:t>
      </w:r>
      <w:r>
        <w:t xml:space="preserve"> did, it</w:t>
      </w:r>
      <w:r w:rsidRPr="00252AF6">
        <w:t xml:space="preserve"> was not very clear. </w:t>
      </w:r>
      <w:r>
        <w:t xml:space="preserve">With regards to </w:t>
      </w:r>
      <w:r w:rsidRPr="00252AF6">
        <w:t xml:space="preserve">solid minerals, although the </w:t>
      </w:r>
      <w:r>
        <w:t>GC</w:t>
      </w:r>
      <w:r w:rsidRPr="00252AF6">
        <w:t>,</w:t>
      </w:r>
      <w:r>
        <w:t xml:space="preserve"> </w:t>
      </w:r>
      <w:r>
        <w:t>in particular the civil society group</w:t>
      </w:r>
      <w:r w:rsidRPr="00252AF6">
        <w:t>, had</w:t>
      </w:r>
      <w:r>
        <w:t xml:space="preserve"> several times</w:t>
      </w:r>
      <w:r w:rsidRPr="00252AF6">
        <w:t xml:space="preserve"> proposed to</w:t>
      </w:r>
      <w:r>
        <w:t xml:space="preserve"> disclose tariffs collected by </w:t>
      </w:r>
      <w:r w:rsidRPr="00252AF6">
        <w:t xml:space="preserve">CFM </w:t>
      </w:r>
      <w:r>
        <w:t xml:space="preserve">from coal transport through the </w:t>
      </w:r>
      <w:proofErr w:type="spellStart"/>
      <w:r>
        <w:t>Sena</w:t>
      </w:r>
      <w:proofErr w:type="spellEnd"/>
      <w:r>
        <w:t xml:space="preserve"> line, </w:t>
      </w:r>
      <w:r w:rsidRPr="00252AF6">
        <w:t xml:space="preserve">and the same question </w:t>
      </w:r>
      <w:r>
        <w:t xml:space="preserve">will be raised regarding the </w:t>
      </w:r>
      <w:r w:rsidRPr="00252AF6">
        <w:t xml:space="preserve">constructed by </w:t>
      </w:r>
      <w:r>
        <w:t>Vale</w:t>
      </w:r>
      <w:r w:rsidRPr="00252AF6">
        <w:t>. And how is the shipping of heavy sands by Kenmare treated?</w:t>
      </w:r>
    </w:p>
  </w:comment>
  <w:comment w:id="14" w:author="Fatima Mimbire" w:date="2017-08-04T12:41:00Z" w:initials="FM">
    <w:p w14:paraId="77299C02" w14:textId="2914D2D6" w:rsidR="00B353BB" w:rsidRDefault="00B353BB">
      <w:pPr>
        <w:pStyle w:val="CommentText"/>
      </w:pPr>
      <w:r>
        <w:rPr>
          <w:rStyle w:val="CommentReference"/>
        </w:rPr>
        <w:annotationRef/>
      </w:r>
      <w:r w:rsidRPr="00F111FD">
        <w:t>It is important, but at EITI level, despite re</w:t>
      </w:r>
      <w:r>
        <w:t>peated</w:t>
      </w:r>
      <w:r w:rsidRPr="00F111FD">
        <w:t xml:space="preserve"> demands from civil society, there has been no progress in this area. We have concerns about these issues</w:t>
      </w:r>
      <w:r>
        <w:t>.</w:t>
      </w:r>
    </w:p>
  </w:comment>
  <w:comment w:id="15" w:author="Fatima Mimbire" w:date="2017-08-04T12:42:00Z" w:initials="FM">
    <w:p w14:paraId="7997EE20" w14:textId="6AD9D9D7" w:rsidR="00B353BB" w:rsidRPr="00F111FD" w:rsidRDefault="00B353BB" w:rsidP="00F111FD">
      <w:pPr>
        <w:pStyle w:val="CommentText"/>
        <w:rPr>
          <w:sz w:val="22"/>
        </w:rPr>
      </w:pPr>
      <w:r>
        <w:rPr>
          <w:rStyle w:val="CommentReference"/>
        </w:rPr>
        <w:annotationRef/>
      </w:r>
      <w:r>
        <w:t xml:space="preserve">The centralisation of our tax collection system does not allow us to capture the payments made at the subnational level, except in the case of municipal taxes such as SISA </w:t>
      </w:r>
      <w:r>
        <w:sym w:font="Symbol" w:char="F05B"/>
      </w:r>
      <w:r>
        <w:t>Municipal Property Transfer Tax</w:t>
      </w:r>
      <w:r>
        <w:rPr>
          <w:sz w:val="22"/>
        </w:rPr>
        <w:sym w:font="Symbol" w:char="F05D"/>
      </w:r>
      <w:r>
        <w:t xml:space="preserve">, among others. </w:t>
      </w:r>
      <w:r>
        <w:t>In order to capture these taxes, the Independent Administrator would have to contact and/or include the municipalities in the data collection and this was never considered.</w:t>
      </w:r>
    </w:p>
    <w:p w14:paraId="54972BB9" w14:textId="77777777" w:rsidR="00B353BB" w:rsidRDefault="00B353BB" w:rsidP="00F111FD">
      <w:pPr>
        <w:pStyle w:val="CommentText"/>
      </w:pPr>
    </w:p>
    <w:p w14:paraId="6CED1811" w14:textId="75404DDD" w:rsidR="00B353BB" w:rsidRDefault="00B353BB" w:rsidP="00F111FD">
      <w:pPr>
        <w:pStyle w:val="CommentText"/>
      </w:pPr>
      <w:r>
        <w:t>As for other payments that are not necessarily taxes, what could happen is that companies often make payments to local governments, and can report these payments, so that we will have access to this data.</w:t>
      </w:r>
    </w:p>
  </w:comment>
  <w:comment w:id="16" w:author="Fatima Mimbire" w:date="2017-08-04T12:49:00Z" w:initials="FM">
    <w:p w14:paraId="7D8D6DB2" w14:textId="18FB37F3" w:rsidR="00B353BB" w:rsidRDefault="00B353BB">
      <w:pPr>
        <w:pStyle w:val="CommentText"/>
      </w:pPr>
      <w:r>
        <w:rPr>
          <w:rStyle w:val="CommentReference"/>
        </w:rPr>
        <w:annotationRef/>
      </w:r>
      <w:r w:rsidRPr="00F111FD">
        <w:t xml:space="preserve">We have already verified in independent analyses that both the Government and the companies present information that is not the same that they officially declare in the scope </w:t>
      </w:r>
      <w:r>
        <w:t>of their accountability to the p</w:t>
      </w:r>
      <w:r w:rsidRPr="00F111FD">
        <w:t>arliament and the Stock Exchanges, hence the quality and reliability of the information is in fact questionable</w:t>
      </w:r>
    </w:p>
  </w:comment>
  <w:comment w:id="17" w:author="Fatima Mimbire" w:date="2017-08-04T12:50:00Z" w:initials="FM">
    <w:p w14:paraId="2E16298A" w14:textId="7038FBFE" w:rsidR="00B353BB" w:rsidRDefault="00B353BB">
      <w:pPr>
        <w:pStyle w:val="CommentText"/>
      </w:pPr>
      <w:r>
        <w:rPr>
          <w:rStyle w:val="CommentReference"/>
        </w:rPr>
        <w:annotationRef/>
      </w:r>
      <w:r w:rsidRPr="00B353BB">
        <w:t>Overall, it is satisfactory, but there is still a lack of explanation a</w:t>
      </w:r>
      <w:r>
        <w:t>nd accountability regarding transfers made directly to INP, which have</w:t>
      </w:r>
      <w:r w:rsidRPr="00B353BB">
        <w:t xml:space="preserve"> not yet been reported and we are talking about </w:t>
      </w:r>
      <w:r>
        <w:t xml:space="preserve">USD </w:t>
      </w:r>
      <w:r w:rsidRPr="00B353BB">
        <w:t>5 million dollars a year.</w:t>
      </w:r>
    </w:p>
  </w:comment>
  <w:comment w:id="18" w:author="Fatima Mimbire" w:date="2017-08-04T12:51:00Z" w:initials="FM">
    <w:p w14:paraId="6DE09B75" w14:textId="22053C67" w:rsidR="00B353BB" w:rsidRDefault="00B353BB" w:rsidP="00B353BB">
      <w:pPr>
        <w:pStyle w:val="CommentText"/>
      </w:pPr>
      <w:r>
        <w:rPr>
          <w:rStyle w:val="CommentReference"/>
        </w:rPr>
        <w:annotationRef/>
      </w:r>
      <w:r>
        <w:t>There are subnational transfers, for example, from a part of the surface tax that is allocated to the local government and another to the central one. However, this is not clear from the legal framework, although described in detail in legal documents.</w:t>
      </w:r>
    </w:p>
    <w:p w14:paraId="3DEAFBA2" w14:textId="77777777" w:rsidR="00B353BB" w:rsidRDefault="00B353BB" w:rsidP="00B353BB">
      <w:pPr>
        <w:pStyle w:val="CommentText"/>
      </w:pPr>
    </w:p>
    <w:p w14:paraId="35575818" w14:textId="27F85C42" w:rsidR="00B353BB" w:rsidRDefault="00B353BB" w:rsidP="00B353BB">
      <w:pPr>
        <w:pStyle w:val="CommentText"/>
      </w:pPr>
      <w:r>
        <w:t>The allocation of revenues to communities provided for in articles 20 and 48 of the Mining and Petroleum Laws, have never been properly treated</w:t>
      </w:r>
    </w:p>
  </w:comment>
  <w:comment w:id="19" w:author="Fatima Mimbire" w:date="2017-08-04T12:53:00Z" w:initials="FM">
    <w:p w14:paraId="442CB22F" w14:textId="77777777" w:rsidR="00B353BB" w:rsidRDefault="00B353BB" w:rsidP="00B353BB">
      <w:pPr>
        <w:pStyle w:val="CommentText"/>
      </w:pPr>
      <w:r>
        <w:rPr>
          <w:rStyle w:val="CommentReference"/>
        </w:rPr>
        <w:annotationRef/>
      </w:r>
      <w:r>
        <w:t>What is the reconciler talking about? What expenses?</w:t>
      </w:r>
    </w:p>
    <w:p w14:paraId="01BC8E65" w14:textId="3B44A385" w:rsidR="00B353BB" w:rsidRDefault="00B353BB" w:rsidP="00B353BB">
      <w:pPr>
        <w:pStyle w:val="CommentText"/>
      </w:pPr>
      <w:r>
        <w:t>To our knowledge, there are development plans that companies must implement, which imply that there are expenditures and these expenditures are mandatory (contracts have the power of law), but these expenditures have never been reported by companies. T</w:t>
      </w:r>
      <w:r w:rsidRPr="00B353BB">
        <w:rPr>
          <w:color w:val="FF0000"/>
        </w:rPr>
        <w:t xml:space="preserve">herefore, I disagree with the assessment - inadequate. </w:t>
      </w:r>
      <w:r>
        <w:t>This could even include resettlement costs, livelihood restoration, compensation, etc.</w:t>
      </w:r>
    </w:p>
    <w:p w14:paraId="39AF5996" w14:textId="77777777" w:rsidR="00B353BB" w:rsidRDefault="00B353BB" w:rsidP="00B353BB">
      <w:pPr>
        <w:pStyle w:val="CommentText"/>
      </w:pPr>
    </w:p>
    <w:p w14:paraId="13308648" w14:textId="4D27D2C4" w:rsidR="00B353BB" w:rsidRDefault="00B353BB" w:rsidP="00B353BB">
      <w:pPr>
        <w:pStyle w:val="CommentText"/>
      </w:pPr>
      <w:r>
        <w:t>Not to be confused with the allocation of 2.75% to the communities – this is government allocation of taxes paid by companies</w:t>
      </w:r>
    </w:p>
  </w:comment>
  <w:comment w:id="20" w:author="Fatima Mimbire" w:date="2017-08-04T12:57:00Z" w:initials="FM">
    <w:p w14:paraId="13E5ED50" w14:textId="16E1B74F" w:rsidR="00B353BB" w:rsidRDefault="00B353BB">
      <w:pPr>
        <w:pStyle w:val="CommentText"/>
      </w:pPr>
      <w:r>
        <w:rPr>
          <w:rStyle w:val="CommentReference"/>
        </w:rPr>
        <w:annotationRef/>
      </w:r>
      <w:r w:rsidRPr="00B353BB">
        <w:t xml:space="preserve">Given the opacity of the relations between the Government and the </w:t>
      </w:r>
      <w:r>
        <w:t>SOEs</w:t>
      </w:r>
      <w:r w:rsidRPr="00B353BB">
        <w:t xml:space="preserve"> and the processes of accountability, it would be very difficult to access this information. In fact, this issue has never been addressed.</w:t>
      </w:r>
    </w:p>
  </w:comment>
  <w:comment w:id="21" w:author="Fatima Mimbire" w:date="2017-08-04T12:58:00Z" w:initials="FM">
    <w:p w14:paraId="2E5394FD" w14:textId="67F5CC87" w:rsidR="00B353BB" w:rsidRDefault="00B353BB">
      <w:pPr>
        <w:pStyle w:val="CommentText"/>
      </w:pPr>
      <w:r>
        <w:rPr>
          <w:rStyle w:val="CommentReference"/>
        </w:rPr>
        <w:annotationRef/>
      </w:r>
      <w:r>
        <w:t>Satisfactory? What is the indicator?</w:t>
      </w:r>
    </w:p>
  </w:comment>
  <w:comment w:id="22" w:author="Fatima Mimbire" w:date="2017-08-04T12:58:00Z" w:initials="FM">
    <w:p w14:paraId="27A119DD" w14:textId="5E6A9846" w:rsidR="00B353BB" w:rsidRDefault="00B353BB">
      <w:pPr>
        <w:pStyle w:val="CommentText"/>
      </w:pPr>
      <w:r>
        <w:rPr>
          <w:rStyle w:val="CommentReference"/>
        </w:rPr>
        <w:annotationRef/>
      </w:r>
      <w:r w:rsidRPr="00B353BB">
        <w:t xml:space="preserve">It is true that, in accordance with requirement 7.4, </w:t>
      </w:r>
      <w:r>
        <w:t xml:space="preserve">a </w:t>
      </w:r>
      <w:r w:rsidRPr="00B353BB">
        <w:t>yearly evaluation of progress</w:t>
      </w:r>
      <w:r>
        <w:t xml:space="preserve"> takes place</w:t>
      </w:r>
      <w:r w:rsidRPr="00B353BB">
        <w:t xml:space="preserve">, </w:t>
      </w:r>
      <w:r>
        <w:t xml:space="preserve">not of natural resource governance </w:t>
      </w:r>
      <w:r w:rsidRPr="00B353BB">
        <w:t>but rather of the implementation of the initiative in the country</w:t>
      </w:r>
      <w:r>
        <w:t xml:space="preserve">. This is </w:t>
      </w:r>
      <w:r w:rsidRPr="00B353BB">
        <w:t>currently only the production and publication</w:t>
      </w:r>
      <w:r>
        <w:t xml:space="preserve"> of reports, and is </w:t>
      </w:r>
      <w:r w:rsidRPr="00B353BB">
        <w:t>less</w:t>
      </w:r>
      <w:r w:rsidR="003D6B4A">
        <w:t xml:space="preserve"> with regards to </w:t>
      </w:r>
      <w:r w:rsidRPr="00B353BB">
        <w:t xml:space="preserve">structured </w:t>
      </w:r>
      <w:r w:rsidR="003D6B4A">
        <w:t>reforms discussions</w:t>
      </w:r>
      <w:r w:rsidRPr="00B353BB">
        <w:t>, although this perspective was brought by civil society, which in the end did not avenge.</w:t>
      </w:r>
    </w:p>
  </w:comment>
  <w:comment w:id="23" w:author="Fatima Mimbire" w:date="2017-08-04T13:01:00Z" w:initials="FM">
    <w:p w14:paraId="0AC32D36" w14:textId="1BE0CFD3" w:rsidR="003D6B4A" w:rsidRDefault="003D6B4A" w:rsidP="003D6B4A">
      <w:pPr>
        <w:pStyle w:val="CommentText"/>
      </w:pPr>
      <w:r>
        <w:rPr>
          <w:rStyle w:val="CommentReference"/>
        </w:rPr>
        <w:annotationRef/>
      </w:r>
      <w:r>
        <w:t>This situation derived from two factors, in our view:</w:t>
      </w:r>
    </w:p>
    <w:p w14:paraId="7CAA2E34" w14:textId="540DC0CC" w:rsidR="003D6B4A" w:rsidRDefault="003D6B4A" w:rsidP="003D6B4A">
      <w:pPr>
        <w:pStyle w:val="CommentText"/>
      </w:pPr>
      <w:r>
        <w:t xml:space="preserve">1. The EITI is an ad-hoc initiative, </w:t>
      </w:r>
      <w:r>
        <w:t xml:space="preserve">to </w:t>
      </w:r>
      <w:r>
        <w:t>which the Government has a minimum commitment to finance. This situation may change with a possible institutionalization of the EITI</w:t>
      </w:r>
      <w:r>
        <w:t>,</w:t>
      </w:r>
      <w:r>
        <w:t xml:space="preserve"> and appropriate institutional integration of the EITI must be ensured </w:t>
      </w:r>
      <w:r>
        <w:t>in order to safeguard its link w</w:t>
      </w:r>
      <w:r>
        <w:t>ith governance</w:t>
      </w:r>
      <w:r>
        <w:t>,</w:t>
      </w:r>
      <w:r>
        <w:t xml:space="preserve"> integrity and independence.</w:t>
      </w:r>
    </w:p>
    <w:p w14:paraId="5319C5A4" w14:textId="74F84E32" w:rsidR="003D6B4A" w:rsidRDefault="003D6B4A" w:rsidP="003D6B4A">
      <w:pPr>
        <w:pStyle w:val="CommentText"/>
      </w:pPr>
      <w:r>
        <w:t xml:space="preserve">2. The EITI is an initiative that is dissociated from the entire governance process and has not been taken on by the </w:t>
      </w:r>
      <w:r>
        <w:t>g</w:t>
      </w:r>
      <w:r>
        <w:t>overnment as an important tool to improve governance in the sector. The experience of the Millennium Development Goals process</w:t>
      </w:r>
      <w:r w:rsidRPr="003D6B4A">
        <w:t xml:space="preserve"> </w:t>
      </w:r>
      <w:r>
        <w:t>c</w:t>
      </w:r>
      <w:r>
        <w:t>ould</w:t>
      </w:r>
      <w:r>
        <w:t xml:space="preserve"> be considered to ensure greater </w:t>
      </w:r>
      <w:r>
        <w:t xml:space="preserve">government </w:t>
      </w:r>
      <w:r>
        <w:t xml:space="preserve">commitment </w:t>
      </w:r>
      <w:r>
        <w:t>and</w:t>
      </w:r>
      <w:r>
        <w:t xml:space="preserve"> funding.</w:t>
      </w:r>
      <w:r>
        <w:t xml:space="preserve"> In that case there</w:t>
      </w:r>
      <w:r>
        <w:t xml:space="preserve"> was a </w:t>
      </w:r>
      <w:r>
        <w:t>national s</w:t>
      </w:r>
      <w:r>
        <w:t>ecretariat in Mozambique</w:t>
      </w:r>
      <w:r>
        <w:t xml:space="preserve">, and the government reported on progress and challenges on a yearly basis through the State Budget </w:t>
      </w:r>
      <w:r>
        <w:t xml:space="preserve">report and the Economic and Social Plan </w:t>
      </w:r>
      <w:r>
        <w:t>report.</w:t>
      </w:r>
    </w:p>
  </w:comment>
  <w:comment w:id="24" w:author="Fatima Mimbire" w:date="2017-08-04T13:06:00Z" w:initials="FM">
    <w:p w14:paraId="0A41B383" w14:textId="104C21A2" w:rsidR="003D6B4A" w:rsidRDefault="003D6B4A" w:rsidP="003D6B4A">
      <w:pPr>
        <w:pStyle w:val="CommentText"/>
      </w:pPr>
      <w:r>
        <w:rPr>
          <w:rStyle w:val="CommentReference"/>
        </w:rPr>
        <w:annotationRef/>
      </w:r>
      <w:r>
        <w:t xml:space="preserve">I agree with the </w:t>
      </w:r>
      <w:r>
        <w:t>assessment.</w:t>
      </w:r>
    </w:p>
    <w:p w14:paraId="159068CE" w14:textId="3F269E72" w:rsidR="003D6B4A" w:rsidRDefault="003D6B4A" w:rsidP="003D6B4A">
      <w:pPr>
        <w:pStyle w:val="CommentText"/>
      </w:pPr>
      <w:r>
        <w:t>In fact, it is decentralis</w:t>
      </w:r>
      <w:r>
        <w:t xml:space="preserve">ation </w:t>
      </w:r>
      <w:r>
        <w:t>of tax collection, but there is a centralis</w:t>
      </w:r>
      <w:r>
        <w:t xml:space="preserve">ation </w:t>
      </w:r>
      <w:r>
        <w:t xml:space="preserve">of </w:t>
      </w:r>
      <w:r>
        <w:t>its distribution, that is, the allocation is made from the central government.</w:t>
      </w:r>
    </w:p>
    <w:p w14:paraId="7BAF63B5" w14:textId="2D242985" w:rsidR="003D6B4A" w:rsidRDefault="003D6B4A" w:rsidP="003D6B4A">
      <w:pPr>
        <w:pStyle w:val="CommentText"/>
      </w:pPr>
      <w:r>
        <w:t xml:space="preserve">Therefore, specific municipal taxes are </w:t>
      </w:r>
      <w:r>
        <w:t>collected</w:t>
      </w:r>
      <w:r>
        <w:t xml:space="preserve"> and managed in the respective municipalities, but the others, which are general, are paid to the national treasury.</w:t>
      </w:r>
    </w:p>
  </w:comment>
  <w:comment w:id="25" w:author="Fatima Mimbire" w:date="2017-08-04T13:07:00Z" w:initials="FM">
    <w:p w14:paraId="7965C39A" w14:textId="50B64359" w:rsidR="003D6B4A" w:rsidRDefault="003D6B4A" w:rsidP="003D6B4A">
      <w:pPr>
        <w:pStyle w:val="CommentText"/>
      </w:pPr>
      <w:r>
        <w:rPr>
          <w:rStyle w:val="CommentReference"/>
        </w:rPr>
        <w:annotationRef/>
      </w:r>
      <w:r>
        <w:t xml:space="preserve">What the </w:t>
      </w:r>
      <w:r>
        <w:t>validator</w:t>
      </w:r>
      <w:r>
        <w:t xml:space="preserve"> is </w:t>
      </w:r>
      <w:r>
        <w:t>saying</w:t>
      </w:r>
      <w:r>
        <w:t xml:space="preserve"> here is that the reports should mention what aspects of the contracts are negotiated?</w:t>
      </w:r>
    </w:p>
    <w:p w14:paraId="500DF137" w14:textId="299A0A8C" w:rsidR="003D6B4A" w:rsidRDefault="003D6B4A" w:rsidP="003D6B4A">
      <w:pPr>
        <w:pStyle w:val="CommentText"/>
      </w:pPr>
      <w:r>
        <w:t xml:space="preserve">This is true </w:t>
      </w:r>
      <w:r>
        <w:t xml:space="preserve">with regards </w:t>
      </w:r>
      <w:r>
        <w:t>to the lack of clarity on the main terms - we also do not know</w:t>
      </w:r>
      <w:r w:rsidR="005C3EB8">
        <w:t>,</w:t>
      </w:r>
      <w:r>
        <w:t xml:space="preserve"> and </w:t>
      </w:r>
      <w:r w:rsidR="005C3EB8">
        <w:t>the regulation does not include an explanation of</w:t>
      </w:r>
      <w:r>
        <w:t xml:space="preserve"> what co</w:t>
      </w:r>
      <w:r w:rsidR="005C3EB8">
        <w:t>nstitutes mai</w:t>
      </w:r>
      <w:r>
        <w:t>n terms.</w:t>
      </w:r>
    </w:p>
    <w:p w14:paraId="15935D60" w14:textId="77777777" w:rsidR="005C3EB8" w:rsidRDefault="005C3EB8" w:rsidP="003D6B4A">
      <w:pPr>
        <w:pStyle w:val="CommentText"/>
      </w:pPr>
    </w:p>
    <w:p w14:paraId="41E825DE" w14:textId="0CFF5894" w:rsidR="003D6B4A" w:rsidRDefault="003D6B4A" w:rsidP="003D6B4A">
      <w:pPr>
        <w:pStyle w:val="CommentText"/>
      </w:pPr>
      <w:r>
        <w:t xml:space="preserve">Concerning the mining contracts, </w:t>
      </w:r>
      <w:r>
        <w:t>it is clear that they are</w:t>
      </w:r>
      <w:r w:rsidR="005C3EB8">
        <w:t xml:space="preserve"> public, you can see the number</w:t>
      </w:r>
      <w:r>
        <w:t xml:space="preserve"> 4 and 5 of article 8 of the</w:t>
      </w:r>
      <w:r w:rsidR="005C3EB8">
        <w:t xml:space="preserve"> Mining law</w:t>
      </w:r>
      <w:r>
        <w:t xml:space="preserve">. </w:t>
      </w:r>
      <w:r w:rsidR="005C3EB8">
        <w:t xml:space="preserve">The issue here is another: </w:t>
      </w:r>
      <w:r>
        <w:t>how long</w:t>
      </w:r>
      <w:r w:rsidR="005C3EB8">
        <w:t xml:space="preserve"> does the </w:t>
      </w:r>
      <w:r>
        <w:t>government ha</w:t>
      </w:r>
      <w:r w:rsidR="005C3EB8">
        <w:t xml:space="preserve">ve </w:t>
      </w:r>
      <w:r>
        <w:t xml:space="preserve">to send </w:t>
      </w:r>
      <w:r w:rsidR="005C3EB8">
        <w:t>the contract to the</w:t>
      </w:r>
      <w:r>
        <w:t xml:space="preserve"> Administrative Court for </w:t>
      </w:r>
      <w:r w:rsidR="005C3EB8">
        <w:t xml:space="preserve">review, </w:t>
      </w:r>
      <w:r>
        <w:t xml:space="preserve">and how long </w:t>
      </w:r>
      <w:r w:rsidR="005C3EB8">
        <w:t xml:space="preserve">does the </w:t>
      </w:r>
      <w:r w:rsidR="005C3EB8">
        <w:t xml:space="preserve">Administrative Court </w:t>
      </w:r>
      <w:r w:rsidR="005C3EB8">
        <w:t xml:space="preserve">have </w:t>
      </w:r>
      <w:r>
        <w:t xml:space="preserve">to </w:t>
      </w:r>
      <w:r w:rsidR="005C3EB8">
        <w:t>review the contract</w:t>
      </w:r>
      <w:r>
        <w:t xml:space="preserve">, </w:t>
      </w:r>
      <w:r w:rsidR="005C3EB8">
        <w:t xml:space="preserve">keeping in mind </w:t>
      </w:r>
      <w:r>
        <w:t xml:space="preserve">that </w:t>
      </w:r>
      <w:r w:rsidR="005C3EB8">
        <w:t xml:space="preserve">the contract needs to be published </w:t>
      </w:r>
      <w:r>
        <w:t xml:space="preserve">30 days after </w:t>
      </w:r>
      <w:r w:rsidR="005C3EB8">
        <w:t>review.</w:t>
      </w:r>
    </w:p>
  </w:comment>
  <w:comment w:id="26" w:author="Fatima Mimbire" w:date="2017-08-04T13:14:00Z" w:initials="FM">
    <w:p w14:paraId="1B46F6B8" w14:textId="6A2CB0B6" w:rsidR="005C3EB8" w:rsidRDefault="005C3EB8">
      <w:pPr>
        <w:pStyle w:val="CommentText"/>
      </w:pPr>
      <w:r>
        <w:rPr>
          <w:rStyle w:val="CommentReference"/>
        </w:rPr>
        <w:annotationRef/>
      </w:r>
      <w:r w:rsidRPr="005C3EB8">
        <w:t>It is important to understand here that commitment does not only mean sending people to participate or to represent</w:t>
      </w:r>
      <w:r>
        <w:t xml:space="preserve"> the government</w:t>
      </w:r>
      <w:r w:rsidRPr="005C3EB8">
        <w:t xml:space="preserve">, but to </w:t>
      </w:r>
      <w:r w:rsidRPr="005C3EB8">
        <w:t>tak</w:t>
      </w:r>
      <w:r>
        <w:t>e action on the proposals and/</w:t>
      </w:r>
      <w:r w:rsidRPr="005C3EB8">
        <w:t>or discussions</w:t>
      </w:r>
      <w:r>
        <w:t xml:space="preserve"> in meetings. We note that the technical representatives</w:t>
      </w:r>
      <w:r w:rsidRPr="005C3EB8">
        <w:t xml:space="preserve"> who are sent to the </w:t>
      </w:r>
      <w:r>
        <w:t>MSG meetings</w:t>
      </w:r>
      <w:r w:rsidRPr="005C3EB8">
        <w:t xml:space="preserve"> have no power to influence anything and </w:t>
      </w:r>
      <w:r>
        <w:t xml:space="preserve">we </w:t>
      </w:r>
      <w:r w:rsidRPr="005C3EB8">
        <w:t>even have doubts that there is</w:t>
      </w:r>
      <w:r>
        <w:t xml:space="preserve"> any</w:t>
      </w:r>
      <w:r w:rsidRPr="005C3EB8">
        <w:t xml:space="preserve"> report</w:t>
      </w:r>
      <w:r>
        <w:t>ing back</w:t>
      </w:r>
      <w:r w:rsidRPr="005C3EB8">
        <w:t xml:space="preserve">. We think that </w:t>
      </w:r>
      <w:r>
        <w:t>similarly to there being high commitments to adhere, this should</w:t>
      </w:r>
      <w:r w:rsidRPr="005C3EB8">
        <w:t xml:space="preserve"> also exist for the discussions.</w:t>
      </w:r>
    </w:p>
  </w:comment>
  <w:comment w:id="27" w:author="Fatima Mimbire" w:date="2017-08-04T14:04:00Z" w:initials="FM">
    <w:p w14:paraId="12530500" w14:textId="2D47ADE8" w:rsidR="00A67540" w:rsidRDefault="00A67540">
      <w:pPr>
        <w:pStyle w:val="CommentText"/>
      </w:pPr>
      <w:r>
        <w:rPr>
          <w:rStyle w:val="CommentReference"/>
        </w:rPr>
        <w:annotationRef/>
      </w:r>
      <w:r w:rsidR="00145671">
        <w:t>The institutionalisation could be combined</w:t>
      </w:r>
      <w:r w:rsidRPr="00A67540">
        <w:t xml:space="preserve"> with the creation of other entities, such as the High Authority of the Extractive Industry</w:t>
      </w:r>
    </w:p>
  </w:comment>
  <w:comment w:id="28" w:author="Fatima Mimbire" w:date="2017-08-04T14:04:00Z" w:initials="FM">
    <w:p w14:paraId="0A495C0C" w14:textId="4DCC6693" w:rsidR="00145671" w:rsidRDefault="00145671">
      <w:pPr>
        <w:pStyle w:val="CommentText"/>
      </w:pPr>
      <w:r>
        <w:rPr>
          <w:rStyle w:val="CommentReference"/>
        </w:rPr>
        <w:annotationRef/>
      </w:r>
      <w:r w:rsidRPr="00145671">
        <w:t>The</w:t>
      </w:r>
      <w:r>
        <w:t xml:space="preserve"> main </w:t>
      </w:r>
      <w:r w:rsidRPr="00145671">
        <w:t xml:space="preserve">problem is that the EITI </w:t>
      </w:r>
      <w:r>
        <w:t>MSG</w:t>
      </w:r>
      <w:r w:rsidRPr="00145671">
        <w:t xml:space="preserve"> is decorative</w:t>
      </w:r>
      <w:r>
        <w:t xml:space="preserve"> when it comes to discussing governance</w:t>
      </w:r>
      <w:r w:rsidRPr="00145671">
        <w:t xml:space="preserve">. </w:t>
      </w:r>
      <w:r>
        <w:t>The r</w:t>
      </w:r>
      <w:r w:rsidRPr="00145671">
        <w:t xml:space="preserve">eal discussions take place elsewhere, between government and </w:t>
      </w:r>
      <w:r>
        <w:t>industry only</w:t>
      </w:r>
      <w:r w:rsidRPr="00145671">
        <w:t xml:space="preserve">. It is necessary to make the </w:t>
      </w:r>
      <w:r>
        <w:t>MSG</w:t>
      </w:r>
      <w:r w:rsidRPr="00145671">
        <w:t xml:space="preserve"> a place of discussion par excellence</w:t>
      </w:r>
    </w:p>
  </w:comment>
  <w:comment w:id="29" w:author="Fatima Mimbire" w:date="2017-08-04T14:08:00Z" w:initials="FM">
    <w:p w14:paraId="2FD0DAD6" w14:textId="5B028442" w:rsidR="00145671" w:rsidRDefault="00145671">
      <w:pPr>
        <w:pStyle w:val="CommentText"/>
      </w:pPr>
      <w:r>
        <w:rPr>
          <w:rStyle w:val="CommentReference"/>
        </w:rPr>
        <w:annotationRef/>
      </w:r>
      <w:r>
        <w:t>The MSG</w:t>
      </w:r>
      <w:r w:rsidRPr="00145671">
        <w:t xml:space="preserve"> may proactively </w:t>
      </w:r>
      <w:r>
        <w:t>recommend that</w:t>
      </w:r>
      <w:r w:rsidRPr="00145671">
        <w:t xml:space="preserve"> the </w:t>
      </w:r>
      <w:r>
        <w:t>g</w:t>
      </w:r>
      <w:r w:rsidRPr="00145671">
        <w:t xml:space="preserve">overnment </w:t>
      </w:r>
      <w:r>
        <w:t>published the procedures for these processes</w:t>
      </w:r>
      <w:r w:rsidRPr="00145671">
        <w:t xml:space="preserve">. If the </w:t>
      </w:r>
      <w:r>
        <w:t>MSG</w:t>
      </w:r>
      <w:r w:rsidRPr="00145671">
        <w:t xml:space="preserve"> </w:t>
      </w:r>
      <w:r>
        <w:t xml:space="preserve">had been </w:t>
      </w:r>
      <w:r w:rsidRPr="00145671">
        <w:t>a discussion platform for improving governance in the sector, the representatives of the compet</w:t>
      </w:r>
      <w:r>
        <w:t>ent</w:t>
      </w:r>
      <w:r w:rsidRPr="00145671">
        <w:t xml:space="preserve"> institutions, in this case the</w:t>
      </w:r>
      <w:r>
        <w:t xml:space="preserve"> tax authorities,</w:t>
      </w:r>
      <w:r w:rsidRPr="00145671">
        <w:t xml:space="preserve"> would already be doing so, because </w:t>
      </w:r>
      <w:r>
        <w:t>the work plan for 2016/2018 is</w:t>
      </w:r>
      <w:r w:rsidRPr="00145671">
        <w:t xml:space="preserve"> very bold and does not necessarily </w:t>
      </w:r>
      <w:r>
        <w:t xml:space="preserve">require </w:t>
      </w:r>
      <w:r w:rsidRPr="00145671">
        <w:t>financial resources, but political will</w:t>
      </w:r>
    </w:p>
  </w:comment>
  <w:comment w:id="30" w:author="Fatima Mimbire" w:date="2017-08-04T14:10:00Z" w:initials="FM">
    <w:p w14:paraId="56D70AFF" w14:textId="4B56B4D0" w:rsidR="00145671" w:rsidRDefault="00145671">
      <w:pPr>
        <w:pStyle w:val="CommentText"/>
      </w:pPr>
      <w:r>
        <w:rPr>
          <w:rStyle w:val="CommentReference"/>
        </w:rPr>
        <w:annotationRef/>
      </w:r>
      <w:r w:rsidRPr="00145671">
        <w:t xml:space="preserve">There has been much discussion </w:t>
      </w:r>
      <w:r>
        <w:t>on</w:t>
      </w:r>
      <w:r w:rsidRPr="00145671">
        <w:t xml:space="preserve"> this and what has been said on </w:t>
      </w:r>
      <w:r>
        <w:t>g</w:t>
      </w:r>
      <w:r w:rsidRPr="00145671">
        <w:t>overnment</w:t>
      </w:r>
      <w:r>
        <w:t xml:space="preserve"> ide</w:t>
      </w:r>
      <w:r w:rsidRPr="00145671">
        <w:t xml:space="preserve"> is that work is being done to improve the </w:t>
      </w:r>
      <w:proofErr w:type="spellStart"/>
      <w:r>
        <w:t>F</w:t>
      </w:r>
      <w:r w:rsidRPr="00145671">
        <w:t>lexicadastre</w:t>
      </w:r>
      <w:proofErr w:type="spellEnd"/>
      <w:r w:rsidRPr="00145671">
        <w:t xml:space="preserve"> and include additional data</w:t>
      </w:r>
    </w:p>
  </w:comment>
  <w:comment w:id="31" w:author="Fatima Mimbire" w:date="2017-08-04T14:11:00Z" w:initials="FM">
    <w:p w14:paraId="22DCE407" w14:textId="3DBA0920" w:rsidR="00145671" w:rsidRPr="00145671" w:rsidRDefault="00145671">
      <w:pPr>
        <w:pStyle w:val="CommentText"/>
      </w:pPr>
      <w:r>
        <w:rPr>
          <w:rStyle w:val="CommentReference"/>
        </w:rPr>
        <w:annotationRef/>
      </w:r>
      <w:r w:rsidRPr="00145671">
        <w:t xml:space="preserve">This is already clear in the law. </w:t>
      </w:r>
      <w:r>
        <w:t>The issue is how to get there, and there are gaps.</w:t>
      </w:r>
    </w:p>
  </w:comment>
  <w:comment w:id="33" w:author="Fatima Mimbire" w:date="2017-08-04T14:12:00Z" w:initials="FM">
    <w:p w14:paraId="79EDFFD5" w14:textId="7241EEAB" w:rsidR="00145671" w:rsidRDefault="00145671">
      <w:pPr>
        <w:pStyle w:val="CommentText"/>
      </w:pPr>
      <w:r>
        <w:rPr>
          <w:rStyle w:val="CommentReference"/>
        </w:rPr>
        <w:annotationRef/>
      </w:r>
      <w:r w:rsidRPr="00145671">
        <w:t xml:space="preserve">In addition, it is necessary to include company payments (long-term deposits) for mine </w:t>
      </w:r>
      <w:r w:rsidRPr="00145671">
        <w:t>closure</w:t>
      </w:r>
      <w:r>
        <w:t xml:space="preserve">, </w:t>
      </w:r>
      <w:r w:rsidRPr="00145671">
        <w:t xml:space="preserve"> rehabilitation activities (decommissioning) and the terms of adjustment of the amounts</w:t>
      </w:r>
      <w:r>
        <w:t xml:space="preserve">, which </w:t>
      </w:r>
      <w:r w:rsidRPr="00145671">
        <w:t>are made every two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186B7D" w15:done="0"/>
  <w15:commentEx w15:paraId="2C91D8F3" w15:done="0"/>
  <w15:commentEx w15:paraId="4308245A" w15:done="0"/>
  <w15:commentEx w15:paraId="233CAE6D" w15:done="0"/>
  <w15:commentEx w15:paraId="54A6D821" w15:done="0"/>
  <w15:commentEx w15:paraId="77299C02" w15:done="0"/>
  <w15:commentEx w15:paraId="6CED1811" w15:done="0"/>
  <w15:commentEx w15:paraId="7D8D6DB2" w15:done="0"/>
  <w15:commentEx w15:paraId="2E16298A" w15:done="0"/>
  <w15:commentEx w15:paraId="35575818" w15:done="0"/>
  <w15:commentEx w15:paraId="13308648" w15:done="0"/>
  <w15:commentEx w15:paraId="13E5ED50" w15:done="0"/>
  <w15:commentEx w15:paraId="2E5394FD" w15:done="0"/>
  <w15:commentEx w15:paraId="27A119DD" w15:done="0"/>
  <w15:commentEx w15:paraId="5319C5A4" w15:done="0"/>
  <w15:commentEx w15:paraId="7BAF63B5" w15:done="0"/>
  <w15:commentEx w15:paraId="41E825DE" w15:done="0"/>
  <w15:commentEx w15:paraId="1B46F6B8" w15:done="0"/>
  <w15:commentEx w15:paraId="12530500" w15:done="0"/>
  <w15:commentEx w15:paraId="0A495C0C" w15:done="0"/>
  <w15:commentEx w15:paraId="2FD0DAD6" w15:done="0"/>
  <w15:commentEx w15:paraId="56D70AFF" w15:done="0"/>
  <w15:commentEx w15:paraId="22DCE407" w15:done="0"/>
  <w15:commentEx w15:paraId="79EDFFD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7DE5" w14:textId="77777777" w:rsidR="00CF47B6" w:rsidRDefault="00CF47B6" w:rsidP="00186F04">
      <w:pPr>
        <w:spacing w:after="0" w:line="240" w:lineRule="auto"/>
      </w:pPr>
      <w:r>
        <w:separator/>
      </w:r>
    </w:p>
  </w:endnote>
  <w:endnote w:type="continuationSeparator" w:id="0">
    <w:p w14:paraId="71FDCDC0" w14:textId="77777777" w:rsidR="00CF47B6" w:rsidRDefault="00CF47B6"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4F37" w14:textId="77777777" w:rsidR="00B353BB" w:rsidRDefault="00B353BB"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31422" w14:textId="77777777" w:rsidR="00B353BB" w:rsidRDefault="00B353BB" w:rsidP="00185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647" w14:textId="3E628249" w:rsidR="00B353BB" w:rsidRDefault="00B353BB"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671">
      <w:rPr>
        <w:rStyle w:val="PageNumber"/>
        <w:noProof/>
      </w:rPr>
      <w:t>10</w:t>
    </w:r>
    <w:r>
      <w:rPr>
        <w:rStyle w:val="PageNumber"/>
      </w:rPr>
      <w:fldChar w:fldCharType="end"/>
    </w:r>
  </w:p>
  <w:p w14:paraId="57266DD4" w14:textId="77777777" w:rsidR="00B353BB" w:rsidRDefault="00B353BB" w:rsidP="00185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E4B10" w14:textId="77777777" w:rsidR="00CF47B6" w:rsidRDefault="00CF47B6" w:rsidP="00186F04">
      <w:pPr>
        <w:spacing w:after="0" w:line="240" w:lineRule="auto"/>
      </w:pPr>
      <w:r>
        <w:separator/>
      </w:r>
    </w:p>
  </w:footnote>
  <w:footnote w:type="continuationSeparator" w:id="0">
    <w:p w14:paraId="16F3137B" w14:textId="77777777" w:rsidR="00CF47B6" w:rsidRDefault="00CF47B6" w:rsidP="00186F04">
      <w:pPr>
        <w:spacing w:after="0" w:line="240" w:lineRule="auto"/>
      </w:pPr>
      <w:r>
        <w:continuationSeparator/>
      </w:r>
    </w:p>
  </w:footnote>
  <w:footnote w:id="1">
    <w:p w14:paraId="2CAE65CC" w14:textId="77777777" w:rsidR="00B353BB" w:rsidRPr="00C15005" w:rsidRDefault="00B353BB" w:rsidP="002F07BC">
      <w:pPr>
        <w:pStyle w:val="FootnoteText"/>
        <w:rPr>
          <w:lang w:val="pt-PT"/>
        </w:rPr>
      </w:pPr>
      <w:r>
        <w:rPr>
          <w:rStyle w:val="FootnoteReference"/>
        </w:rPr>
        <w:footnoteRef/>
      </w:r>
      <w:r w:rsidRPr="00C15005">
        <w:rPr>
          <w:lang w:val="pt-PT"/>
        </w:rPr>
        <w:t xml:space="preserve"> Mozambique EITI </w:t>
      </w:r>
      <w:proofErr w:type="spellStart"/>
      <w:r w:rsidRPr="00C15005">
        <w:rPr>
          <w:lang w:val="pt-PT"/>
        </w:rPr>
        <w:t>Report</w:t>
      </w:r>
      <w:proofErr w:type="spellEnd"/>
      <w:r w:rsidRPr="00C15005">
        <w:rPr>
          <w:lang w:val="pt-PT"/>
        </w:rPr>
        <w:t xml:space="preserve"> 2014-13, </w:t>
      </w:r>
      <w:hyperlink r:id="rId1" w:history="1">
        <w:r w:rsidRPr="00C15005">
          <w:rPr>
            <w:rStyle w:val="Hyperlink"/>
            <w:lang w:val="pt-PT"/>
          </w:rPr>
          <w:t>https://eiti.org/document/20132014-mozambique-eiti-report</w:t>
        </w:r>
      </w:hyperlink>
      <w:r w:rsidRPr="00C15005">
        <w:rPr>
          <w:lang w:val="pt-PT"/>
        </w:rPr>
        <w:t xml:space="preserve"> </w:t>
      </w:r>
    </w:p>
  </w:footnote>
  <w:footnote w:id="2">
    <w:p w14:paraId="1CAE00B4" w14:textId="77777777" w:rsidR="00B353BB" w:rsidRPr="004377C4" w:rsidRDefault="00B353BB" w:rsidP="008001A1">
      <w:pPr>
        <w:pStyle w:val="FootnoteText"/>
        <w:rPr>
          <w:lang w:val="pt-PT"/>
        </w:rPr>
      </w:pPr>
      <w:r>
        <w:rPr>
          <w:rStyle w:val="FootnoteReference"/>
        </w:rPr>
        <w:footnoteRef/>
      </w:r>
      <w:r w:rsidRPr="004377C4">
        <w:rPr>
          <w:lang w:val="pt-PT"/>
        </w:rPr>
        <w:t xml:space="preserve"> </w:t>
      </w:r>
      <w:hyperlink r:id="rId2" w:history="1">
        <w:r w:rsidRPr="004377C4">
          <w:rPr>
            <w:rStyle w:val="Hyperlink"/>
            <w:lang w:val="pt-PT"/>
          </w:rPr>
          <w:t>https://openknowledge.worldbank.org/handle/10986/23779</w:t>
        </w:r>
      </w:hyperlink>
      <w:r w:rsidRPr="004377C4">
        <w:rPr>
          <w:lang w:val="pt-P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B5CCD"/>
    <w:multiLevelType w:val="hybridMultilevel"/>
    <w:tmpl w:val="493A948C"/>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357142"/>
    <w:multiLevelType w:val="hybridMultilevel"/>
    <w:tmpl w:val="630E98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BBC3DB9"/>
    <w:multiLevelType w:val="hybridMultilevel"/>
    <w:tmpl w:val="59B4EAEE"/>
    <w:lvl w:ilvl="0" w:tplc="680AC490">
      <w:start w:val="1"/>
      <w:numFmt w:val="bullet"/>
      <w:lvlText w:val=""/>
      <w:lvlJc w:val="left"/>
      <w:pPr>
        <w:ind w:left="36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0" w15:restartNumberingAfterBreak="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
  </w:num>
  <w:num w:numId="7">
    <w:abstractNumId w:val="7"/>
  </w:num>
  <w:num w:numId="8">
    <w:abstractNumId w:val="4"/>
  </w:num>
  <w:num w:numId="9">
    <w:abstractNumId w:val="0"/>
  </w:num>
  <w:num w:numId="10">
    <w:abstractNumId w:val="8"/>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tima Mimbire">
    <w15:presenceInfo w15:providerId="None" w15:userId="Fatima Mimb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6"/>
    <w:rsid w:val="0000008D"/>
    <w:rsid w:val="00000EAA"/>
    <w:rsid w:val="000078E9"/>
    <w:rsid w:val="00010FBC"/>
    <w:rsid w:val="00012BF4"/>
    <w:rsid w:val="0001315D"/>
    <w:rsid w:val="000131DC"/>
    <w:rsid w:val="00016E7E"/>
    <w:rsid w:val="000175AE"/>
    <w:rsid w:val="00020DA4"/>
    <w:rsid w:val="000217A1"/>
    <w:rsid w:val="000235AF"/>
    <w:rsid w:val="0002362B"/>
    <w:rsid w:val="00024230"/>
    <w:rsid w:val="000257C0"/>
    <w:rsid w:val="00026B56"/>
    <w:rsid w:val="0002747A"/>
    <w:rsid w:val="00032378"/>
    <w:rsid w:val="0003327A"/>
    <w:rsid w:val="00040C82"/>
    <w:rsid w:val="00043B92"/>
    <w:rsid w:val="00043C99"/>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6680"/>
    <w:rsid w:val="00066886"/>
    <w:rsid w:val="000668A8"/>
    <w:rsid w:val="00067645"/>
    <w:rsid w:val="00072E68"/>
    <w:rsid w:val="000740A8"/>
    <w:rsid w:val="00077722"/>
    <w:rsid w:val="00080AC4"/>
    <w:rsid w:val="000841B2"/>
    <w:rsid w:val="00084829"/>
    <w:rsid w:val="00086E78"/>
    <w:rsid w:val="0008702B"/>
    <w:rsid w:val="00091E26"/>
    <w:rsid w:val="00093566"/>
    <w:rsid w:val="000948B3"/>
    <w:rsid w:val="00096C45"/>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2C70"/>
    <w:rsid w:val="000D69DE"/>
    <w:rsid w:val="000D6AB9"/>
    <w:rsid w:val="000D7037"/>
    <w:rsid w:val="000D71C1"/>
    <w:rsid w:val="000D7CEB"/>
    <w:rsid w:val="000E1506"/>
    <w:rsid w:val="000E1BF2"/>
    <w:rsid w:val="000E2EF6"/>
    <w:rsid w:val="000E345F"/>
    <w:rsid w:val="000F3FE0"/>
    <w:rsid w:val="000F47AA"/>
    <w:rsid w:val="000F5101"/>
    <w:rsid w:val="000F5A22"/>
    <w:rsid w:val="000F6A0D"/>
    <w:rsid w:val="000F7F99"/>
    <w:rsid w:val="00100B28"/>
    <w:rsid w:val="00103020"/>
    <w:rsid w:val="00106D21"/>
    <w:rsid w:val="00106D40"/>
    <w:rsid w:val="001109C2"/>
    <w:rsid w:val="00112A19"/>
    <w:rsid w:val="00113151"/>
    <w:rsid w:val="00114464"/>
    <w:rsid w:val="00116C05"/>
    <w:rsid w:val="001212FD"/>
    <w:rsid w:val="001232A8"/>
    <w:rsid w:val="001244EB"/>
    <w:rsid w:val="00124A0A"/>
    <w:rsid w:val="00125E59"/>
    <w:rsid w:val="00131F3F"/>
    <w:rsid w:val="0013451F"/>
    <w:rsid w:val="00140F76"/>
    <w:rsid w:val="00142290"/>
    <w:rsid w:val="001427A5"/>
    <w:rsid w:val="00143D5A"/>
    <w:rsid w:val="00145671"/>
    <w:rsid w:val="00146EC1"/>
    <w:rsid w:val="00151499"/>
    <w:rsid w:val="00155749"/>
    <w:rsid w:val="00161877"/>
    <w:rsid w:val="00162976"/>
    <w:rsid w:val="001645A4"/>
    <w:rsid w:val="00166319"/>
    <w:rsid w:val="00171CE0"/>
    <w:rsid w:val="00172322"/>
    <w:rsid w:val="001748FF"/>
    <w:rsid w:val="00176B8D"/>
    <w:rsid w:val="0017792C"/>
    <w:rsid w:val="0018007F"/>
    <w:rsid w:val="001817EE"/>
    <w:rsid w:val="00182F37"/>
    <w:rsid w:val="0018358C"/>
    <w:rsid w:val="00184391"/>
    <w:rsid w:val="00185BF5"/>
    <w:rsid w:val="001861D5"/>
    <w:rsid w:val="0018631A"/>
    <w:rsid w:val="00186F04"/>
    <w:rsid w:val="00191216"/>
    <w:rsid w:val="001921DC"/>
    <w:rsid w:val="001946A4"/>
    <w:rsid w:val="00197D6B"/>
    <w:rsid w:val="001A132E"/>
    <w:rsid w:val="001A386F"/>
    <w:rsid w:val="001A50F7"/>
    <w:rsid w:val="001A6431"/>
    <w:rsid w:val="001B097B"/>
    <w:rsid w:val="001B0E39"/>
    <w:rsid w:val="001B3B6F"/>
    <w:rsid w:val="001C1952"/>
    <w:rsid w:val="001C33F5"/>
    <w:rsid w:val="001C3829"/>
    <w:rsid w:val="001D3A2B"/>
    <w:rsid w:val="001D4318"/>
    <w:rsid w:val="001D68E2"/>
    <w:rsid w:val="001D759A"/>
    <w:rsid w:val="001F0A27"/>
    <w:rsid w:val="001F6B6D"/>
    <w:rsid w:val="00200EC6"/>
    <w:rsid w:val="00201632"/>
    <w:rsid w:val="00201EB8"/>
    <w:rsid w:val="00205C1B"/>
    <w:rsid w:val="00205CD3"/>
    <w:rsid w:val="00205F21"/>
    <w:rsid w:val="002109FB"/>
    <w:rsid w:val="002200AD"/>
    <w:rsid w:val="0022274E"/>
    <w:rsid w:val="002234D7"/>
    <w:rsid w:val="00232B37"/>
    <w:rsid w:val="00233DB9"/>
    <w:rsid w:val="002370E4"/>
    <w:rsid w:val="00243D4F"/>
    <w:rsid w:val="00243FF7"/>
    <w:rsid w:val="00244055"/>
    <w:rsid w:val="002466C7"/>
    <w:rsid w:val="002505AD"/>
    <w:rsid w:val="0025100A"/>
    <w:rsid w:val="00252AF6"/>
    <w:rsid w:val="00252B84"/>
    <w:rsid w:val="00255687"/>
    <w:rsid w:val="00255ACF"/>
    <w:rsid w:val="00256D61"/>
    <w:rsid w:val="002576A4"/>
    <w:rsid w:val="002577E7"/>
    <w:rsid w:val="002609AC"/>
    <w:rsid w:val="00260A19"/>
    <w:rsid w:val="0026125F"/>
    <w:rsid w:val="00265099"/>
    <w:rsid w:val="002661D4"/>
    <w:rsid w:val="00266A77"/>
    <w:rsid w:val="002679BC"/>
    <w:rsid w:val="00271BC7"/>
    <w:rsid w:val="002723E4"/>
    <w:rsid w:val="00272A27"/>
    <w:rsid w:val="00273070"/>
    <w:rsid w:val="002730B2"/>
    <w:rsid w:val="002735BF"/>
    <w:rsid w:val="00274673"/>
    <w:rsid w:val="00275241"/>
    <w:rsid w:val="002807CA"/>
    <w:rsid w:val="00280C48"/>
    <w:rsid w:val="00283F39"/>
    <w:rsid w:val="002859C4"/>
    <w:rsid w:val="00285F1D"/>
    <w:rsid w:val="00286C7B"/>
    <w:rsid w:val="002875D7"/>
    <w:rsid w:val="00287F73"/>
    <w:rsid w:val="00291451"/>
    <w:rsid w:val="00292CAD"/>
    <w:rsid w:val="002939E2"/>
    <w:rsid w:val="00294906"/>
    <w:rsid w:val="002A10E4"/>
    <w:rsid w:val="002A3A13"/>
    <w:rsid w:val="002A3D9D"/>
    <w:rsid w:val="002A5801"/>
    <w:rsid w:val="002B2A68"/>
    <w:rsid w:val="002B2BB3"/>
    <w:rsid w:val="002B3318"/>
    <w:rsid w:val="002B3865"/>
    <w:rsid w:val="002B53EF"/>
    <w:rsid w:val="002C0504"/>
    <w:rsid w:val="002C0FC7"/>
    <w:rsid w:val="002C1876"/>
    <w:rsid w:val="002C25D5"/>
    <w:rsid w:val="002C60C6"/>
    <w:rsid w:val="002C640F"/>
    <w:rsid w:val="002C67FF"/>
    <w:rsid w:val="002D1528"/>
    <w:rsid w:val="002D2440"/>
    <w:rsid w:val="002D4B3C"/>
    <w:rsid w:val="002D6BB1"/>
    <w:rsid w:val="002E4D95"/>
    <w:rsid w:val="002E590F"/>
    <w:rsid w:val="002E750C"/>
    <w:rsid w:val="002F07BC"/>
    <w:rsid w:val="002F4158"/>
    <w:rsid w:val="002F594B"/>
    <w:rsid w:val="002F73B1"/>
    <w:rsid w:val="00303148"/>
    <w:rsid w:val="00306890"/>
    <w:rsid w:val="00307CAE"/>
    <w:rsid w:val="00307DC4"/>
    <w:rsid w:val="00310D77"/>
    <w:rsid w:val="00315CBE"/>
    <w:rsid w:val="003166B3"/>
    <w:rsid w:val="00320061"/>
    <w:rsid w:val="0032211D"/>
    <w:rsid w:val="0032249A"/>
    <w:rsid w:val="003267A5"/>
    <w:rsid w:val="0033180A"/>
    <w:rsid w:val="00333DBB"/>
    <w:rsid w:val="00334685"/>
    <w:rsid w:val="0033525E"/>
    <w:rsid w:val="003366ED"/>
    <w:rsid w:val="00340268"/>
    <w:rsid w:val="00344212"/>
    <w:rsid w:val="00346286"/>
    <w:rsid w:val="00351A16"/>
    <w:rsid w:val="00351B5C"/>
    <w:rsid w:val="00362704"/>
    <w:rsid w:val="00363CA8"/>
    <w:rsid w:val="0036418F"/>
    <w:rsid w:val="00364807"/>
    <w:rsid w:val="0036521A"/>
    <w:rsid w:val="003722AC"/>
    <w:rsid w:val="00373DD8"/>
    <w:rsid w:val="00375307"/>
    <w:rsid w:val="00376AFA"/>
    <w:rsid w:val="00377024"/>
    <w:rsid w:val="0037743F"/>
    <w:rsid w:val="00380CCB"/>
    <w:rsid w:val="00381155"/>
    <w:rsid w:val="0038180E"/>
    <w:rsid w:val="00382343"/>
    <w:rsid w:val="0038392A"/>
    <w:rsid w:val="00384CAF"/>
    <w:rsid w:val="00384E97"/>
    <w:rsid w:val="003857B3"/>
    <w:rsid w:val="00392B71"/>
    <w:rsid w:val="003934A3"/>
    <w:rsid w:val="00393AA5"/>
    <w:rsid w:val="003950DC"/>
    <w:rsid w:val="00395479"/>
    <w:rsid w:val="0039698B"/>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D6B4A"/>
    <w:rsid w:val="003E11EA"/>
    <w:rsid w:val="003E7306"/>
    <w:rsid w:val="003F1B6C"/>
    <w:rsid w:val="003F1C2B"/>
    <w:rsid w:val="003F2A08"/>
    <w:rsid w:val="003F30F3"/>
    <w:rsid w:val="003F33B0"/>
    <w:rsid w:val="003F52C0"/>
    <w:rsid w:val="00400D91"/>
    <w:rsid w:val="00403081"/>
    <w:rsid w:val="00403C59"/>
    <w:rsid w:val="00403D48"/>
    <w:rsid w:val="00404575"/>
    <w:rsid w:val="00404829"/>
    <w:rsid w:val="00406FF1"/>
    <w:rsid w:val="00407054"/>
    <w:rsid w:val="004200CA"/>
    <w:rsid w:val="00420CFE"/>
    <w:rsid w:val="00422BC2"/>
    <w:rsid w:val="0042550B"/>
    <w:rsid w:val="00425EE0"/>
    <w:rsid w:val="00425F66"/>
    <w:rsid w:val="004306DD"/>
    <w:rsid w:val="00430FAA"/>
    <w:rsid w:val="00431189"/>
    <w:rsid w:val="0043214E"/>
    <w:rsid w:val="00432C81"/>
    <w:rsid w:val="004377C4"/>
    <w:rsid w:val="00441E23"/>
    <w:rsid w:val="00447899"/>
    <w:rsid w:val="00447C69"/>
    <w:rsid w:val="004526E1"/>
    <w:rsid w:val="004561B8"/>
    <w:rsid w:val="0045757A"/>
    <w:rsid w:val="00460639"/>
    <w:rsid w:val="00460C86"/>
    <w:rsid w:val="00460EC4"/>
    <w:rsid w:val="0046105E"/>
    <w:rsid w:val="00461510"/>
    <w:rsid w:val="00462D99"/>
    <w:rsid w:val="00465FBB"/>
    <w:rsid w:val="004663D8"/>
    <w:rsid w:val="00466F03"/>
    <w:rsid w:val="0047251C"/>
    <w:rsid w:val="00474234"/>
    <w:rsid w:val="00474343"/>
    <w:rsid w:val="00474858"/>
    <w:rsid w:val="004752AF"/>
    <w:rsid w:val="00476A12"/>
    <w:rsid w:val="004810DD"/>
    <w:rsid w:val="004855CE"/>
    <w:rsid w:val="004855E9"/>
    <w:rsid w:val="00486BD8"/>
    <w:rsid w:val="00487012"/>
    <w:rsid w:val="00490165"/>
    <w:rsid w:val="004911B9"/>
    <w:rsid w:val="00493D90"/>
    <w:rsid w:val="004A0786"/>
    <w:rsid w:val="004A54DF"/>
    <w:rsid w:val="004A6C81"/>
    <w:rsid w:val="004B10D1"/>
    <w:rsid w:val="004B2253"/>
    <w:rsid w:val="004B2428"/>
    <w:rsid w:val="004B3273"/>
    <w:rsid w:val="004B348A"/>
    <w:rsid w:val="004B4969"/>
    <w:rsid w:val="004B5FE7"/>
    <w:rsid w:val="004C04D7"/>
    <w:rsid w:val="004C534B"/>
    <w:rsid w:val="004C6979"/>
    <w:rsid w:val="004C6C04"/>
    <w:rsid w:val="004D5961"/>
    <w:rsid w:val="004D645B"/>
    <w:rsid w:val="004D7FC9"/>
    <w:rsid w:val="004E0BE2"/>
    <w:rsid w:val="004E6B86"/>
    <w:rsid w:val="004F0128"/>
    <w:rsid w:val="004F0B0E"/>
    <w:rsid w:val="004F2CA7"/>
    <w:rsid w:val="004F300B"/>
    <w:rsid w:val="004F42C6"/>
    <w:rsid w:val="004F7D10"/>
    <w:rsid w:val="00501794"/>
    <w:rsid w:val="00504018"/>
    <w:rsid w:val="005046F3"/>
    <w:rsid w:val="00505BAC"/>
    <w:rsid w:val="005105D2"/>
    <w:rsid w:val="00511324"/>
    <w:rsid w:val="00511804"/>
    <w:rsid w:val="00512ADD"/>
    <w:rsid w:val="005140A5"/>
    <w:rsid w:val="00514BF1"/>
    <w:rsid w:val="00516DAC"/>
    <w:rsid w:val="00517B78"/>
    <w:rsid w:val="00517FFB"/>
    <w:rsid w:val="00521EA7"/>
    <w:rsid w:val="0052678F"/>
    <w:rsid w:val="00527027"/>
    <w:rsid w:val="0053095C"/>
    <w:rsid w:val="00530F33"/>
    <w:rsid w:val="0053408A"/>
    <w:rsid w:val="005362E3"/>
    <w:rsid w:val="005379B3"/>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3EDA"/>
    <w:rsid w:val="005A45C3"/>
    <w:rsid w:val="005B7604"/>
    <w:rsid w:val="005C0DD5"/>
    <w:rsid w:val="005C3ADE"/>
    <w:rsid w:val="005C3DCD"/>
    <w:rsid w:val="005C3EB8"/>
    <w:rsid w:val="005C7005"/>
    <w:rsid w:val="005D0773"/>
    <w:rsid w:val="005D0D9D"/>
    <w:rsid w:val="005D146A"/>
    <w:rsid w:val="005D4E65"/>
    <w:rsid w:val="005D64D1"/>
    <w:rsid w:val="005D74C7"/>
    <w:rsid w:val="005E258B"/>
    <w:rsid w:val="005E2F26"/>
    <w:rsid w:val="005E6402"/>
    <w:rsid w:val="005E7CB7"/>
    <w:rsid w:val="005F391B"/>
    <w:rsid w:val="005F55FB"/>
    <w:rsid w:val="00603DEF"/>
    <w:rsid w:val="00604FF2"/>
    <w:rsid w:val="00614D35"/>
    <w:rsid w:val="0061665A"/>
    <w:rsid w:val="006227AF"/>
    <w:rsid w:val="00623492"/>
    <w:rsid w:val="00623D3C"/>
    <w:rsid w:val="00623EF8"/>
    <w:rsid w:val="0062407D"/>
    <w:rsid w:val="006274A2"/>
    <w:rsid w:val="00627573"/>
    <w:rsid w:val="00633888"/>
    <w:rsid w:val="00635030"/>
    <w:rsid w:val="006369C6"/>
    <w:rsid w:val="00637542"/>
    <w:rsid w:val="00637ED8"/>
    <w:rsid w:val="00641943"/>
    <w:rsid w:val="00645AC4"/>
    <w:rsid w:val="00646249"/>
    <w:rsid w:val="00650747"/>
    <w:rsid w:val="006511EE"/>
    <w:rsid w:val="006528B2"/>
    <w:rsid w:val="00655133"/>
    <w:rsid w:val="00655EB3"/>
    <w:rsid w:val="00656C60"/>
    <w:rsid w:val="00663A70"/>
    <w:rsid w:val="0066559A"/>
    <w:rsid w:val="0066592A"/>
    <w:rsid w:val="0067079A"/>
    <w:rsid w:val="006745FB"/>
    <w:rsid w:val="00674996"/>
    <w:rsid w:val="00675A25"/>
    <w:rsid w:val="00682EFA"/>
    <w:rsid w:val="006834F9"/>
    <w:rsid w:val="0068487E"/>
    <w:rsid w:val="006910F3"/>
    <w:rsid w:val="00691602"/>
    <w:rsid w:val="00692422"/>
    <w:rsid w:val="006944BB"/>
    <w:rsid w:val="006951CD"/>
    <w:rsid w:val="00695C72"/>
    <w:rsid w:val="006960C7"/>
    <w:rsid w:val="006A0DF3"/>
    <w:rsid w:val="006A5849"/>
    <w:rsid w:val="006A6EE1"/>
    <w:rsid w:val="006B4CDF"/>
    <w:rsid w:val="006B52FA"/>
    <w:rsid w:val="006B688F"/>
    <w:rsid w:val="006C0CDF"/>
    <w:rsid w:val="006C43F6"/>
    <w:rsid w:val="006C56E6"/>
    <w:rsid w:val="006D5EA2"/>
    <w:rsid w:val="006D7323"/>
    <w:rsid w:val="006E04A7"/>
    <w:rsid w:val="006E0670"/>
    <w:rsid w:val="006E53C1"/>
    <w:rsid w:val="006F0D0F"/>
    <w:rsid w:val="006F0D9A"/>
    <w:rsid w:val="006F1CB2"/>
    <w:rsid w:val="006F208D"/>
    <w:rsid w:val="006F4E34"/>
    <w:rsid w:val="006F6C76"/>
    <w:rsid w:val="006F6FD1"/>
    <w:rsid w:val="0070129F"/>
    <w:rsid w:val="00710D95"/>
    <w:rsid w:val="007122AF"/>
    <w:rsid w:val="007144B0"/>
    <w:rsid w:val="007148AA"/>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4CA"/>
    <w:rsid w:val="00745B79"/>
    <w:rsid w:val="00750730"/>
    <w:rsid w:val="00750901"/>
    <w:rsid w:val="00754851"/>
    <w:rsid w:val="00757AF9"/>
    <w:rsid w:val="007610B9"/>
    <w:rsid w:val="00761D22"/>
    <w:rsid w:val="00766D41"/>
    <w:rsid w:val="00767209"/>
    <w:rsid w:val="00776B0E"/>
    <w:rsid w:val="00776C2D"/>
    <w:rsid w:val="00780054"/>
    <w:rsid w:val="007817D2"/>
    <w:rsid w:val="007830A7"/>
    <w:rsid w:val="00783488"/>
    <w:rsid w:val="00785F68"/>
    <w:rsid w:val="00786845"/>
    <w:rsid w:val="00787A65"/>
    <w:rsid w:val="00794895"/>
    <w:rsid w:val="00795D6F"/>
    <w:rsid w:val="007A1C92"/>
    <w:rsid w:val="007A2F0A"/>
    <w:rsid w:val="007A4AAF"/>
    <w:rsid w:val="007A5596"/>
    <w:rsid w:val="007A6A78"/>
    <w:rsid w:val="007A716C"/>
    <w:rsid w:val="007B1E7B"/>
    <w:rsid w:val="007B254D"/>
    <w:rsid w:val="007B29DA"/>
    <w:rsid w:val="007B3640"/>
    <w:rsid w:val="007B4CB8"/>
    <w:rsid w:val="007B4FD2"/>
    <w:rsid w:val="007B54EB"/>
    <w:rsid w:val="007B5B50"/>
    <w:rsid w:val="007B5C20"/>
    <w:rsid w:val="007B5F54"/>
    <w:rsid w:val="007B660A"/>
    <w:rsid w:val="007B66A0"/>
    <w:rsid w:val="007B708B"/>
    <w:rsid w:val="007B71B4"/>
    <w:rsid w:val="007B73A9"/>
    <w:rsid w:val="007C0497"/>
    <w:rsid w:val="007C3785"/>
    <w:rsid w:val="007D16DE"/>
    <w:rsid w:val="007D33F8"/>
    <w:rsid w:val="007D380E"/>
    <w:rsid w:val="007D429D"/>
    <w:rsid w:val="007D48CD"/>
    <w:rsid w:val="007E1CEC"/>
    <w:rsid w:val="007E28F0"/>
    <w:rsid w:val="007E4AE0"/>
    <w:rsid w:val="007E5B01"/>
    <w:rsid w:val="007E73F3"/>
    <w:rsid w:val="007F1C2E"/>
    <w:rsid w:val="007F2D87"/>
    <w:rsid w:val="007F318E"/>
    <w:rsid w:val="007F5E89"/>
    <w:rsid w:val="007F60D3"/>
    <w:rsid w:val="007F730B"/>
    <w:rsid w:val="008001A1"/>
    <w:rsid w:val="00800CDD"/>
    <w:rsid w:val="00803CB3"/>
    <w:rsid w:val="0080431C"/>
    <w:rsid w:val="0080481D"/>
    <w:rsid w:val="008116D3"/>
    <w:rsid w:val="0081357E"/>
    <w:rsid w:val="00813694"/>
    <w:rsid w:val="00815301"/>
    <w:rsid w:val="0081641D"/>
    <w:rsid w:val="00822556"/>
    <w:rsid w:val="00823D46"/>
    <w:rsid w:val="00824402"/>
    <w:rsid w:val="00830F20"/>
    <w:rsid w:val="00833DCA"/>
    <w:rsid w:val="00840C7F"/>
    <w:rsid w:val="0084290B"/>
    <w:rsid w:val="00850815"/>
    <w:rsid w:val="0085150B"/>
    <w:rsid w:val="00852CC3"/>
    <w:rsid w:val="00853FAF"/>
    <w:rsid w:val="00857314"/>
    <w:rsid w:val="00860B70"/>
    <w:rsid w:val="00860D5F"/>
    <w:rsid w:val="00861305"/>
    <w:rsid w:val="00865D33"/>
    <w:rsid w:val="008661EA"/>
    <w:rsid w:val="00874A03"/>
    <w:rsid w:val="00874C2F"/>
    <w:rsid w:val="00874CF2"/>
    <w:rsid w:val="008761C1"/>
    <w:rsid w:val="008826A2"/>
    <w:rsid w:val="00886D03"/>
    <w:rsid w:val="00894529"/>
    <w:rsid w:val="0089655B"/>
    <w:rsid w:val="008A0D05"/>
    <w:rsid w:val="008A75CE"/>
    <w:rsid w:val="008B121A"/>
    <w:rsid w:val="008B3137"/>
    <w:rsid w:val="008B4CB1"/>
    <w:rsid w:val="008B667D"/>
    <w:rsid w:val="008B7147"/>
    <w:rsid w:val="008C1814"/>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5186"/>
    <w:rsid w:val="00905644"/>
    <w:rsid w:val="00906DA4"/>
    <w:rsid w:val="00911C86"/>
    <w:rsid w:val="009123C8"/>
    <w:rsid w:val="00912864"/>
    <w:rsid w:val="009143D5"/>
    <w:rsid w:val="009155AD"/>
    <w:rsid w:val="00915E6C"/>
    <w:rsid w:val="0091688B"/>
    <w:rsid w:val="00916ADD"/>
    <w:rsid w:val="0092137D"/>
    <w:rsid w:val="009249A9"/>
    <w:rsid w:val="00924DC3"/>
    <w:rsid w:val="0092600C"/>
    <w:rsid w:val="00930609"/>
    <w:rsid w:val="00932E1B"/>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DFB"/>
    <w:rsid w:val="009712AD"/>
    <w:rsid w:val="00972743"/>
    <w:rsid w:val="00972E76"/>
    <w:rsid w:val="0097367B"/>
    <w:rsid w:val="00973CC9"/>
    <w:rsid w:val="009815A8"/>
    <w:rsid w:val="0098211F"/>
    <w:rsid w:val="00985885"/>
    <w:rsid w:val="00990351"/>
    <w:rsid w:val="00990CD0"/>
    <w:rsid w:val="009A03D9"/>
    <w:rsid w:val="009A2490"/>
    <w:rsid w:val="009A25AC"/>
    <w:rsid w:val="009A2FD7"/>
    <w:rsid w:val="009A58DE"/>
    <w:rsid w:val="009B0699"/>
    <w:rsid w:val="009B0806"/>
    <w:rsid w:val="009B2767"/>
    <w:rsid w:val="009B2EEB"/>
    <w:rsid w:val="009B4AC8"/>
    <w:rsid w:val="009B6799"/>
    <w:rsid w:val="009B6B17"/>
    <w:rsid w:val="009B7BDA"/>
    <w:rsid w:val="009C1A8A"/>
    <w:rsid w:val="009C4089"/>
    <w:rsid w:val="009D2723"/>
    <w:rsid w:val="009D4EA9"/>
    <w:rsid w:val="009D58E6"/>
    <w:rsid w:val="009D5C0D"/>
    <w:rsid w:val="009E28B1"/>
    <w:rsid w:val="009E3509"/>
    <w:rsid w:val="009E7803"/>
    <w:rsid w:val="009E780B"/>
    <w:rsid w:val="009F1431"/>
    <w:rsid w:val="009F2700"/>
    <w:rsid w:val="00A01C92"/>
    <w:rsid w:val="00A023FA"/>
    <w:rsid w:val="00A0249F"/>
    <w:rsid w:val="00A03FEB"/>
    <w:rsid w:val="00A15B94"/>
    <w:rsid w:val="00A16606"/>
    <w:rsid w:val="00A16EDC"/>
    <w:rsid w:val="00A1799A"/>
    <w:rsid w:val="00A20847"/>
    <w:rsid w:val="00A22D21"/>
    <w:rsid w:val="00A33B07"/>
    <w:rsid w:val="00A43946"/>
    <w:rsid w:val="00A4497F"/>
    <w:rsid w:val="00A4629A"/>
    <w:rsid w:val="00A464D8"/>
    <w:rsid w:val="00A46E39"/>
    <w:rsid w:val="00A47026"/>
    <w:rsid w:val="00A531BC"/>
    <w:rsid w:val="00A54825"/>
    <w:rsid w:val="00A57147"/>
    <w:rsid w:val="00A57487"/>
    <w:rsid w:val="00A57C07"/>
    <w:rsid w:val="00A60A4A"/>
    <w:rsid w:val="00A65255"/>
    <w:rsid w:val="00A669F4"/>
    <w:rsid w:val="00A66AE5"/>
    <w:rsid w:val="00A67540"/>
    <w:rsid w:val="00A67544"/>
    <w:rsid w:val="00A70C93"/>
    <w:rsid w:val="00A75E93"/>
    <w:rsid w:val="00A81804"/>
    <w:rsid w:val="00A85227"/>
    <w:rsid w:val="00A87823"/>
    <w:rsid w:val="00A912CB"/>
    <w:rsid w:val="00A938B1"/>
    <w:rsid w:val="00A9393E"/>
    <w:rsid w:val="00A939F1"/>
    <w:rsid w:val="00A944D6"/>
    <w:rsid w:val="00A952F9"/>
    <w:rsid w:val="00A957F0"/>
    <w:rsid w:val="00A97B13"/>
    <w:rsid w:val="00AA1BCE"/>
    <w:rsid w:val="00AA281B"/>
    <w:rsid w:val="00AA2D9A"/>
    <w:rsid w:val="00AA2F8F"/>
    <w:rsid w:val="00AA444B"/>
    <w:rsid w:val="00AA7231"/>
    <w:rsid w:val="00AA7251"/>
    <w:rsid w:val="00AB16B3"/>
    <w:rsid w:val="00AB36FC"/>
    <w:rsid w:val="00AB786F"/>
    <w:rsid w:val="00AC0C73"/>
    <w:rsid w:val="00AC2FD8"/>
    <w:rsid w:val="00AC3332"/>
    <w:rsid w:val="00AD33EE"/>
    <w:rsid w:val="00AD497F"/>
    <w:rsid w:val="00AD49F8"/>
    <w:rsid w:val="00AD50B4"/>
    <w:rsid w:val="00AD598E"/>
    <w:rsid w:val="00AD6512"/>
    <w:rsid w:val="00AD6DE8"/>
    <w:rsid w:val="00AE2020"/>
    <w:rsid w:val="00AE4128"/>
    <w:rsid w:val="00AE5306"/>
    <w:rsid w:val="00AE5B93"/>
    <w:rsid w:val="00AF0430"/>
    <w:rsid w:val="00AF0859"/>
    <w:rsid w:val="00AF0CDD"/>
    <w:rsid w:val="00AF0EE1"/>
    <w:rsid w:val="00AF138C"/>
    <w:rsid w:val="00AF1E33"/>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E6C"/>
    <w:rsid w:val="00B25E68"/>
    <w:rsid w:val="00B271CD"/>
    <w:rsid w:val="00B27E27"/>
    <w:rsid w:val="00B30EAD"/>
    <w:rsid w:val="00B32036"/>
    <w:rsid w:val="00B3300F"/>
    <w:rsid w:val="00B353BB"/>
    <w:rsid w:val="00B35B22"/>
    <w:rsid w:val="00B37F39"/>
    <w:rsid w:val="00B4521C"/>
    <w:rsid w:val="00B47BC9"/>
    <w:rsid w:val="00B50E85"/>
    <w:rsid w:val="00B511F6"/>
    <w:rsid w:val="00B526CB"/>
    <w:rsid w:val="00B53590"/>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9E9"/>
    <w:rsid w:val="00B95C7F"/>
    <w:rsid w:val="00BA0AF7"/>
    <w:rsid w:val="00BA150D"/>
    <w:rsid w:val="00BA18AA"/>
    <w:rsid w:val="00BA284A"/>
    <w:rsid w:val="00BA54EA"/>
    <w:rsid w:val="00BA5A94"/>
    <w:rsid w:val="00BA6C85"/>
    <w:rsid w:val="00BB2777"/>
    <w:rsid w:val="00BB2A2B"/>
    <w:rsid w:val="00BB49C2"/>
    <w:rsid w:val="00BB4F60"/>
    <w:rsid w:val="00BB7037"/>
    <w:rsid w:val="00BB7947"/>
    <w:rsid w:val="00BC4E7C"/>
    <w:rsid w:val="00BC5DCC"/>
    <w:rsid w:val="00BD0C3E"/>
    <w:rsid w:val="00BD30FB"/>
    <w:rsid w:val="00BD3D13"/>
    <w:rsid w:val="00BD4C4D"/>
    <w:rsid w:val="00BD540C"/>
    <w:rsid w:val="00BD64DA"/>
    <w:rsid w:val="00BE13C1"/>
    <w:rsid w:val="00BE1E8C"/>
    <w:rsid w:val="00BE26BA"/>
    <w:rsid w:val="00BE295A"/>
    <w:rsid w:val="00BE2F8E"/>
    <w:rsid w:val="00BE48E7"/>
    <w:rsid w:val="00BE648E"/>
    <w:rsid w:val="00BE6D69"/>
    <w:rsid w:val="00BF08C5"/>
    <w:rsid w:val="00BF54B8"/>
    <w:rsid w:val="00BF5F28"/>
    <w:rsid w:val="00BF67DB"/>
    <w:rsid w:val="00C0038A"/>
    <w:rsid w:val="00C01E3B"/>
    <w:rsid w:val="00C02D6F"/>
    <w:rsid w:val="00C02F53"/>
    <w:rsid w:val="00C119F7"/>
    <w:rsid w:val="00C11D94"/>
    <w:rsid w:val="00C13980"/>
    <w:rsid w:val="00C14716"/>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6DD8"/>
    <w:rsid w:val="00C50400"/>
    <w:rsid w:val="00C50EFF"/>
    <w:rsid w:val="00C51917"/>
    <w:rsid w:val="00C5288D"/>
    <w:rsid w:val="00C53725"/>
    <w:rsid w:val="00C540D5"/>
    <w:rsid w:val="00C5438D"/>
    <w:rsid w:val="00C555A1"/>
    <w:rsid w:val="00C600D8"/>
    <w:rsid w:val="00C612C8"/>
    <w:rsid w:val="00C61C1E"/>
    <w:rsid w:val="00C629CB"/>
    <w:rsid w:val="00C631BE"/>
    <w:rsid w:val="00C655F8"/>
    <w:rsid w:val="00C70A72"/>
    <w:rsid w:val="00C70F86"/>
    <w:rsid w:val="00C71C1F"/>
    <w:rsid w:val="00C74BA7"/>
    <w:rsid w:val="00C75489"/>
    <w:rsid w:val="00C76470"/>
    <w:rsid w:val="00C7693B"/>
    <w:rsid w:val="00C77D00"/>
    <w:rsid w:val="00C82944"/>
    <w:rsid w:val="00C86FAB"/>
    <w:rsid w:val="00C9094A"/>
    <w:rsid w:val="00C9238C"/>
    <w:rsid w:val="00C95705"/>
    <w:rsid w:val="00C95CC0"/>
    <w:rsid w:val="00C96469"/>
    <w:rsid w:val="00C974D4"/>
    <w:rsid w:val="00C975D6"/>
    <w:rsid w:val="00CA0614"/>
    <w:rsid w:val="00CA0880"/>
    <w:rsid w:val="00CA10D3"/>
    <w:rsid w:val="00CA2804"/>
    <w:rsid w:val="00CA2E58"/>
    <w:rsid w:val="00CA33DF"/>
    <w:rsid w:val="00CA393E"/>
    <w:rsid w:val="00CA7E4C"/>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E54"/>
    <w:rsid w:val="00CD0CD0"/>
    <w:rsid w:val="00CD1382"/>
    <w:rsid w:val="00CD1743"/>
    <w:rsid w:val="00CD3C6B"/>
    <w:rsid w:val="00CD5202"/>
    <w:rsid w:val="00CD5789"/>
    <w:rsid w:val="00CD6D28"/>
    <w:rsid w:val="00CE0025"/>
    <w:rsid w:val="00CE24D1"/>
    <w:rsid w:val="00CE27AD"/>
    <w:rsid w:val="00CE3B4B"/>
    <w:rsid w:val="00CE41AA"/>
    <w:rsid w:val="00CE4E79"/>
    <w:rsid w:val="00CE5083"/>
    <w:rsid w:val="00CF0693"/>
    <w:rsid w:val="00CF192B"/>
    <w:rsid w:val="00CF47B6"/>
    <w:rsid w:val="00CF5BE1"/>
    <w:rsid w:val="00CF603F"/>
    <w:rsid w:val="00CF7153"/>
    <w:rsid w:val="00D02565"/>
    <w:rsid w:val="00D025CC"/>
    <w:rsid w:val="00D03129"/>
    <w:rsid w:val="00D041FD"/>
    <w:rsid w:val="00D04A3E"/>
    <w:rsid w:val="00D05445"/>
    <w:rsid w:val="00D06B92"/>
    <w:rsid w:val="00D11B86"/>
    <w:rsid w:val="00D137EB"/>
    <w:rsid w:val="00D13AC7"/>
    <w:rsid w:val="00D14477"/>
    <w:rsid w:val="00D17081"/>
    <w:rsid w:val="00D178DA"/>
    <w:rsid w:val="00D22315"/>
    <w:rsid w:val="00D236F9"/>
    <w:rsid w:val="00D2433A"/>
    <w:rsid w:val="00D25C6A"/>
    <w:rsid w:val="00D25F46"/>
    <w:rsid w:val="00D2606A"/>
    <w:rsid w:val="00D261E2"/>
    <w:rsid w:val="00D269D9"/>
    <w:rsid w:val="00D26CA7"/>
    <w:rsid w:val="00D27F80"/>
    <w:rsid w:val="00D320DC"/>
    <w:rsid w:val="00D35781"/>
    <w:rsid w:val="00D35AA1"/>
    <w:rsid w:val="00D3638F"/>
    <w:rsid w:val="00D364FF"/>
    <w:rsid w:val="00D368F1"/>
    <w:rsid w:val="00D43908"/>
    <w:rsid w:val="00D452EA"/>
    <w:rsid w:val="00D50AE7"/>
    <w:rsid w:val="00D50BDC"/>
    <w:rsid w:val="00D52429"/>
    <w:rsid w:val="00D52F3D"/>
    <w:rsid w:val="00D53A58"/>
    <w:rsid w:val="00D53CD7"/>
    <w:rsid w:val="00D61113"/>
    <w:rsid w:val="00D6561D"/>
    <w:rsid w:val="00D67D3D"/>
    <w:rsid w:val="00D70416"/>
    <w:rsid w:val="00D71923"/>
    <w:rsid w:val="00D71DE6"/>
    <w:rsid w:val="00D72004"/>
    <w:rsid w:val="00D73BF2"/>
    <w:rsid w:val="00D73E7D"/>
    <w:rsid w:val="00D73FA1"/>
    <w:rsid w:val="00D745BC"/>
    <w:rsid w:val="00D74EE2"/>
    <w:rsid w:val="00D75C59"/>
    <w:rsid w:val="00D7634C"/>
    <w:rsid w:val="00D7787C"/>
    <w:rsid w:val="00D8040D"/>
    <w:rsid w:val="00D8152E"/>
    <w:rsid w:val="00D81D8C"/>
    <w:rsid w:val="00D8221A"/>
    <w:rsid w:val="00D82592"/>
    <w:rsid w:val="00D83638"/>
    <w:rsid w:val="00D86219"/>
    <w:rsid w:val="00D86BD4"/>
    <w:rsid w:val="00D879EC"/>
    <w:rsid w:val="00D90A87"/>
    <w:rsid w:val="00D90CCC"/>
    <w:rsid w:val="00D91249"/>
    <w:rsid w:val="00D9137C"/>
    <w:rsid w:val="00D93DAD"/>
    <w:rsid w:val="00D96975"/>
    <w:rsid w:val="00DA06A3"/>
    <w:rsid w:val="00DA2313"/>
    <w:rsid w:val="00DA2638"/>
    <w:rsid w:val="00DA29C1"/>
    <w:rsid w:val="00DB1B3C"/>
    <w:rsid w:val="00DB2D43"/>
    <w:rsid w:val="00DB64C4"/>
    <w:rsid w:val="00DC0654"/>
    <w:rsid w:val="00DC259D"/>
    <w:rsid w:val="00DC3DA9"/>
    <w:rsid w:val="00DC3E7F"/>
    <w:rsid w:val="00DC52D4"/>
    <w:rsid w:val="00DC6A43"/>
    <w:rsid w:val="00DC7B11"/>
    <w:rsid w:val="00DD1148"/>
    <w:rsid w:val="00DD1288"/>
    <w:rsid w:val="00DD3B1D"/>
    <w:rsid w:val="00DD542B"/>
    <w:rsid w:val="00DE02EF"/>
    <w:rsid w:val="00DE2352"/>
    <w:rsid w:val="00DE39AE"/>
    <w:rsid w:val="00DE717E"/>
    <w:rsid w:val="00DF67D8"/>
    <w:rsid w:val="00E00C09"/>
    <w:rsid w:val="00E01D93"/>
    <w:rsid w:val="00E02483"/>
    <w:rsid w:val="00E02578"/>
    <w:rsid w:val="00E0443E"/>
    <w:rsid w:val="00E04945"/>
    <w:rsid w:val="00E04B67"/>
    <w:rsid w:val="00E12E22"/>
    <w:rsid w:val="00E13D2F"/>
    <w:rsid w:val="00E13FB3"/>
    <w:rsid w:val="00E14F3A"/>
    <w:rsid w:val="00E15BF1"/>
    <w:rsid w:val="00E1659F"/>
    <w:rsid w:val="00E170CA"/>
    <w:rsid w:val="00E20152"/>
    <w:rsid w:val="00E2183D"/>
    <w:rsid w:val="00E234B8"/>
    <w:rsid w:val="00E24E40"/>
    <w:rsid w:val="00E30020"/>
    <w:rsid w:val="00E3661A"/>
    <w:rsid w:val="00E41B1C"/>
    <w:rsid w:val="00E42A35"/>
    <w:rsid w:val="00E44584"/>
    <w:rsid w:val="00E450EA"/>
    <w:rsid w:val="00E45BDC"/>
    <w:rsid w:val="00E46A1D"/>
    <w:rsid w:val="00E5022A"/>
    <w:rsid w:val="00E50E51"/>
    <w:rsid w:val="00E5126C"/>
    <w:rsid w:val="00E51B6C"/>
    <w:rsid w:val="00E53F90"/>
    <w:rsid w:val="00E5478B"/>
    <w:rsid w:val="00E5696D"/>
    <w:rsid w:val="00E57AA1"/>
    <w:rsid w:val="00E60A76"/>
    <w:rsid w:val="00E64B40"/>
    <w:rsid w:val="00E70F1E"/>
    <w:rsid w:val="00E719C0"/>
    <w:rsid w:val="00E72FF0"/>
    <w:rsid w:val="00E73729"/>
    <w:rsid w:val="00E746A6"/>
    <w:rsid w:val="00E75A5A"/>
    <w:rsid w:val="00E7775B"/>
    <w:rsid w:val="00E87345"/>
    <w:rsid w:val="00E878C8"/>
    <w:rsid w:val="00E90261"/>
    <w:rsid w:val="00E91F3B"/>
    <w:rsid w:val="00E93401"/>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148E"/>
    <w:rsid w:val="00ED40FA"/>
    <w:rsid w:val="00ED66E5"/>
    <w:rsid w:val="00ED6D37"/>
    <w:rsid w:val="00EE0BD4"/>
    <w:rsid w:val="00EE5583"/>
    <w:rsid w:val="00EF4766"/>
    <w:rsid w:val="00EF52FF"/>
    <w:rsid w:val="00F050ED"/>
    <w:rsid w:val="00F064B2"/>
    <w:rsid w:val="00F07874"/>
    <w:rsid w:val="00F111FD"/>
    <w:rsid w:val="00F11C2A"/>
    <w:rsid w:val="00F11FEE"/>
    <w:rsid w:val="00F1219F"/>
    <w:rsid w:val="00F12713"/>
    <w:rsid w:val="00F150D5"/>
    <w:rsid w:val="00F16631"/>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5182"/>
    <w:rsid w:val="00FA6245"/>
    <w:rsid w:val="00FB4B0F"/>
    <w:rsid w:val="00FC40BF"/>
    <w:rsid w:val="00FC4788"/>
    <w:rsid w:val="00FC6653"/>
    <w:rsid w:val="00FD1109"/>
    <w:rsid w:val="00FD1CB7"/>
    <w:rsid w:val="00FD23A8"/>
    <w:rsid w:val="00FD3C97"/>
    <w:rsid w:val="00FD41DA"/>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15:docId w15:val="{E66AC651-3F37-47C3-85DF-86475076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aliases w:val="ftref,Normal + Font:9 Point,Superscript 3 Point Times,Ref,de nota al pie,16 Point,Superscript 6 Point,BVI fnr"/>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39338943">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penknowledge.worldbank.org/handle/10986/23779" TargetMode="External"/><Relationship Id="rId1" Type="http://schemas.openxmlformats.org/officeDocument/2006/relationships/hyperlink" Target="https://eiti.org/document/20132014-mozambique-eiti-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s>
</file>

<file path=customXml/itemProps1.xml><?xml version="1.0" encoding="utf-8"?>
<ds:datastoreItem xmlns:ds="http://schemas.openxmlformats.org/officeDocument/2006/customXml" ds:itemID="{D5F5C3D3-AFAC-4AE2-98E3-5E26DCE8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4683</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Fatima Mimbire</cp:lastModifiedBy>
  <cp:revision>80</cp:revision>
  <dcterms:created xsi:type="dcterms:W3CDTF">2017-06-25T06:46:00Z</dcterms:created>
  <dcterms:modified xsi:type="dcterms:W3CDTF">2017-08-04T12:13:00Z</dcterms:modified>
  <cp:category/>
</cp:coreProperties>
</file>