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CC870B" w14:textId="6FF12F4E" w:rsidR="00056339" w:rsidRPr="005625E1" w:rsidRDefault="00056339" w:rsidP="00F12713">
      <w:pPr>
        <w:spacing w:after="0" w:line="240" w:lineRule="auto"/>
        <w:jc w:val="center"/>
        <w:rPr>
          <w:rFonts w:cstheme="minorHAnsi"/>
          <w:b/>
        </w:rPr>
      </w:pPr>
      <w:r w:rsidRPr="005625E1">
        <w:rPr>
          <w:rFonts w:cstheme="minorHAnsi"/>
          <w:b/>
        </w:rPr>
        <w:t xml:space="preserve">Validation of </w:t>
      </w:r>
      <w:r w:rsidR="001218DC">
        <w:rPr>
          <w:rFonts w:cstheme="minorHAnsi"/>
          <w:b/>
        </w:rPr>
        <w:t xml:space="preserve">Senegal </w:t>
      </w:r>
    </w:p>
    <w:p w14:paraId="30323B62" w14:textId="38B61EF8" w:rsidR="00056339" w:rsidRPr="005625E1" w:rsidRDefault="00116C05" w:rsidP="00F12713">
      <w:pPr>
        <w:tabs>
          <w:tab w:val="left" w:pos="1890"/>
        </w:tabs>
        <w:spacing w:after="0" w:line="240" w:lineRule="auto"/>
        <w:jc w:val="center"/>
        <w:rPr>
          <w:rFonts w:cstheme="minorHAnsi"/>
        </w:rPr>
      </w:pPr>
      <w:r>
        <w:rPr>
          <w:rFonts w:cstheme="minorHAnsi"/>
        </w:rPr>
        <w:t xml:space="preserve">Draft </w:t>
      </w:r>
      <w:r w:rsidR="00056339" w:rsidRPr="005625E1">
        <w:rPr>
          <w:rFonts w:cstheme="minorHAnsi"/>
        </w:rPr>
        <w:t xml:space="preserve">Validation </w:t>
      </w:r>
      <w:r w:rsidR="0001315D" w:rsidRPr="005625E1">
        <w:rPr>
          <w:rFonts w:cstheme="minorHAnsi"/>
        </w:rPr>
        <w:t>Report</w:t>
      </w:r>
    </w:p>
    <w:p w14:paraId="7CE3F3AD" w14:textId="2E7299AA" w:rsidR="00056339" w:rsidRPr="005625E1" w:rsidRDefault="00A57147" w:rsidP="00F12713">
      <w:pPr>
        <w:spacing w:after="0" w:line="240" w:lineRule="auto"/>
        <w:jc w:val="center"/>
        <w:rPr>
          <w:rFonts w:cstheme="minorHAnsi"/>
        </w:rPr>
      </w:pPr>
      <w:r>
        <w:rPr>
          <w:rFonts w:cstheme="minorHAnsi"/>
        </w:rPr>
        <w:t xml:space="preserve">Adam Smith International </w:t>
      </w:r>
      <w:r w:rsidR="00555FC2" w:rsidRPr="005625E1">
        <w:rPr>
          <w:rFonts w:cstheme="minorHAnsi"/>
        </w:rPr>
        <w:t>Independent Validator</w:t>
      </w:r>
    </w:p>
    <w:p w14:paraId="649995B7" w14:textId="68A11B52" w:rsidR="00056339" w:rsidRPr="005625E1" w:rsidRDefault="001218DC" w:rsidP="00F12713">
      <w:pPr>
        <w:spacing w:after="0" w:line="240" w:lineRule="auto"/>
        <w:jc w:val="center"/>
        <w:rPr>
          <w:rFonts w:cstheme="minorHAnsi"/>
        </w:rPr>
      </w:pPr>
      <w:r>
        <w:rPr>
          <w:rFonts w:cstheme="minorHAnsi"/>
        </w:rPr>
        <w:t>8</w:t>
      </w:r>
      <w:r w:rsidRPr="001218DC">
        <w:rPr>
          <w:rFonts w:cstheme="minorHAnsi"/>
          <w:vertAlign w:val="superscript"/>
        </w:rPr>
        <w:t>th</w:t>
      </w:r>
      <w:r>
        <w:rPr>
          <w:rFonts w:cstheme="minorHAnsi"/>
        </w:rPr>
        <w:t xml:space="preserve"> January 2018</w:t>
      </w:r>
    </w:p>
    <w:p w14:paraId="5DA4E47B" w14:textId="77777777" w:rsidR="00FD740D" w:rsidRDefault="00FD740D" w:rsidP="00FD740D">
      <w:pPr>
        <w:spacing w:after="0" w:line="240" w:lineRule="auto"/>
        <w:rPr>
          <w:rFonts w:cstheme="minorHAnsi"/>
        </w:rPr>
      </w:pPr>
    </w:p>
    <w:p w14:paraId="2292AB67" w14:textId="77777777" w:rsidR="00645AC4" w:rsidRDefault="00116C05" w:rsidP="00F12713">
      <w:pPr>
        <w:spacing w:after="0" w:line="240" w:lineRule="auto"/>
        <w:rPr>
          <w:rFonts w:cstheme="minorHAnsi"/>
          <w:b/>
          <w:color w:val="365F91" w:themeColor="accent1" w:themeShade="BF"/>
        </w:rPr>
      </w:pPr>
      <w:r w:rsidRPr="005625E1">
        <w:rPr>
          <w:rFonts w:cstheme="minorHAnsi"/>
          <w:b/>
          <w:color w:val="365F91" w:themeColor="accent1" w:themeShade="BF"/>
        </w:rPr>
        <w:t>1.</w:t>
      </w:r>
      <w:r w:rsidRPr="005625E1">
        <w:rPr>
          <w:rFonts w:cstheme="minorHAnsi"/>
          <w:b/>
          <w:color w:val="365F91" w:themeColor="accent1" w:themeShade="BF"/>
        </w:rPr>
        <w:tab/>
      </w:r>
      <w:r>
        <w:rPr>
          <w:rFonts w:cstheme="minorHAnsi"/>
          <w:b/>
          <w:color w:val="365F91" w:themeColor="accent1" w:themeShade="BF"/>
        </w:rPr>
        <w:t>EXECUTIVE SUMMARY</w:t>
      </w:r>
    </w:p>
    <w:p w14:paraId="0E0088D3" w14:textId="1A93AC6B" w:rsidR="00AB1681" w:rsidRPr="00763429" w:rsidRDefault="001218DC" w:rsidP="00354AA6">
      <w:pPr>
        <w:spacing w:before="240" w:after="0" w:line="240" w:lineRule="auto"/>
        <w:jc w:val="both"/>
        <w:rPr>
          <w:rFonts w:cstheme="minorHAnsi"/>
        </w:rPr>
      </w:pPr>
      <w:r w:rsidRPr="001218DC">
        <w:rPr>
          <w:rFonts w:cstheme="minorHAnsi"/>
        </w:rPr>
        <w:t xml:space="preserve">The Government of Senegal committed to implement the EITI in February 2012 and was accepted as an EITI Candidate on 17 October 2013. </w:t>
      </w:r>
      <w:r w:rsidR="005E1A2A" w:rsidRPr="002815F4">
        <w:rPr>
          <w:rFonts w:ascii="Calibri" w:hAnsi="Calibri"/>
        </w:rPr>
        <w:t>On 25 October 2016, the Board agreed that the Senegal’s Validation under the 2016 EITI Standard would commence on 1 July 2017</w:t>
      </w:r>
      <w:r w:rsidR="005E1A2A">
        <w:rPr>
          <w:rFonts w:ascii="Calibri" w:hAnsi="Calibri"/>
        </w:rPr>
        <w:t xml:space="preserve">. </w:t>
      </w:r>
      <w:r w:rsidR="00AB1681">
        <w:rPr>
          <w:rFonts w:cstheme="minorHAnsi"/>
        </w:rPr>
        <w:t>This draft validation report follows on from a quality assurance review of the International Secretariat’s initial assessment.  T</w:t>
      </w:r>
      <w:r w:rsidR="00AB1681" w:rsidRPr="00AF1E33">
        <w:rPr>
          <w:rFonts w:cstheme="minorHAnsi"/>
        </w:rPr>
        <w:t xml:space="preserve">he </w:t>
      </w:r>
      <w:r w:rsidR="00AB1681">
        <w:rPr>
          <w:rFonts w:cstheme="minorHAnsi"/>
        </w:rPr>
        <w:t xml:space="preserve">Validator agrees with </w:t>
      </w:r>
      <w:r w:rsidR="00AB1681" w:rsidRPr="0070682C">
        <w:rPr>
          <w:rFonts w:cstheme="minorHAnsi"/>
        </w:rPr>
        <w:t>the Secreta</w:t>
      </w:r>
      <w:r w:rsidR="00AB1681">
        <w:rPr>
          <w:rFonts w:cstheme="minorHAnsi"/>
        </w:rPr>
        <w:t>riat’s preliminary assessment</w:t>
      </w:r>
      <w:r w:rsidR="00AB1681" w:rsidRPr="0070682C">
        <w:rPr>
          <w:rFonts w:cstheme="minorHAnsi"/>
        </w:rPr>
        <w:t xml:space="preserve"> that requirements</w:t>
      </w:r>
      <w:r w:rsidR="00AB1681">
        <w:rPr>
          <w:rFonts w:cstheme="minorHAnsi"/>
        </w:rPr>
        <w:t xml:space="preserve"> 2.6 and 3.2 have not been fully addressed in Senegal.</w:t>
      </w:r>
    </w:p>
    <w:p w14:paraId="0783FB4D" w14:textId="77777777" w:rsidR="00645AC4" w:rsidRDefault="00645AC4" w:rsidP="00F12713">
      <w:pPr>
        <w:spacing w:after="0" w:line="240" w:lineRule="auto"/>
        <w:rPr>
          <w:rFonts w:cstheme="minorHAnsi"/>
          <w:b/>
          <w:color w:val="365F91" w:themeColor="accent1" w:themeShade="BF"/>
        </w:rPr>
      </w:pPr>
    </w:p>
    <w:p w14:paraId="07E1A5A0" w14:textId="6D4C6AF3" w:rsidR="00A20847" w:rsidRPr="005625E1" w:rsidRDefault="00645AC4" w:rsidP="00F12713">
      <w:pPr>
        <w:spacing w:after="0" w:line="240" w:lineRule="auto"/>
        <w:rPr>
          <w:rFonts w:cstheme="minorHAnsi"/>
          <w:b/>
          <w:color w:val="365F91" w:themeColor="accent1" w:themeShade="BF"/>
        </w:rPr>
      </w:pPr>
      <w:r>
        <w:rPr>
          <w:rFonts w:cstheme="minorHAnsi"/>
          <w:b/>
          <w:color w:val="365F91" w:themeColor="accent1" w:themeShade="BF"/>
        </w:rPr>
        <w:t>2.</w:t>
      </w:r>
      <w:r>
        <w:rPr>
          <w:rFonts w:cstheme="minorHAnsi"/>
          <w:b/>
          <w:color w:val="365F91" w:themeColor="accent1" w:themeShade="BF"/>
        </w:rPr>
        <w:tab/>
      </w:r>
      <w:r w:rsidR="00803CB3" w:rsidRPr="005625E1">
        <w:rPr>
          <w:rFonts w:cstheme="minorHAnsi"/>
          <w:b/>
          <w:color w:val="365F91" w:themeColor="accent1" w:themeShade="BF"/>
        </w:rPr>
        <w:t>BACKGROUND</w:t>
      </w:r>
    </w:p>
    <w:p w14:paraId="24018859" w14:textId="77777777" w:rsidR="00325E55" w:rsidRDefault="00325E55" w:rsidP="00344212">
      <w:pPr>
        <w:spacing w:after="0" w:line="240" w:lineRule="auto"/>
        <w:rPr>
          <w:rFonts w:cstheme="minorHAnsi"/>
        </w:rPr>
      </w:pPr>
    </w:p>
    <w:p w14:paraId="58C233D6" w14:textId="5F46C665" w:rsidR="005E1A2A" w:rsidRDefault="005E1A2A" w:rsidP="00FA28A9">
      <w:pPr>
        <w:spacing w:after="0" w:line="240" w:lineRule="auto"/>
        <w:jc w:val="both"/>
        <w:rPr>
          <w:rFonts w:cstheme="minorHAnsi"/>
        </w:rPr>
      </w:pPr>
      <w:r w:rsidRPr="005E1A2A">
        <w:rPr>
          <w:rFonts w:cstheme="minorHAnsi"/>
        </w:rPr>
        <w:t xml:space="preserve">Senegal is not an economy dependent on extractive industries, with revenues from mining, oil and gas accounting for only less than 2% of government revenues. Yet the country holds significant reserves of gold, iron ore, uranium, copper, chromium and marble (Amnesty International, 2014) Senegal is among the world’s leading producers of phosphate, with annual production of 1.4m tons a year in 2015, alongside smaller production of gold, natural gas and various construction materials (World Bank, 2016) (USGS, 2016). The </w:t>
      </w:r>
      <w:proofErr w:type="spellStart"/>
      <w:r w:rsidRPr="005E1A2A">
        <w:rPr>
          <w:rFonts w:cstheme="minorHAnsi"/>
        </w:rPr>
        <w:t>Birim</w:t>
      </w:r>
      <w:bookmarkStart w:id="0" w:name="_GoBack"/>
      <w:bookmarkEnd w:id="0"/>
      <w:r w:rsidRPr="005E1A2A">
        <w:rPr>
          <w:rFonts w:cstheme="minorHAnsi"/>
        </w:rPr>
        <w:t>ian</w:t>
      </w:r>
      <w:proofErr w:type="spellEnd"/>
      <w:r w:rsidRPr="005E1A2A">
        <w:rPr>
          <w:rFonts w:cstheme="minorHAnsi"/>
        </w:rPr>
        <w:t xml:space="preserve"> Greenstone Gold Belt runs through the south-eastern region of </w:t>
      </w:r>
      <w:proofErr w:type="spellStart"/>
      <w:r w:rsidRPr="005E1A2A">
        <w:rPr>
          <w:rFonts w:cstheme="minorHAnsi"/>
        </w:rPr>
        <w:t>Kedougou</w:t>
      </w:r>
      <w:proofErr w:type="spellEnd"/>
      <w:r w:rsidRPr="005E1A2A">
        <w:rPr>
          <w:rFonts w:cstheme="minorHAnsi"/>
        </w:rPr>
        <w:t xml:space="preserve">, which holds 10m </w:t>
      </w:r>
      <w:proofErr w:type="spellStart"/>
      <w:r w:rsidRPr="005E1A2A">
        <w:rPr>
          <w:rFonts w:cstheme="minorHAnsi"/>
        </w:rPr>
        <w:t>oz</w:t>
      </w:r>
      <w:proofErr w:type="spellEnd"/>
      <w:r w:rsidRPr="005E1A2A">
        <w:rPr>
          <w:rFonts w:cstheme="minorHAnsi"/>
        </w:rPr>
        <w:t xml:space="preserve"> of gold reserves alone (Amnesty International, 2014). Senegal also has sufficient reserves to become a world-leading producer of heavy metals like ilmenite and zircon (World Bank, 2016). The government has given priority to the development of mining through a new mining code in October 2016 and investing in supporting transportation infrastructure. Senegal boasts some of the largest deposits of gold in Africa, an estimated 2.24m </w:t>
      </w:r>
      <w:proofErr w:type="spellStart"/>
      <w:r w:rsidRPr="005E1A2A">
        <w:rPr>
          <w:rFonts w:cstheme="minorHAnsi"/>
        </w:rPr>
        <w:t>oz</w:t>
      </w:r>
      <w:proofErr w:type="spellEnd"/>
      <w:r w:rsidRPr="005E1A2A">
        <w:rPr>
          <w:rFonts w:cstheme="minorHAnsi"/>
        </w:rPr>
        <w:t>, and of high-quality iron ore, an estimated 750m tons of reserves (Lazard Asset Management , 2017) (USGS, 2016).</w:t>
      </w:r>
    </w:p>
    <w:p w14:paraId="3042C65A" w14:textId="4AA94295" w:rsidR="00325E55" w:rsidRDefault="005E1A2A" w:rsidP="00FA28A9">
      <w:pPr>
        <w:spacing w:before="240" w:line="240" w:lineRule="auto"/>
        <w:jc w:val="both"/>
        <w:rPr>
          <w:rFonts w:cstheme="minorHAnsi"/>
        </w:rPr>
      </w:pPr>
      <w:r w:rsidRPr="005E1A2A">
        <w:rPr>
          <w:rFonts w:cstheme="minorHAnsi"/>
        </w:rPr>
        <w:t xml:space="preserve">With its extractive industries long dominated by mining, Senegal does not produce crude oil and its small gas production is earmarked for (insufficient) domestic electricity generation. Senegal imports crude oil – 1.4m tons from Nigeria in 2016 – to supply its domestic refinery, the SAR </w:t>
      </w:r>
      <w:sdt>
        <w:sdtPr>
          <w:rPr>
            <w:rFonts w:cstheme="minorHAnsi"/>
          </w:rPr>
          <w:id w:val="1222789544"/>
          <w:citation/>
        </w:sdtPr>
        <w:sdtEndPr/>
        <w:sdtContent>
          <w:r w:rsidRPr="005E1A2A">
            <w:rPr>
              <w:rFonts w:cstheme="minorHAnsi"/>
            </w:rPr>
            <w:fldChar w:fldCharType="begin"/>
          </w:r>
          <w:r w:rsidRPr="005E1A2A">
            <w:rPr>
              <w:rFonts w:cstheme="minorHAnsi"/>
            </w:rPr>
            <w:instrText xml:space="preserve"> CITATION Rep171 \l 1033 </w:instrText>
          </w:r>
          <w:r w:rsidRPr="005E1A2A">
            <w:rPr>
              <w:rFonts w:cstheme="minorHAnsi"/>
            </w:rPr>
            <w:fldChar w:fldCharType="separate"/>
          </w:r>
          <w:r w:rsidRPr="005E1A2A">
            <w:rPr>
              <w:rFonts w:cstheme="minorHAnsi"/>
            </w:rPr>
            <w:t>(Republic of Senegal, 2017)</w:t>
          </w:r>
          <w:r w:rsidRPr="005E1A2A">
            <w:rPr>
              <w:rFonts w:cstheme="minorHAnsi"/>
            </w:rPr>
            <w:fldChar w:fldCharType="end"/>
          </w:r>
        </w:sdtContent>
      </w:sdt>
      <w:r w:rsidRPr="005E1A2A">
        <w:rPr>
          <w:rFonts w:cstheme="minorHAnsi"/>
        </w:rPr>
        <w:t xml:space="preserve">. While offshore oil and gas exploration in Senegal started in the 1950s, major commercially-viable discoveries were only struck in 2014. Senegal’s sole hydrocarbons production comes from relatively minor natural gas production (of 100k cu m a day) by </w:t>
      </w:r>
      <w:proofErr w:type="spellStart"/>
      <w:r w:rsidRPr="005E1A2A">
        <w:rPr>
          <w:rFonts w:cstheme="minorHAnsi"/>
        </w:rPr>
        <w:t>Fortesa</w:t>
      </w:r>
      <w:proofErr w:type="spellEnd"/>
      <w:r w:rsidRPr="005E1A2A">
        <w:rPr>
          <w:rFonts w:cstheme="minorHAnsi"/>
        </w:rPr>
        <w:t xml:space="preserve">, which sells its entire production domestically to state-owned power producer SENELEC and industrial users like SOCOCIM </w:t>
      </w:r>
      <w:sdt>
        <w:sdtPr>
          <w:rPr>
            <w:rFonts w:cstheme="minorHAnsi"/>
          </w:rPr>
          <w:id w:val="-869981723"/>
          <w:citation/>
        </w:sdtPr>
        <w:sdtEndPr/>
        <w:sdtContent>
          <w:r w:rsidRPr="005E1A2A">
            <w:rPr>
              <w:rFonts w:cstheme="minorHAnsi"/>
            </w:rPr>
            <w:fldChar w:fldCharType="begin"/>
          </w:r>
          <w:r w:rsidRPr="005E1A2A">
            <w:rPr>
              <w:rFonts w:cstheme="minorHAnsi"/>
            </w:rPr>
            <w:instrText xml:space="preserve"> CITATION Rep171 \l 1033 </w:instrText>
          </w:r>
          <w:r w:rsidRPr="005E1A2A">
            <w:rPr>
              <w:rFonts w:cstheme="minorHAnsi"/>
            </w:rPr>
            <w:fldChar w:fldCharType="separate"/>
          </w:r>
          <w:r w:rsidRPr="005E1A2A">
            <w:rPr>
              <w:rFonts w:cstheme="minorHAnsi"/>
            </w:rPr>
            <w:t>(Republic of Senegal, 2017)</w:t>
          </w:r>
          <w:r w:rsidRPr="005E1A2A">
            <w:rPr>
              <w:rFonts w:cstheme="minorHAnsi"/>
            </w:rPr>
            <w:fldChar w:fldCharType="end"/>
          </w:r>
        </w:sdtContent>
      </w:sdt>
      <w:r w:rsidRPr="005E1A2A">
        <w:rPr>
          <w:rFonts w:cstheme="minorHAnsi"/>
        </w:rPr>
        <w:t xml:space="preserve">. Yet since November 2014, when Edinburgh-based Cairn Energy acquired three licenses from FAR Ltd and </w:t>
      </w:r>
      <w:proofErr w:type="spellStart"/>
      <w:r w:rsidRPr="005E1A2A">
        <w:rPr>
          <w:rFonts w:cstheme="minorHAnsi"/>
        </w:rPr>
        <w:t>Petrosen</w:t>
      </w:r>
      <w:proofErr w:type="spellEnd"/>
      <w:r w:rsidRPr="005E1A2A">
        <w:rPr>
          <w:rFonts w:cstheme="minorHAnsi"/>
        </w:rPr>
        <w:t xml:space="preserve">, the operator has announced discoveries of up to 1.5bn barrels on the country’s deepest offshore wells </w:t>
      </w:r>
      <w:sdt>
        <w:sdtPr>
          <w:rPr>
            <w:rFonts w:cstheme="minorHAnsi"/>
          </w:rPr>
          <w:id w:val="-1123071578"/>
          <w:citation/>
        </w:sdtPr>
        <w:sdtEndPr/>
        <w:sdtContent>
          <w:r w:rsidRPr="005E1A2A">
            <w:rPr>
              <w:rFonts w:cstheme="minorHAnsi"/>
            </w:rPr>
            <w:fldChar w:fldCharType="begin"/>
          </w:r>
          <w:r w:rsidRPr="005E1A2A">
            <w:rPr>
              <w:rFonts w:cstheme="minorHAnsi"/>
            </w:rPr>
            <w:instrText xml:space="preserve"> CITATION Cai15 \l 1033 </w:instrText>
          </w:r>
          <w:r w:rsidRPr="005E1A2A">
            <w:rPr>
              <w:rFonts w:cstheme="minorHAnsi"/>
            </w:rPr>
            <w:fldChar w:fldCharType="separate"/>
          </w:r>
          <w:r w:rsidRPr="005E1A2A">
            <w:rPr>
              <w:rFonts w:cstheme="minorHAnsi"/>
            </w:rPr>
            <w:t>(Cairn Energy, 2015)</w:t>
          </w:r>
          <w:r w:rsidRPr="005E1A2A">
            <w:rPr>
              <w:rFonts w:cstheme="minorHAnsi"/>
            </w:rPr>
            <w:fldChar w:fldCharType="end"/>
          </w:r>
        </w:sdtContent>
      </w:sdt>
      <w:r w:rsidRPr="005E1A2A">
        <w:rPr>
          <w:rFonts w:cstheme="minorHAnsi"/>
        </w:rPr>
        <w:t xml:space="preserve"> </w:t>
      </w:r>
      <w:sdt>
        <w:sdtPr>
          <w:rPr>
            <w:rFonts w:cstheme="minorHAnsi"/>
          </w:rPr>
          <w:id w:val="1508182704"/>
          <w:citation/>
        </w:sdtPr>
        <w:sdtEndPr/>
        <w:sdtContent>
          <w:r w:rsidRPr="005E1A2A">
            <w:rPr>
              <w:rFonts w:cstheme="minorHAnsi"/>
            </w:rPr>
            <w:fldChar w:fldCharType="begin"/>
          </w:r>
          <w:r w:rsidRPr="005E1A2A">
            <w:rPr>
              <w:rFonts w:cstheme="minorHAnsi"/>
            </w:rPr>
            <w:instrText xml:space="preserve"> CITATION Fin16 \l 1033 </w:instrText>
          </w:r>
          <w:r w:rsidRPr="005E1A2A">
            <w:rPr>
              <w:rFonts w:cstheme="minorHAnsi"/>
            </w:rPr>
            <w:fldChar w:fldCharType="separate"/>
          </w:r>
          <w:r w:rsidRPr="005E1A2A">
            <w:rPr>
              <w:rFonts w:cstheme="minorHAnsi"/>
            </w:rPr>
            <w:t>(Financial Times, 2016)</w:t>
          </w:r>
          <w:r w:rsidRPr="005E1A2A">
            <w:rPr>
              <w:rFonts w:cstheme="minorHAnsi"/>
            </w:rPr>
            <w:fldChar w:fldCharType="end"/>
          </w:r>
        </w:sdtContent>
      </w:sdt>
      <w:r w:rsidRPr="005E1A2A">
        <w:rPr>
          <w:rFonts w:cstheme="minorHAnsi"/>
        </w:rPr>
        <w:t xml:space="preserve"> </w:t>
      </w:r>
      <w:sdt>
        <w:sdtPr>
          <w:rPr>
            <w:rFonts w:cstheme="minorHAnsi"/>
          </w:rPr>
          <w:id w:val="290253162"/>
          <w:citation/>
        </w:sdtPr>
        <w:sdtEndPr/>
        <w:sdtContent>
          <w:r w:rsidRPr="005E1A2A">
            <w:rPr>
              <w:rFonts w:cstheme="minorHAnsi"/>
            </w:rPr>
            <w:fldChar w:fldCharType="begin"/>
          </w:r>
          <w:r w:rsidRPr="005E1A2A">
            <w:rPr>
              <w:rFonts w:cstheme="minorHAnsi"/>
            </w:rPr>
            <w:instrText xml:space="preserve"> CITATION IDA17 \l 1033 </w:instrText>
          </w:r>
          <w:r w:rsidRPr="005E1A2A">
            <w:rPr>
              <w:rFonts w:cstheme="minorHAnsi"/>
            </w:rPr>
            <w:fldChar w:fldCharType="separate"/>
          </w:r>
          <w:r w:rsidRPr="005E1A2A">
            <w:rPr>
              <w:rFonts w:cstheme="minorHAnsi"/>
            </w:rPr>
            <w:t>(IDA Africa Watch, 2017)</w:t>
          </w:r>
          <w:r w:rsidRPr="005E1A2A">
            <w:rPr>
              <w:rFonts w:cstheme="minorHAnsi"/>
            </w:rPr>
            <w:fldChar w:fldCharType="end"/>
          </w:r>
        </w:sdtContent>
      </w:sdt>
      <w:r w:rsidRPr="005E1A2A">
        <w:rPr>
          <w:rFonts w:cstheme="minorHAnsi"/>
        </w:rPr>
        <w:t xml:space="preserve"> </w:t>
      </w:r>
      <w:sdt>
        <w:sdtPr>
          <w:rPr>
            <w:rFonts w:cstheme="minorHAnsi"/>
          </w:rPr>
          <w:id w:val="701823390"/>
          <w:citation/>
        </w:sdtPr>
        <w:sdtEndPr/>
        <w:sdtContent>
          <w:r w:rsidRPr="005E1A2A">
            <w:rPr>
              <w:rFonts w:cstheme="minorHAnsi"/>
            </w:rPr>
            <w:fldChar w:fldCharType="begin"/>
          </w:r>
          <w:r w:rsidRPr="005E1A2A">
            <w:rPr>
              <w:rFonts w:cstheme="minorHAnsi"/>
            </w:rPr>
            <w:instrText xml:space="preserve"> CITATION FAR17 \l 1033 </w:instrText>
          </w:r>
          <w:r w:rsidRPr="005E1A2A">
            <w:rPr>
              <w:rFonts w:cstheme="minorHAnsi"/>
            </w:rPr>
            <w:fldChar w:fldCharType="separate"/>
          </w:r>
          <w:r w:rsidRPr="005E1A2A">
            <w:rPr>
              <w:rFonts w:cstheme="minorHAnsi"/>
            </w:rPr>
            <w:t>(FAR Ltd, 2017)</w:t>
          </w:r>
          <w:r w:rsidRPr="005E1A2A">
            <w:rPr>
              <w:rFonts w:cstheme="minorHAnsi"/>
            </w:rPr>
            <w:fldChar w:fldCharType="end"/>
          </w:r>
        </w:sdtContent>
      </w:sdt>
      <w:r w:rsidRPr="005E1A2A">
        <w:rPr>
          <w:rFonts w:cstheme="minorHAnsi"/>
        </w:rPr>
        <w:t xml:space="preserve">. The UK-listed firm has said </w:t>
      </w:r>
      <w:proofErr w:type="gramStart"/>
      <w:r w:rsidRPr="005E1A2A">
        <w:rPr>
          <w:rFonts w:cstheme="minorHAnsi"/>
        </w:rPr>
        <w:t>the</w:t>
      </w:r>
      <w:proofErr w:type="gramEnd"/>
      <w:r w:rsidRPr="005E1A2A">
        <w:rPr>
          <w:rFonts w:cstheme="minorHAnsi"/>
        </w:rPr>
        <w:t xml:space="preserve"> project would break even at USD 35 a barrel oil price </w:t>
      </w:r>
      <w:sdt>
        <w:sdtPr>
          <w:rPr>
            <w:rFonts w:cstheme="minorHAnsi"/>
          </w:rPr>
          <w:id w:val="417532879"/>
          <w:citation/>
        </w:sdtPr>
        <w:sdtEndPr/>
        <w:sdtContent>
          <w:r w:rsidRPr="005E1A2A">
            <w:rPr>
              <w:rFonts w:cstheme="minorHAnsi"/>
            </w:rPr>
            <w:fldChar w:fldCharType="begin"/>
          </w:r>
          <w:r w:rsidRPr="005E1A2A">
            <w:rPr>
              <w:rFonts w:cstheme="minorHAnsi"/>
            </w:rPr>
            <w:instrText xml:space="preserve"> CITATION Fin162 \l 1033 </w:instrText>
          </w:r>
          <w:r w:rsidRPr="005E1A2A">
            <w:rPr>
              <w:rFonts w:cstheme="minorHAnsi"/>
            </w:rPr>
            <w:fldChar w:fldCharType="separate"/>
          </w:r>
          <w:r w:rsidRPr="005E1A2A">
            <w:rPr>
              <w:rFonts w:cstheme="minorHAnsi"/>
            </w:rPr>
            <w:t>(Financial Times, 2016)</w:t>
          </w:r>
          <w:r w:rsidRPr="005E1A2A">
            <w:rPr>
              <w:rFonts w:cstheme="minorHAnsi"/>
            </w:rPr>
            <w:fldChar w:fldCharType="end"/>
          </w:r>
        </w:sdtContent>
      </w:sdt>
      <w:r w:rsidRPr="005E1A2A">
        <w:rPr>
          <w:rFonts w:cstheme="minorHAnsi"/>
        </w:rPr>
        <w:t xml:space="preserve">. </w:t>
      </w:r>
    </w:p>
    <w:p w14:paraId="42CA1588" w14:textId="58E61F98" w:rsidR="00A912CB" w:rsidRDefault="005E1A2A" w:rsidP="00FA28A9">
      <w:pPr>
        <w:spacing w:after="0" w:line="240" w:lineRule="auto"/>
        <w:jc w:val="both"/>
        <w:rPr>
          <w:rFonts w:cstheme="minorHAnsi"/>
        </w:rPr>
      </w:pPr>
      <w:r w:rsidRPr="005E1A2A">
        <w:rPr>
          <w:rFonts w:cstheme="minorHAnsi"/>
        </w:rPr>
        <w:t xml:space="preserve">Senegal is not an economy dependent on extractive industries, with revenues from mining, oil and gas accounting for only less than 2% of government revenues. Yet the country holds significant reserves of gold, iron ore, uranium, copper, chromium and marble (Amnesty International, 2014) Senegal is among the world’s leading producers of phosphate, with annual production of 1.4m tons a year in 2015, alongside smaller production of gold, natural gas and various construction materials (World Bank, 2016) (USGS, 2016). The </w:t>
      </w:r>
      <w:proofErr w:type="spellStart"/>
      <w:r w:rsidRPr="005E1A2A">
        <w:rPr>
          <w:rFonts w:cstheme="minorHAnsi"/>
        </w:rPr>
        <w:t>Birimian</w:t>
      </w:r>
      <w:proofErr w:type="spellEnd"/>
      <w:r w:rsidRPr="005E1A2A">
        <w:rPr>
          <w:rFonts w:cstheme="minorHAnsi"/>
        </w:rPr>
        <w:t xml:space="preserve"> Greenstone Gold Belt runs through the south-eastern region of </w:t>
      </w:r>
      <w:proofErr w:type="spellStart"/>
      <w:r w:rsidRPr="005E1A2A">
        <w:rPr>
          <w:rFonts w:cstheme="minorHAnsi"/>
        </w:rPr>
        <w:t>Kedougou</w:t>
      </w:r>
      <w:proofErr w:type="spellEnd"/>
      <w:r w:rsidRPr="005E1A2A">
        <w:rPr>
          <w:rFonts w:cstheme="minorHAnsi"/>
        </w:rPr>
        <w:t xml:space="preserve">, which holds 10m </w:t>
      </w:r>
      <w:proofErr w:type="spellStart"/>
      <w:r w:rsidRPr="005E1A2A">
        <w:rPr>
          <w:rFonts w:cstheme="minorHAnsi"/>
        </w:rPr>
        <w:t>oz</w:t>
      </w:r>
      <w:proofErr w:type="spellEnd"/>
      <w:r w:rsidRPr="005E1A2A">
        <w:rPr>
          <w:rFonts w:cstheme="minorHAnsi"/>
        </w:rPr>
        <w:t xml:space="preserve"> of gold reserves alone (Amnesty International, 2014). Senegal also has sufficient reserves to become a world-leading producer of heavy metals like ilmenite and zircon (World Bank, 2016). The government has given priority to the development of mining through a new mining code in October 2016 and investing in supporting transportation infrastructure. Senegal boasts some of the largest deposits of gold in Africa, an estimated 2.24m </w:t>
      </w:r>
      <w:proofErr w:type="spellStart"/>
      <w:r w:rsidRPr="005E1A2A">
        <w:rPr>
          <w:rFonts w:cstheme="minorHAnsi"/>
        </w:rPr>
        <w:t>oz</w:t>
      </w:r>
      <w:proofErr w:type="spellEnd"/>
      <w:r w:rsidRPr="005E1A2A">
        <w:rPr>
          <w:rFonts w:cstheme="minorHAnsi"/>
        </w:rPr>
        <w:t>, and of high-quality iron ore, an estimated 750m tons of reserves (Lazard Asset Management , 2017) (USGS, 2016).</w:t>
      </w:r>
    </w:p>
    <w:p w14:paraId="620C5795" w14:textId="6824331F" w:rsidR="00392B71" w:rsidRPr="005625E1" w:rsidRDefault="00EB73CC" w:rsidP="00FA28A9">
      <w:pPr>
        <w:spacing w:before="240" w:after="0" w:line="240" w:lineRule="auto"/>
        <w:jc w:val="both"/>
        <w:rPr>
          <w:rFonts w:cstheme="minorHAnsi"/>
        </w:rPr>
      </w:pPr>
      <w:r>
        <w:rPr>
          <w:rFonts w:cstheme="minorHAnsi"/>
        </w:rPr>
        <w:t>In line with</w:t>
      </w:r>
      <w:r w:rsidR="004D7FC9" w:rsidRPr="005625E1">
        <w:rPr>
          <w:rFonts w:cstheme="minorHAnsi"/>
        </w:rPr>
        <w:t xml:space="preserve"> the Validation Guide, the International Secretariat carried out the first phase of validation</w:t>
      </w:r>
      <w:r w:rsidR="00E746A6" w:rsidRPr="005625E1">
        <w:rPr>
          <w:rFonts w:cstheme="minorHAnsi"/>
        </w:rPr>
        <w:t>—</w:t>
      </w:r>
      <w:r w:rsidR="004D7FC9" w:rsidRPr="005625E1">
        <w:rPr>
          <w:rFonts w:cstheme="minorHAnsi"/>
        </w:rPr>
        <w:t xml:space="preserve">initial data collection, stakeholder consultations, and preparation of their initial evaluation of progress against the EITI requirements </w:t>
      </w:r>
      <w:r w:rsidR="00A57147">
        <w:rPr>
          <w:rFonts w:cstheme="minorHAnsi"/>
        </w:rPr>
        <w:t>(the “Initial Assessment”). Adam Smith International (ASI)</w:t>
      </w:r>
      <w:r w:rsidR="004D7FC9" w:rsidRPr="005625E1">
        <w:rPr>
          <w:rFonts w:cstheme="minorHAnsi"/>
        </w:rPr>
        <w:t xml:space="preserve"> was appointed as the independent Validator to evaluate whether the Secretariat’s work </w:t>
      </w:r>
      <w:r w:rsidR="003C7904" w:rsidRPr="005625E1">
        <w:rPr>
          <w:rFonts w:cstheme="minorHAnsi"/>
        </w:rPr>
        <w:t xml:space="preserve">was </w:t>
      </w:r>
      <w:r w:rsidR="004D7FC9" w:rsidRPr="005625E1">
        <w:rPr>
          <w:rFonts w:cstheme="minorHAnsi"/>
        </w:rPr>
        <w:t>carried out in accordance</w:t>
      </w:r>
      <w:r w:rsidR="00A57147">
        <w:rPr>
          <w:rFonts w:cstheme="minorHAnsi"/>
        </w:rPr>
        <w:t xml:space="preserve"> with the Validation Guide. ASI</w:t>
      </w:r>
      <w:r w:rsidR="003C7904" w:rsidRPr="005625E1">
        <w:rPr>
          <w:rFonts w:cstheme="minorHAnsi"/>
        </w:rPr>
        <w:t>’s</w:t>
      </w:r>
      <w:r w:rsidR="004D7FC9" w:rsidRPr="005625E1">
        <w:rPr>
          <w:rFonts w:cstheme="minorHAnsi"/>
        </w:rPr>
        <w:t xml:space="preserve"> </w:t>
      </w:r>
      <w:r w:rsidR="00783488" w:rsidRPr="005625E1">
        <w:rPr>
          <w:rFonts w:cstheme="minorHAnsi"/>
        </w:rPr>
        <w:t xml:space="preserve">principal </w:t>
      </w:r>
      <w:r w:rsidR="00783488" w:rsidRPr="005625E1">
        <w:rPr>
          <w:rFonts w:cstheme="minorHAnsi"/>
        </w:rPr>
        <w:lastRenderedPageBreak/>
        <w:t xml:space="preserve">responsibilities as Validator are to </w:t>
      </w:r>
      <w:r w:rsidR="004D7FC9" w:rsidRPr="005625E1">
        <w:rPr>
          <w:rFonts w:cstheme="minorHAnsi"/>
        </w:rPr>
        <w:t>review and amend the Initial Assessment, as needed, and</w:t>
      </w:r>
      <w:r w:rsidR="007D33F8" w:rsidRPr="005625E1">
        <w:rPr>
          <w:rFonts w:cstheme="minorHAnsi"/>
        </w:rPr>
        <w:t xml:space="preserve"> to</w:t>
      </w:r>
      <w:r w:rsidR="004D7FC9" w:rsidRPr="005625E1">
        <w:rPr>
          <w:rFonts w:cstheme="minorHAnsi"/>
        </w:rPr>
        <w:t xml:space="preserve"> summarize its independent review in </w:t>
      </w:r>
      <w:r w:rsidR="00783488" w:rsidRPr="005625E1">
        <w:rPr>
          <w:rFonts w:cstheme="minorHAnsi"/>
        </w:rPr>
        <w:t xml:space="preserve">this </w:t>
      </w:r>
      <w:r w:rsidR="004D7FC9" w:rsidRPr="005625E1">
        <w:rPr>
          <w:rFonts w:cstheme="minorHAnsi"/>
        </w:rPr>
        <w:t>Validation Report for submission to the Board</w:t>
      </w:r>
      <w:r w:rsidR="007D33F8" w:rsidRPr="005625E1">
        <w:rPr>
          <w:rFonts w:cstheme="minorHAnsi"/>
        </w:rPr>
        <w:t xml:space="preserve"> through the Validation Committee</w:t>
      </w:r>
      <w:r w:rsidR="004D7FC9" w:rsidRPr="005625E1">
        <w:rPr>
          <w:rFonts w:cstheme="minorHAnsi"/>
        </w:rPr>
        <w:t xml:space="preserve">. </w:t>
      </w:r>
    </w:p>
    <w:p w14:paraId="17302B13" w14:textId="77777777" w:rsidR="00E75A5A" w:rsidRPr="005625E1" w:rsidRDefault="00E75A5A" w:rsidP="00F12713">
      <w:pPr>
        <w:spacing w:after="0" w:line="240" w:lineRule="auto"/>
        <w:rPr>
          <w:rFonts w:cstheme="minorHAnsi"/>
          <w:b/>
          <w:color w:val="365F91" w:themeColor="accent1" w:themeShade="BF"/>
        </w:rPr>
      </w:pPr>
    </w:p>
    <w:p w14:paraId="2DF12C34" w14:textId="77777777" w:rsidR="00171CE0" w:rsidRPr="005625E1" w:rsidRDefault="00171CE0" w:rsidP="00FA28A9">
      <w:pPr>
        <w:pStyle w:val="ListParagraph"/>
        <w:numPr>
          <w:ilvl w:val="0"/>
          <w:numId w:val="2"/>
        </w:numPr>
        <w:spacing w:after="0" w:line="240" w:lineRule="auto"/>
        <w:ind w:left="851"/>
        <w:rPr>
          <w:rFonts w:cstheme="minorHAnsi"/>
          <w:b/>
          <w:color w:val="365F91" w:themeColor="accent1" w:themeShade="BF"/>
        </w:rPr>
      </w:pPr>
      <w:r w:rsidRPr="005625E1">
        <w:rPr>
          <w:rFonts w:cstheme="minorHAnsi"/>
          <w:b/>
          <w:color w:val="365F91" w:themeColor="accent1" w:themeShade="BF"/>
        </w:rPr>
        <w:t>Work Performed by the Independent Validator</w:t>
      </w:r>
    </w:p>
    <w:p w14:paraId="1839987E" w14:textId="77777777" w:rsidR="00803CB3" w:rsidRPr="005625E1" w:rsidRDefault="00803CB3" w:rsidP="00F12713">
      <w:pPr>
        <w:pStyle w:val="ListParagraph"/>
        <w:widowControl w:val="0"/>
        <w:suppressAutoHyphens/>
        <w:spacing w:after="0" w:line="240" w:lineRule="auto"/>
        <w:rPr>
          <w:rFonts w:cstheme="minorHAnsi"/>
        </w:rPr>
      </w:pPr>
    </w:p>
    <w:p w14:paraId="1C24EF9E" w14:textId="72C8BBD7" w:rsidR="00E53F90" w:rsidRPr="005625E1" w:rsidRDefault="00F64F77" w:rsidP="00FA28A9">
      <w:pPr>
        <w:widowControl w:val="0"/>
        <w:suppressAutoHyphens/>
        <w:spacing w:after="0" w:line="240" w:lineRule="auto"/>
        <w:jc w:val="both"/>
        <w:rPr>
          <w:rFonts w:eastAsia="Times New Roman" w:cstheme="minorHAnsi"/>
          <w:bCs/>
          <w:color w:val="FF0000"/>
          <w:highlight w:val="yellow"/>
          <w:lang w:eastAsia="fr-FR"/>
        </w:rPr>
      </w:pPr>
      <w:r w:rsidRPr="005625E1">
        <w:rPr>
          <w:rFonts w:cstheme="minorHAnsi"/>
        </w:rPr>
        <w:t>The Secretariat</w:t>
      </w:r>
      <w:r w:rsidR="004D7FC9" w:rsidRPr="005625E1">
        <w:rPr>
          <w:rFonts w:cstheme="minorHAnsi"/>
        </w:rPr>
        <w:t xml:space="preserve">’s Initial Assessment was transmitted to </w:t>
      </w:r>
      <w:r w:rsidR="00A57147">
        <w:rPr>
          <w:rFonts w:cstheme="minorHAnsi"/>
        </w:rPr>
        <w:t>ASI</w:t>
      </w:r>
      <w:r w:rsidR="004D7FC9" w:rsidRPr="005625E1">
        <w:rPr>
          <w:rFonts w:cstheme="minorHAnsi"/>
        </w:rPr>
        <w:t xml:space="preserve"> on</w:t>
      </w:r>
      <w:r w:rsidR="00321499">
        <w:rPr>
          <w:rFonts w:cstheme="minorHAnsi"/>
        </w:rPr>
        <w:t xml:space="preserve"> </w:t>
      </w:r>
      <w:r w:rsidR="00FA28A9">
        <w:rPr>
          <w:rFonts w:cstheme="minorHAnsi"/>
        </w:rPr>
        <w:t>27</w:t>
      </w:r>
      <w:r w:rsidR="00FA28A9" w:rsidRPr="00FA28A9">
        <w:rPr>
          <w:rFonts w:cstheme="minorHAnsi"/>
          <w:vertAlign w:val="superscript"/>
        </w:rPr>
        <w:t>th</w:t>
      </w:r>
      <w:r w:rsidR="00FA28A9">
        <w:rPr>
          <w:rFonts w:cstheme="minorHAnsi"/>
        </w:rPr>
        <w:t xml:space="preserve"> December</w:t>
      </w:r>
      <w:r w:rsidR="005560CF">
        <w:rPr>
          <w:rFonts w:cstheme="minorHAnsi"/>
        </w:rPr>
        <w:t>,</w:t>
      </w:r>
      <w:r w:rsidR="00635030" w:rsidRPr="005625E1">
        <w:rPr>
          <w:rFonts w:cstheme="minorHAnsi"/>
        </w:rPr>
        <w:t xml:space="preserve"> 2017</w:t>
      </w:r>
      <w:r w:rsidR="004D7FC9" w:rsidRPr="005625E1">
        <w:rPr>
          <w:rFonts w:cstheme="minorHAnsi"/>
        </w:rPr>
        <w:t xml:space="preserve">. </w:t>
      </w:r>
      <w:r w:rsidRPr="005625E1">
        <w:rPr>
          <w:rFonts w:cstheme="minorHAnsi"/>
        </w:rPr>
        <w:t xml:space="preserve"> </w:t>
      </w:r>
      <w:r w:rsidR="004D7FC9" w:rsidRPr="005625E1">
        <w:rPr>
          <w:rFonts w:cstheme="minorHAnsi"/>
        </w:rPr>
        <w:t xml:space="preserve">Our </w:t>
      </w:r>
      <w:r w:rsidR="00803CB3" w:rsidRPr="005625E1">
        <w:rPr>
          <w:rFonts w:eastAsia="Times New Roman" w:cstheme="minorHAnsi"/>
          <w:bCs/>
          <w:lang w:eastAsia="fr-FR"/>
        </w:rPr>
        <w:t xml:space="preserve">Validation Team </w:t>
      </w:r>
      <w:r w:rsidR="004D7FC9" w:rsidRPr="005625E1">
        <w:rPr>
          <w:rFonts w:eastAsia="Times New Roman" w:cstheme="minorHAnsi"/>
          <w:bCs/>
          <w:lang w:eastAsia="fr-FR"/>
        </w:rPr>
        <w:t xml:space="preserve">undertook this phase of the Validation process </w:t>
      </w:r>
      <w:r w:rsidR="00803CB3" w:rsidRPr="005625E1">
        <w:rPr>
          <w:rFonts w:eastAsia="Times New Roman" w:cstheme="minorHAnsi"/>
          <w:bCs/>
          <w:lang w:eastAsia="fr-FR"/>
        </w:rPr>
        <w:t xml:space="preserve">through: (1) In-depth review and marking up of the EITI Assessment by </w:t>
      </w:r>
      <w:r w:rsidR="00AB786F" w:rsidRPr="005625E1">
        <w:rPr>
          <w:rFonts w:eastAsia="Times New Roman" w:cstheme="minorHAnsi"/>
          <w:bCs/>
          <w:lang w:eastAsia="fr-FR"/>
        </w:rPr>
        <w:t xml:space="preserve">each </w:t>
      </w:r>
      <w:r w:rsidR="00803CB3" w:rsidRPr="005625E1">
        <w:rPr>
          <w:rFonts w:eastAsia="Times New Roman" w:cstheme="minorHAnsi"/>
          <w:bCs/>
          <w:lang w:eastAsia="fr-FR"/>
        </w:rPr>
        <w:t>team</w:t>
      </w:r>
      <w:r w:rsidR="00AB786F" w:rsidRPr="005625E1">
        <w:rPr>
          <w:rFonts w:eastAsia="Times New Roman" w:cstheme="minorHAnsi"/>
          <w:bCs/>
          <w:lang w:eastAsia="fr-FR"/>
        </w:rPr>
        <w:t xml:space="preserve"> member</w:t>
      </w:r>
      <w:r w:rsidR="00803CB3" w:rsidRPr="005625E1">
        <w:rPr>
          <w:rFonts w:eastAsia="Times New Roman" w:cstheme="minorHAnsi"/>
          <w:bCs/>
          <w:lang w:eastAsia="fr-FR"/>
        </w:rPr>
        <w:t>; (</w:t>
      </w:r>
      <w:r w:rsidR="004A0786" w:rsidRPr="005625E1">
        <w:rPr>
          <w:rFonts w:eastAsia="Times New Roman" w:cstheme="minorHAnsi"/>
          <w:bCs/>
          <w:lang w:eastAsia="fr-FR"/>
        </w:rPr>
        <w:t>2</w:t>
      </w:r>
      <w:r w:rsidR="00803CB3" w:rsidRPr="005625E1">
        <w:rPr>
          <w:rFonts w:eastAsia="Times New Roman" w:cstheme="minorHAnsi"/>
          <w:bCs/>
          <w:lang w:eastAsia="fr-FR"/>
        </w:rPr>
        <w:t xml:space="preserve">) Detailed review and comments by </w:t>
      </w:r>
      <w:r w:rsidR="003C7904" w:rsidRPr="005625E1">
        <w:rPr>
          <w:rFonts w:eastAsia="Times New Roman" w:cstheme="minorHAnsi"/>
          <w:bCs/>
          <w:lang w:eastAsia="fr-FR"/>
        </w:rPr>
        <w:t xml:space="preserve">the </w:t>
      </w:r>
      <w:r w:rsidR="00803CB3" w:rsidRPr="005625E1">
        <w:rPr>
          <w:rFonts w:eastAsia="Times New Roman" w:cstheme="minorHAnsi"/>
          <w:bCs/>
          <w:lang w:eastAsia="fr-FR"/>
        </w:rPr>
        <w:t>Multi-Stakeholder Specialist of Requireme</w:t>
      </w:r>
      <w:r w:rsidR="00954096">
        <w:rPr>
          <w:rFonts w:eastAsia="Times New Roman" w:cstheme="minorHAnsi"/>
          <w:bCs/>
          <w:lang w:eastAsia="fr-FR"/>
        </w:rPr>
        <w:t>nts 1 and the Civil Society Protocol</w:t>
      </w:r>
      <w:r w:rsidR="00803CB3" w:rsidRPr="005625E1">
        <w:rPr>
          <w:rFonts w:eastAsia="Times New Roman" w:cstheme="minorHAnsi"/>
          <w:bCs/>
          <w:lang w:eastAsia="fr-FR"/>
        </w:rPr>
        <w:t>; (</w:t>
      </w:r>
      <w:r w:rsidR="004A0786" w:rsidRPr="005625E1">
        <w:rPr>
          <w:rFonts w:eastAsia="Times New Roman" w:cstheme="minorHAnsi"/>
          <w:bCs/>
          <w:lang w:eastAsia="fr-FR"/>
        </w:rPr>
        <w:t>3</w:t>
      </w:r>
      <w:r w:rsidR="00803CB3" w:rsidRPr="005625E1">
        <w:rPr>
          <w:rFonts w:eastAsia="Times New Roman" w:cstheme="minorHAnsi"/>
          <w:bCs/>
          <w:lang w:eastAsia="fr-FR"/>
        </w:rPr>
        <w:t xml:space="preserve">) Detailed review and comments by </w:t>
      </w:r>
      <w:r w:rsidR="003C7904" w:rsidRPr="005625E1">
        <w:rPr>
          <w:rFonts w:eastAsia="Times New Roman" w:cstheme="minorHAnsi"/>
          <w:bCs/>
          <w:lang w:eastAsia="fr-FR"/>
        </w:rPr>
        <w:t xml:space="preserve">the </w:t>
      </w:r>
      <w:r w:rsidR="00803CB3" w:rsidRPr="002128A6">
        <w:rPr>
          <w:rFonts w:eastAsia="Times New Roman" w:cstheme="minorHAnsi"/>
          <w:bCs/>
          <w:lang w:eastAsia="fr-FR"/>
        </w:rPr>
        <w:t>Financ</w:t>
      </w:r>
      <w:r w:rsidR="00954096" w:rsidRPr="002128A6">
        <w:rPr>
          <w:rFonts w:eastAsia="Times New Roman" w:cstheme="minorHAnsi"/>
          <w:bCs/>
          <w:lang w:eastAsia="fr-FR"/>
        </w:rPr>
        <w:t xml:space="preserve">ial Specialist of Requirements 4, 5 and </w:t>
      </w:r>
      <w:r w:rsidR="00803CB3" w:rsidRPr="002128A6">
        <w:rPr>
          <w:rFonts w:eastAsia="Times New Roman" w:cstheme="minorHAnsi"/>
          <w:bCs/>
          <w:lang w:eastAsia="fr-FR"/>
        </w:rPr>
        <w:t>6; (</w:t>
      </w:r>
      <w:r w:rsidR="00FC4788" w:rsidRPr="002128A6">
        <w:rPr>
          <w:rFonts w:eastAsia="Times New Roman" w:cstheme="minorHAnsi"/>
          <w:bCs/>
          <w:lang w:eastAsia="fr-FR"/>
        </w:rPr>
        <w:t xml:space="preserve">4) </w:t>
      </w:r>
      <w:r w:rsidR="00C71C1F" w:rsidRPr="002128A6">
        <w:rPr>
          <w:rFonts w:eastAsia="Times New Roman" w:cstheme="minorHAnsi"/>
          <w:bCs/>
          <w:lang w:eastAsia="fr-FR"/>
        </w:rPr>
        <w:t>C</w:t>
      </w:r>
      <w:r w:rsidR="001A386F" w:rsidRPr="002128A6">
        <w:rPr>
          <w:rFonts w:eastAsia="Times New Roman" w:cstheme="minorHAnsi"/>
          <w:bCs/>
          <w:lang w:eastAsia="fr-FR"/>
        </w:rPr>
        <w:t xml:space="preserve">onsolidation of reviews and </w:t>
      </w:r>
      <w:r w:rsidR="00D82592" w:rsidRPr="002128A6">
        <w:rPr>
          <w:rFonts w:eastAsia="Times New Roman" w:cstheme="minorHAnsi"/>
          <w:bCs/>
          <w:lang w:eastAsia="fr-FR"/>
        </w:rPr>
        <w:t>the production of this</w:t>
      </w:r>
      <w:r w:rsidR="00A57147" w:rsidRPr="002128A6">
        <w:rPr>
          <w:rFonts w:eastAsia="Times New Roman" w:cstheme="minorHAnsi"/>
          <w:bCs/>
          <w:lang w:eastAsia="fr-FR"/>
        </w:rPr>
        <w:t xml:space="preserve"> draft</w:t>
      </w:r>
      <w:r w:rsidR="001A386F" w:rsidRPr="002128A6">
        <w:rPr>
          <w:rFonts w:eastAsia="Times New Roman" w:cstheme="minorHAnsi"/>
          <w:bCs/>
          <w:lang w:eastAsia="fr-FR"/>
        </w:rPr>
        <w:t xml:space="preserve"> Validation Report</w:t>
      </w:r>
      <w:r w:rsidR="00325E55" w:rsidRPr="002128A6">
        <w:rPr>
          <w:rFonts w:eastAsia="Times New Roman" w:cstheme="minorHAnsi"/>
          <w:bCs/>
          <w:lang w:eastAsia="fr-FR"/>
        </w:rPr>
        <w:t>, sent</w:t>
      </w:r>
      <w:r w:rsidR="00AE5306" w:rsidRPr="002128A6">
        <w:rPr>
          <w:rFonts w:eastAsia="Times New Roman" w:cstheme="minorHAnsi"/>
          <w:bCs/>
          <w:lang w:eastAsia="fr-FR"/>
        </w:rPr>
        <w:t xml:space="preserve"> to the International Secretariat on the </w:t>
      </w:r>
      <w:r w:rsidR="002128A6" w:rsidRPr="002128A6">
        <w:rPr>
          <w:rFonts w:eastAsia="Times New Roman" w:cstheme="minorHAnsi"/>
          <w:bCs/>
          <w:lang w:eastAsia="fr-FR"/>
        </w:rPr>
        <w:t>9</w:t>
      </w:r>
      <w:r w:rsidR="002128A6" w:rsidRPr="002128A6">
        <w:rPr>
          <w:rFonts w:eastAsia="Times New Roman" w:cstheme="minorHAnsi"/>
          <w:bCs/>
          <w:vertAlign w:val="superscript"/>
          <w:lang w:eastAsia="fr-FR"/>
        </w:rPr>
        <w:t>th</w:t>
      </w:r>
      <w:r w:rsidR="002128A6" w:rsidRPr="002128A6">
        <w:rPr>
          <w:rFonts w:eastAsia="Times New Roman" w:cstheme="minorHAnsi"/>
          <w:bCs/>
          <w:lang w:eastAsia="fr-FR"/>
        </w:rPr>
        <w:t xml:space="preserve"> January 2018.</w:t>
      </w:r>
    </w:p>
    <w:p w14:paraId="54B24071" w14:textId="77777777" w:rsidR="00C71C1F" w:rsidRPr="00FA28A9" w:rsidRDefault="00C71C1F" w:rsidP="00FA28A9">
      <w:pPr>
        <w:spacing w:after="0" w:line="240" w:lineRule="auto"/>
        <w:rPr>
          <w:rFonts w:cstheme="minorHAnsi"/>
          <w:b/>
        </w:rPr>
      </w:pPr>
    </w:p>
    <w:p w14:paraId="28360106" w14:textId="7A3F215D" w:rsidR="00572CE5" w:rsidRPr="005625E1" w:rsidRDefault="00572CE5" w:rsidP="00FA28A9">
      <w:pPr>
        <w:pStyle w:val="ListParagraph"/>
        <w:numPr>
          <w:ilvl w:val="0"/>
          <w:numId w:val="2"/>
        </w:numPr>
        <w:spacing w:after="0" w:line="240" w:lineRule="auto"/>
        <w:ind w:left="851"/>
        <w:rPr>
          <w:rFonts w:cstheme="minorHAnsi"/>
          <w:b/>
        </w:rPr>
      </w:pPr>
      <w:r w:rsidRPr="005625E1">
        <w:rPr>
          <w:rFonts w:cstheme="minorHAnsi"/>
          <w:b/>
          <w:color w:val="365F91" w:themeColor="accent1" w:themeShade="BF"/>
        </w:rPr>
        <w:t>C</w:t>
      </w:r>
      <w:r w:rsidR="00511804" w:rsidRPr="005625E1">
        <w:rPr>
          <w:rFonts w:cstheme="minorHAnsi"/>
          <w:b/>
          <w:color w:val="365F91" w:themeColor="accent1" w:themeShade="BF"/>
        </w:rPr>
        <w:t>omments</w:t>
      </w:r>
      <w:r w:rsidRPr="005625E1">
        <w:rPr>
          <w:rFonts w:cstheme="minorHAnsi"/>
          <w:b/>
          <w:color w:val="365F91" w:themeColor="accent1" w:themeShade="BF"/>
        </w:rPr>
        <w:t xml:space="preserve"> on the Limitations of the </w:t>
      </w:r>
      <w:r w:rsidR="00DD1148" w:rsidRPr="005625E1">
        <w:rPr>
          <w:rFonts w:cstheme="minorHAnsi"/>
          <w:b/>
          <w:color w:val="365F91" w:themeColor="accent1" w:themeShade="BF"/>
        </w:rPr>
        <w:t>Validation</w:t>
      </w:r>
    </w:p>
    <w:p w14:paraId="3AD219A6" w14:textId="77777777" w:rsidR="00572CE5" w:rsidRPr="005625E1" w:rsidRDefault="00572CE5" w:rsidP="00F12713">
      <w:pPr>
        <w:spacing w:after="0" w:line="240" w:lineRule="auto"/>
        <w:rPr>
          <w:rFonts w:cstheme="minorHAnsi"/>
        </w:rPr>
      </w:pPr>
    </w:p>
    <w:p w14:paraId="7B943A2D" w14:textId="07B3911F" w:rsidR="00573AAF" w:rsidRPr="002128A6" w:rsidRDefault="00865D33" w:rsidP="00F12713">
      <w:pPr>
        <w:widowControl w:val="0"/>
        <w:suppressAutoHyphens/>
        <w:spacing w:after="0" w:line="240" w:lineRule="auto"/>
        <w:rPr>
          <w:rFonts w:eastAsia="Times New Roman" w:cstheme="minorHAnsi"/>
        </w:rPr>
      </w:pPr>
      <w:r w:rsidRPr="002128A6">
        <w:rPr>
          <w:rFonts w:eastAsia="Times New Roman" w:cstheme="minorHAnsi"/>
        </w:rPr>
        <w:t xml:space="preserve">The Validator carefully reviewed the Secretariat’s Initial Assessment and at this stage has </w:t>
      </w:r>
      <w:r w:rsidR="002128A6" w:rsidRPr="002128A6">
        <w:rPr>
          <w:rFonts w:eastAsia="Times New Roman" w:cstheme="minorHAnsi"/>
        </w:rPr>
        <w:t>no</w:t>
      </w:r>
      <w:r w:rsidRPr="002128A6">
        <w:rPr>
          <w:rFonts w:eastAsia="Times New Roman" w:cstheme="minorHAnsi"/>
        </w:rPr>
        <w:t xml:space="preserve"> comments on the limitation of the validation process.</w:t>
      </w:r>
    </w:p>
    <w:p w14:paraId="0855DF57" w14:textId="77777777" w:rsidR="00B83C18" w:rsidRPr="00FA28A9" w:rsidRDefault="00B83C18" w:rsidP="00F12713">
      <w:pPr>
        <w:widowControl w:val="0"/>
        <w:suppressAutoHyphens/>
        <w:spacing w:after="0" w:line="240" w:lineRule="auto"/>
        <w:rPr>
          <w:rFonts w:eastAsia="Times New Roman" w:cstheme="minorHAnsi"/>
          <w:highlight w:val="yellow"/>
        </w:rPr>
      </w:pPr>
    </w:p>
    <w:p w14:paraId="64D315E3" w14:textId="77777777" w:rsidR="00C71C1F" w:rsidRPr="00FA28A9" w:rsidRDefault="00C71C1F" w:rsidP="00FA28A9">
      <w:pPr>
        <w:spacing w:after="0" w:line="240" w:lineRule="auto"/>
        <w:rPr>
          <w:rFonts w:cstheme="minorHAnsi"/>
          <w:b/>
          <w:color w:val="365F91" w:themeColor="accent1" w:themeShade="BF"/>
        </w:rPr>
      </w:pPr>
    </w:p>
    <w:p w14:paraId="1096F300" w14:textId="3E4AD76F" w:rsidR="00803CB3" w:rsidRPr="005625E1" w:rsidRDefault="00803CB3" w:rsidP="00FA28A9">
      <w:pPr>
        <w:pStyle w:val="ListParagraph"/>
        <w:numPr>
          <w:ilvl w:val="0"/>
          <w:numId w:val="2"/>
        </w:numPr>
        <w:spacing w:after="0" w:line="240" w:lineRule="auto"/>
        <w:ind w:left="851" w:hanging="284"/>
        <w:rPr>
          <w:rFonts w:cstheme="minorHAnsi"/>
          <w:b/>
          <w:color w:val="365F91" w:themeColor="accent1" w:themeShade="BF"/>
        </w:rPr>
      </w:pPr>
      <w:r w:rsidRPr="005625E1">
        <w:rPr>
          <w:rFonts w:cstheme="minorHAnsi"/>
          <w:b/>
          <w:color w:val="365F91" w:themeColor="accent1" w:themeShade="BF"/>
        </w:rPr>
        <w:t xml:space="preserve">Comments on the </w:t>
      </w:r>
      <w:r w:rsidR="00A952F9" w:rsidRPr="005625E1">
        <w:rPr>
          <w:rFonts w:cstheme="minorHAnsi"/>
          <w:b/>
          <w:color w:val="365F91" w:themeColor="accent1" w:themeShade="BF"/>
        </w:rPr>
        <w:t xml:space="preserve">International Secretariat’s </w:t>
      </w:r>
      <w:r w:rsidRPr="005625E1">
        <w:rPr>
          <w:rFonts w:cstheme="minorHAnsi"/>
          <w:b/>
          <w:color w:val="365F91" w:themeColor="accent1" w:themeShade="BF"/>
        </w:rPr>
        <w:t xml:space="preserve">Initial Assessment </w:t>
      </w:r>
    </w:p>
    <w:p w14:paraId="14A8ACAE" w14:textId="77777777" w:rsidR="00F62BD3" w:rsidRDefault="00F62BD3" w:rsidP="00F12713">
      <w:pPr>
        <w:spacing w:after="0" w:line="240" w:lineRule="auto"/>
        <w:rPr>
          <w:rFonts w:eastAsia="Times New Roman" w:cstheme="minorHAnsi"/>
        </w:rPr>
      </w:pPr>
    </w:p>
    <w:p w14:paraId="7E32F375" w14:textId="26E8D507" w:rsidR="00E719C0" w:rsidRPr="00E719C0" w:rsidRDefault="00803CB3" w:rsidP="00FA28A9">
      <w:pPr>
        <w:spacing w:after="0" w:line="240" w:lineRule="auto"/>
        <w:jc w:val="both"/>
        <w:rPr>
          <w:rFonts w:eastAsia="Times New Roman" w:cstheme="minorHAnsi"/>
        </w:rPr>
      </w:pPr>
      <w:r w:rsidRPr="005625E1">
        <w:rPr>
          <w:rFonts w:eastAsia="Times New Roman" w:cstheme="minorHAnsi"/>
        </w:rPr>
        <w:t xml:space="preserve">The initial data collection, stakeholder consultations, and drafting of the </w:t>
      </w:r>
      <w:r w:rsidR="00000EAA" w:rsidRPr="005625E1">
        <w:rPr>
          <w:rFonts w:eastAsia="Times New Roman" w:cstheme="minorHAnsi"/>
        </w:rPr>
        <w:t xml:space="preserve">Initial </w:t>
      </w:r>
      <w:r w:rsidRPr="005625E1">
        <w:rPr>
          <w:rFonts w:eastAsia="Times New Roman" w:cstheme="minorHAnsi"/>
        </w:rPr>
        <w:t xml:space="preserve">Assessment were generally undertaken by the </w:t>
      </w:r>
      <w:r w:rsidR="00A952F9" w:rsidRPr="005625E1">
        <w:rPr>
          <w:rFonts w:eastAsia="Times New Roman" w:cstheme="minorHAnsi"/>
        </w:rPr>
        <w:t xml:space="preserve">International </w:t>
      </w:r>
      <w:r w:rsidRPr="005625E1">
        <w:rPr>
          <w:rFonts w:eastAsia="Times New Roman" w:cstheme="minorHAnsi"/>
        </w:rPr>
        <w:t>Secretariat</w:t>
      </w:r>
      <w:r w:rsidR="00000EAA" w:rsidRPr="005625E1">
        <w:rPr>
          <w:rFonts w:eastAsia="Times New Roman" w:cstheme="minorHAnsi"/>
        </w:rPr>
        <w:t xml:space="preserve"> </w:t>
      </w:r>
      <w:r w:rsidRPr="005625E1">
        <w:rPr>
          <w:rFonts w:eastAsia="Times New Roman" w:cstheme="minorHAnsi"/>
        </w:rPr>
        <w:t xml:space="preserve">in accordance with </w:t>
      </w:r>
      <w:r w:rsidR="00000EAA" w:rsidRPr="005625E1">
        <w:rPr>
          <w:rFonts w:eastAsia="Times New Roman" w:cstheme="minorHAnsi"/>
        </w:rPr>
        <w:t xml:space="preserve">the </w:t>
      </w:r>
      <w:r w:rsidRPr="005625E1">
        <w:rPr>
          <w:rFonts w:eastAsia="Times New Roman" w:cstheme="minorHAnsi"/>
        </w:rPr>
        <w:t xml:space="preserve">2016 Validation Guide. </w:t>
      </w:r>
      <w:r w:rsidR="00E719C0">
        <w:rPr>
          <w:rFonts w:eastAsia="Times New Roman" w:cstheme="minorHAnsi"/>
        </w:rPr>
        <w:t xml:space="preserve"> The data collection took place acros</w:t>
      </w:r>
      <w:r w:rsidR="00D649C2">
        <w:rPr>
          <w:rFonts w:eastAsia="Times New Roman" w:cstheme="minorHAnsi"/>
        </w:rPr>
        <w:t xml:space="preserve">s three phases.  Firstly, from </w:t>
      </w:r>
      <w:r w:rsidR="00FA28A9">
        <w:rPr>
          <w:rFonts w:eastAsia="Times New Roman" w:cstheme="minorHAnsi"/>
        </w:rPr>
        <w:t>August</w:t>
      </w:r>
      <w:r w:rsidR="00E719C0">
        <w:rPr>
          <w:rFonts w:eastAsia="Times New Roman" w:cstheme="minorHAnsi"/>
        </w:rPr>
        <w:t xml:space="preserve"> 2017, a desk review of the </w:t>
      </w:r>
      <w:r w:rsidR="00E719C0" w:rsidRPr="00E719C0">
        <w:rPr>
          <w:rFonts w:eastAsia="Times New Roman" w:cstheme="minorHAnsi"/>
        </w:rPr>
        <w:t>available documentation relating to the country’s compliance with the EITI Standard, including but not limited to:</w:t>
      </w:r>
    </w:p>
    <w:p w14:paraId="03B2D900" w14:textId="77777777" w:rsidR="00E719C0" w:rsidRPr="00E719C0" w:rsidRDefault="00E719C0" w:rsidP="00FA28A9">
      <w:pPr>
        <w:numPr>
          <w:ilvl w:val="0"/>
          <w:numId w:val="8"/>
        </w:numPr>
        <w:spacing w:before="240" w:after="0" w:line="240" w:lineRule="auto"/>
        <w:rPr>
          <w:rFonts w:eastAsia="Times New Roman" w:cstheme="minorHAnsi"/>
        </w:rPr>
      </w:pPr>
      <w:r w:rsidRPr="00E719C0">
        <w:rPr>
          <w:rFonts w:eastAsia="Times New Roman" w:cstheme="minorHAnsi"/>
        </w:rPr>
        <w:t>The EITI work plan and other planning documents such as budgets and communication plans;</w:t>
      </w:r>
    </w:p>
    <w:p w14:paraId="7F3B9476" w14:textId="77777777" w:rsidR="00E719C0" w:rsidRPr="00E719C0" w:rsidRDefault="00E719C0" w:rsidP="00E719C0">
      <w:pPr>
        <w:numPr>
          <w:ilvl w:val="0"/>
          <w:numId w:val="8"/>
        </w:numPr>
        <w:spacing w:after="0" w:line="240" w:lineRule="auto"/>
        <w:rPr>
          <w:rFonts w:eastAsia="Times New Roman" w:cstheme="minorHAnsi"/>
        </w:rPr>
      </w:pPr>
      <w:r w:rsidRPr="00E719C0">
        <w:rPr>
          <w:rFonts w:eastAsia="Times New Roman" w:cstheme="minorHAnsi"/>
        </w:rPr>
        <w:t>The multi-stakeholder group’s Terms of Reference, and minutes from multi-stakeholder group meetings;</w:t>
      </w:r>
    </w:p>
    <w:p w14:paraId="2BBB6D4D" w14:textId="77777777" w:rsidR="00E719C0" w:rsidRPr="00E719C0" w:rsidRDefault="00E719C0" w:rsidP="00E719C0">
      <w:pPr>
        <w:numPr>
          <w:ilvl w:val="0"/>
          <w:numId w:val="8"/>
        </w:numPr>
        <w:spacing w:after="0" w:line="240" w:lineRule="auto"/>
        <w:rPr>
          <w:rFonts w:eastAsia="Times New Roman" w:cstheme="minorHAnsi"/>
        </w:rPr>
      </w:pPr>
      <w:r w:rsidRPr="00E719C0">
        <w:rPr>
          <w:rFonts w:eastAsia="Times New Roman" w:cstheme="minorHAnsi"/>
        </w:rPr>
        <w:t>EITI Reports, and supplementary information such as summary reports and scoping studies;</w:t>
      </w:r>
    </w:p>
    <w:p w14:paraId="505CF551" w14:textId="77777777" w:rsidR="00E719C0" w:rsidRPr="00E719C0" w:rsidRDefault="00E719C0" w:rsidP="00E719C0">
      <w:pPr>
        <w:numPr>
          <w:ilvl w:val="0"/>
          <w:numId w:val="8"/>
        </w:numPr>
        <w:spacing w:after="0" w:line="240" w:lineRule="auto"/>
        <w:rPr>
          <w:rFonts w:eastAsia="Times New Roman" w:cstheme="minorHAnsi"/>
        </w:rPr>
      </w:pPr>
      <w:r w:rsidRPr="00E719C0">
        <w:rPr>
          <w:rFonts w:eastAsia="Times New Roman" w:cstheme="minorHAnsi"/>
        </w:rPr>
        <w:t>Communication materials;</w:t>
      </w:r>
    </w:p>
    <w:p w14:paraId="193C162B" w14:textId="77777777" w:rsidR="00E719C0" w:rsidRPr="00E719C0" w:rsidRDefault="00E719C0" w:rsidP="00E719C0">
      <w:pPr>
        <w:numPr>
          <w:ilvl w:val="0"/>
          <w:numId w:val="8"/>
        </w:numPr>
        <w:spacing w:after="0" w:line="240" w:lineRule="auto"/>
        <w:rPr>
          <w:rFonts w:eastAsia="Times New Roman" w:cstheme="minorHAnsi"/>
        </w:rPr>
      </w:pPr>
      <w:r w:rsidRPr="00E719C0">
        <w:rPr>
          <w:rFonts w:eastAsia="Times New Roman" w:cstheme="minorHAnsi"/>
        </w:rPr>
        <w:t>Annual progress reports; and</w:t>
      </w:r>
    </w:p>
    <w:p w14:paraId="312B3F1F" w14:textId="77777777" w:rsidR="00E719C0" w:rsidRPr="00E719C0" w:rsidRDefault="00E719C0" w:rsidP="00E719C0">
      <w:pPr>
        <w:numPr>
          <w:ilvl w:val="0"/>
          <w:numId w:val="8"/>
        </w:numPr>
        <w:spacing w:after="0" w:line="240" w:lineRule="auto"/>
        <w:rPr>
          <w:rFonts w:eastAsia="Times New Roman" w:cstheme="minorHAnsi"/>
        </w:rPr>
      </w:pPr>
      <w:r w:rsidRPr="00E719C0">
        <w:rPr>
          <w:rFonts w:eastAsia="Times New Roman" w:cstheme="minorHAnsi"/>
        </w:rPr>
        <w:t>Any other information of relevance to Validation.</w:t>
      </w:r>
    </w:p>
    <w:p w14:paraId="2E5EFC1C" w14:textId="77777777" w:rsidR="00E719C0" w:rsidRDefault="00E719C0" w:rsidP="00F12713">
      <w:pPr>
        <w:spacing w:after="0" w:line="240" w:lineRule="auto"/>
        <w:rPr>
          <w:rFonts w:eastAsia="Times New Roman" w:cstheme="minorHAnsi"/>
        </w:rPr>
      </w:pPr>
    </w:p>
    <w:p w14:paraId="127CC6F7" w14:textId="76E92C4F" w:rsidR="00E719C0" w:rsidRDefault="00FA28A9" w:rsidP="00FA28A9">
      <w:pPr>
        <w:spacing w:after="0" w:line="240" w:lineRule="auto"/>
        <w:jc w:val="both"/>
        <w:rPr>
          <w:rFonts w:cstheme="minorHAnsi"/>
        </w:rPr>
      </w:pPr>
      <w:r w:rsidRPr="00FA28A9">
        <w:rPr>
          <w:rFonts w:cstheme="minorHAnsi"/>
        </w:rPr>
        <w:t xml:space="preserve">A country visit took place on 4-9 September 2017. All meetings took place in Dakar. </w:t>
      </w:r>
      <w:r w:rsidR="00E719C0" w:rsidRPr="00E719C0">
        <w:rPr>
          <w:rFonts w:cstheme="minorHAnsi"/>
        </w:rPr>
        <w:t>The secretariat met with the multi-stakeholder group and its members, the IA and other key stakeholders, including stakeholder groups that are represented on, but not directly participating in, the multi-stakeholder group.</w:t>
      </w:r>
    </w:p>
    <w:p w14:paraId="3A202C2B" w14:textId="77777777" w:rsidR="00E719C0" w:rsidRDefault="00E719C0" w:rsidP="00FA28A9">
      <w:pPr>
        <w:spacing w:after="0" w:line="240" w:lineRule="auto"/>
        <w:jc w:val="both"/>
        <w:rPr>
          <w:rFonts w:cstheme="minorHAnsi"/>
        </w:rPr>
      </w:pPr>
    </w:p>
    <w:p w14:paraId="0A5DE1F5" w14:textId="6A9AC4A3" w:rsidR="006B688F" w:rsidRDefault="006B688F" w:rsidP="00FA28A9">
      <w:pPr>
        <w:spacing w:after="0" w:line="240" w:lineRule="auto"/>
        <w:jc w:val="both"/>
        <w:rPr>
          <w:rFonts w:cstheme="minorHAnsi"/>
        </w:rPr>
      </w:pPr>
      <w:r>
        <w:rPr>
          <w:rFonts w:cstheme="minorHAnsi"/>
        </w:rPr>
        <w:t xml:space="preserve">Finally, </w:t>
      </w:r>
      <w:r w:rsidRPr="006B688F">
        <w:rPr>
          <w:rFonts w:cstheme="minorHAnsi"/>
        </w:rPr>
        <w:t>the</w:t>
      </w:r>
      <w:r>
        <w:rPr>
          <w:rFonts w:cstheme="minorHAnsi"/>
        </w:rPr>
        <w:t xml:space="preserve"> International Secretariat </w:t>
      </w:r>
      <w:r w:rsidRPr="006B688F">
        <w:rPr>
          <w:rFonts w:cstheme="minorHAnsi"/>
        </w:rPr>
        <w:t>prepare</w:t>
      </w:r>
      <w:r>
        <w:rPr>
          <w:rFonts w:cstheme="minorHAnsi"/>
        </w:rPr>
        <w:t>d</w:t>
      </w:r>
      <w:r w:rsidRPr="006B688F">
        <w:rPr>
          <w:rFonts w:cstheme="minorHAnsi"/>
        </w:rPr>
        <w:t xml:space="preserve"> a report making an initial assessment of progress against requirements in accordance with the Validation Gu</w:t>
      </w:r>
      <w:r w:rsidR="00BE48E7">
        <w:rPr>
          <w:rFonts w:cstheme="minorHAnsi"/>
        </w:rPr>
        <w:t>ide. The initial assessment did</w:t>
      </w:r>
      <w:r w:rsidRPr="006B688F">
        <w:rPr>
          <w:rFonts w:cstheme="minorHAnsi"/>
        </w:rPr>
        <w:t xml:space="preserve"> not include an overall assess</w:t>
      </w:r>
      <w:r w:rsidR="00BE48E7">
        <w:rPr>
          <w:rFonts w:cstheme="minorHAnsi"/>
        </w:rPr>
        <w:t>ment of compliance. The report was submitted to the Validator, with t</w:t>
      </w:r>
      <w:r w:rsidRPr="006B688F">
        <w:rPr>
          <w:rFonts w:cstheme="minorHAnsi"/>
        </w:rPr>
        <w:t xml:space="preserve">he National Coordinator (NC) </w:t>
      </w:r>
      <w:r w:rsidR="00BE48E7">
        <w:rPr>
          <w:rFonts w:cstheme="minorHAnsi"/>
        </w:rPr>
        <w:t>also receiving a</w:t>
      </w:r>
      <w:r w:rsidRPr="006B688F">
        <w:rPr>
          <w:rFonts w:cstheme="minorHAnsi"/>
        </w:rPr>
        <w:t xml:space="preserve"> copy. </w:t>
      </w:r>
    </w:p>
    <w:p w14:paraId="4E7695CD" w14:textId="77777777" w:rsidR="00BE48E7" w:rsidRDefault="00BE48E7" w:rsidP="00F12713">
      <w:pPr>
        <w:spacing w:after="0" w:line="240" w:lineRule="auto"/>
        <w:rPr>
          <w:rFonts w:cstheme="minorHAnsi"/>
        </w:rPr>
      </w:pPr>
    </w:p>
    <w:p w14:paraId="14236177" w14:textId="3E334AE3" w:rsidR="007C0497" w:rsidRPr="005625E1" w:rsidRDefault="007C0497" w:rsidP="00F12713">
      <w:pPr>
        <w:spacing w:after="0" w:line="240" w:lineRule="auto"/>
        <w:rPr>
          <w:rFonts w:eastAsia="Calibri" w:cstheme="minorHAnsi"/>
          <w:color w:val="FF0000"/>
          <w:lang w:bidi="en-US"/>
        </w:rPr>
      </w:pPr>
    </w:p>
    <w:p w14:paraId="108A9605" w14:textId="2FA9ECDF" w:rsidR="00FA28A9" w:rsidRDefault="00FA28A9" w:rsidP="00F12713">
      <w:pPr>
        <w:spacing w:after="0" w:line="240" w:lineRule="auto"/>
        <w:rPr>
          <w:rFonts w:cstheme="minorHAnsi"/>
          <w:b/>
          <w:color w:val="365F91" w:themeColor="accent1" w:themeShade="BF"/>
        </w:rPr>
      </w:pPr>
      <w:r>
        <w:rPr>
          <w:rFonts w:cstheme="minorHAnsi"/>
          <w:b/>
          <w:color w:val="365F91" w:themeColor="accent1" w:themeShade="BF"/>
        </w:rPr>
        <w:t>3</w:t>
      </w:r>
      <w:r w:rsidR="00803CB3" w:rsidRPr="005625E1">
        <w:rPr>
          <w:rFonts w:cstheme="minorHAnsi"/>
          <w:b/>
          <w:color w:val="365F91" w:themeColor="accent1" w:themeShade="BF"/>
        </w:rPr>
        <w:t xml:space="preserve">. </w:t>
      </w:r>
      <w:r w:rsidR="00803CB3" w:rsidRPr="005625E1">
        <w:rPr>
          <w:rFonts w:cstheme="minorHAnsi"/>
          <w:b/>
          <w:color w:val="365F91" w:themeColor="accent1" w:themeShade="BF"/>
        </w:rPr>
        <w:tab/>
        <w:t>GENERAL COMMENTS</w:t>
      </w:r>
    </w:p>
    <w:p w14:paraId="33798BBC" w14:textId="77777777" w:rsidR="00F46036" w:rsidRPr="005625E1" w:rsidRDefault="00F46036" w:rsidP="00F12713">
      <w:pPr>
        <w:spacing w:after="0" w:line="240" w:lineRule="auto"/>
        <w:rPr>
          <w:rFonts w:cstheme="minorHAnsi"/>
          <w:b/>
          <w:color w:val="365F91" w:themeColor="accent1" w:themeShade="BF"/>
        </w:rPr>
      </w:pPr>
    </w:p>
    <w:p w14:paraId="2C9DD649" w14:textId="77777777" w:rsidR="007C0497" w:rsidRPr="005625E1" w:rsidRDefault="007C0497" w:rsidP="00F12713">
      <w:pPr>
        <w:pStyle w:val="ListParagraph"/>
        <w:numPr>
          <w:ilvl w:val="0"/>
          <w:numId w:val="1"/>
        </w:numPr>
        <w:spacing w:after="0" w:line="240" w:lineRule="auto"/>
        <w:rPr>
          <w:rFonts w:cstheme="minorHAnsi"/>
          <w:b/>
          <w:color w:val="365F91" w:themeColor="accent1" w:themeShade="BF"/>
        </w:rPr>
      </w:pPr>
      <w:r w:rsidRPr="005625E1">
        <w:rPr>
          <w:rFonts w:cstheme="minorHAnsi"/>
          <w:b/>
          <w:color w:val="365F91" w:themeColor="accent1" w:themeShade="BF"/>
        </w:rPr>
        <w:t xml:space="preserve">Progress in EITI Implementation </w:t>
      </w:r>
    </w:p>
    <w:p w14:paraId="7D60F9DB" w14:textId="77777777" w:rsidR="007C0497" w:rsidRPr="005625E1" w:rsidRDefault="007C0497" w:rsidP="00F12713">
      <w:pPr>
        <w:spacing w:after="0" w:line="240" w:lineRule="auto"/>
        <w:rPr>
          <w:rFonts w:cstheme="minorHAnsi"/>
          <w:color w:val="FF0000"/>
        </w:rPr>
      </w:pPr>
    </w:p>
    <w:p w14:paraId="15E57C46" w14:textId="4B6F0021" w:rsidR="00325E55" w:rsidRDefault="00FA28A9" w:rsidP="00FA28A9">
      <w:pPr>
        <w:spacing w:after="0" w:line="240" w:lineRule="auto"/>
        <w:jc w:val="both"/>
        <w:rPr>
          <w:rFonts w:cstheme="minorHAnsi"/>
        </w:rPr>
      </w:pPr>
      <w:r w:rsidRPr="00FA28A9">
        <w:rPr>
          <w:rFonts w:cstheme="minorHAnsi"/>
        </w:rPr>
        <w:t xml:space="preserve">Senegal presents a dynamic and creative case of EITI implementation, with its fast-paced, innovative and engaged MSG undertaking both strategic discussions linking the EITI to national priorities for the extractive sector as well as the technical detail of reporting. Although the extractive industries account for only around 2% of GDP, all three stakeholder groups have used the EITI to provide information on the mining sector that was previously unavailable and as a means of multi-stakeholder oversight of reforms ahead of sizeable oil and gas production expected to come </w:t>
      </w:r>
      <w:proofErr w:type="spellStart"/>
      <w:r w:rsidRPr="00FA28A9">
        <w:rPr>
          <w:rFonts w:cstheme="minorHAnsi"/>
        </w:rPr>
        <w:t>onstream</w:t>
      </w:r>
      <w:proofErr w:type="spellEnd"/>
      <w:r w:rsidRPr="00FA28A9">
        <w:rPr>
          <w:rFonts w:cstheme="minorHAnsi"/>
        </w:rPr>
        <w:t xml:space="preserve"> at the turn of the decade. Senegal’s mining sector has historically been controversial given host communities’ concerns about the economic and environmental impact of mining, while its nascent oil and gas industry has elicited a robust public debate in the past three years over licensing procedures, community engagement and fiscal management of the expected </w:t>
      </w:r>
      <w:r w:rsidRPr="00FA28A9">
        <w:rPr>
          <w:rFonts w:cstheme="minorHAnsi"/>
        </w:rPr>
        <w:lastRenderedPageBreak/>
        <w:t>revenue windfall. Senegal has used implementation of the EITI as a means of disclosing most mining, oil and gas contracts, reforming its sector legislation (in the 2016 Mining Law and in planned reforms to the 1998 Petroleum Law), supporting implementation of subnational transfers and improving tracking of mandatory social expenditures, in addition to no-less tangible reforms in government agencies’ internal systems. The MSG’s engagement in formulating recommendations and actively following up on their implementation has ensured the EITI has had a tangible impact, particularly in terms of reform of government systems, from the first EITI Report.</w:t>
      </w:r>
    </w:p>
    <w:p w14:paraId="23D51BBE" w14:textId="1130FA5E" w:rsidR="00172322" w:rsidRDefault="00172322" w:rsidP="00F12713">
      <w:pPr>
        <w:spacing w:after="0" w:line="240" w:lineRule="auto"/>
        <w:rPr>
          <w:rFonts w:cstheme="minorHAnsi"/>
          <w:color w:val="FF0000"/>
        </w:rPr>
      </w:pPr>
    </w:p>
    <w:p w14:paraId="3EA7C111" w14:textId="77777777" w:rsidR="00406FF1" w:rsidRPr="005625E1" w:rsidRDefault="00CE3B4B" w:rsidP="00F12713">
      <w:pPr>
        <w:pStyle w:val="ListParagraph"/>
        <w:numPr>
          <w:ilvl w:val="0"/>
          <w:numId w:val="1"/>
        </w:numPr>
        <w:spacing w:after="0" w:line="240" w:lineRule="auto"/>
        <w:rPr>
          <w:rFonts w:cstheme="minorHAnsi"/>
          <w:b/>
          <w:color w:val="365F91" w:themeColor="accent1" w:themeShade="BF"/>
        </w:rPr>
      </w:pPr>
      <w:r w:rsidRPr="005625E1">
        <w:rPr>
          <w:rFonts w:cstheme="minorHAnsi"/>
          <w:b/>
          <w:color w:val="365F91" w:themeColor="accent1" w:themeShade="BF"/>
        </w:rPr>
        <w:t xml:space="preserve">Impact of </w:t>
      </w:r>
      <w:r w:rsidR="00406FF1" w:rsidRPr="005625E1">
        <w:rPr>
          <w:rFonts w:cstheme="minorHAnsi"/>
          <w:b/>
          <w:color w:val="365F91" w:themeColor="accent1" w:themeShade="BF"/>
        </w:rPr>
        <w:t xml:space="preserve">EITI </w:t>
      </w:r>
      <w:r w:rsidRPr="005625E1">
        <w:rPr>
          <w:rFonts w:cstheme="minorHAnsi"/>
          <w:b/>
          <w:color w:val="365F91" w:themeColor="accent1" w:themeShade="BF"/>
        </w:rPr>
        <w:t>I</w:t>
      </w:r>
      <w:r w:rsidR="00406FF1" w:rsidRPr="005625E1">
        <w:rPr>
          <w:rFonts w:cstheme="minorHAnsi"/>
          <w:b/>
          <w:color w:val="365F91" w:themeColor="accent1" w:themeShade="BF"/>
        </w:rPr>
        <w:t>mplementation</w:t>
      </w:r>
    </w:p>
    <w:p w14:paraId="7E8E1DC7" w14:textId="77777777" w:rsidR="005625E1" w:rsidRPr="005625E1" w:rsidRDefault="005625E1" w:rsidP="00F12713">
      <w:pPr>
        <w:spacing w:after="0" w:line="240" w:lineRule="auto"/>
        <w:rPr>
          <w:rFonts w:cstheme="minorHAnsi"/>
          <w:color w:val="FF0000"/>
        </w:rPr>
      </w:pPr>
    </w:p>
    <w:p w14:paraId="4B020169" w14:textId="57F10BE8" w:rsidR="00DE717E" w:rsidRDefault="00FA28A9" w:rsidP="00FA28A9">
      <w:pPr>
        <w:spacing w:after="0" w:line="240" w:lineRule="auto"/>
        <w:jc w:val="both"/>
        <w:rPr>
          <w:rFonts w:cstheme="minorHAnsi"/>
        </w:rPr>
      </w:pPr>
      <w:r w:rsidRPr="00FA28A9">
        <w:rPr>
          <w:rFonts w:cstheme="minorHAnsi"/>
        </w:rPr>
        <w:t>Key to Senegal’s successful use of the EITI as an instrument to drive reforms has been the strong engagement of all three main constituencies. Since the country became an EITI candidate in 2013, the government has supported the EITI through public statements, an enabling legal framework and funding for EITI. While nominations procedures within each constituency have remained somewhat informal, the dynamism of Senegal EITI’s multi-stakeholder nature is evident from the regular consultations by MSG members of their constituency and each constituency’s strong engagement in dissemination and outreach. Each constituency has been proactive in ensuring that a representative cross-section of their constituencies is represented on the MSG, including an even geographic spread of CSO representatives and a cross-section of mineral types and phases (exploration/production) for industry’s representation. The MSG has met frequently – over 26 times in four years – and kept good records of its discussions. The MSG’s strong engagement in the technical aspects of reporting is evident in the significant improvement from its first (2013) to second (2014) EITI Reports, not least in the comprehensiveness and reliability of data. While Senegal EITI’s ability to reconcile a major exceptional payment from Mittal Steel Holding AG in 2014-15 (worth roughly 45% of government extractives revenues in 2014) was constrained by the company’s contentious exit from Senegal in 2013, the broader objective of comprehensive disclosure of taxes and revenues has been achieved through the government’s full disclosure of revenues received, the MSG’s transparency on the exclusion of this revenue from the scope of reconciliation and evidence of the payment in the company’s audited financial statements. The exceptional nature of this payment, following arbitration proceedings, means that Senegal EITI is unlikely to face such reporting challenges in the future. While EITI Senegal has faced minor challenges in addressing gaps in basic information on the mining, oil and gas sectors, such as production values and employment figures, this reflects the paucity of basic information on the sectors prior to Senegal’s implementation of the EITI.</w:t>
      </w:r>
    </w:p>
    <w:p w14:paraId="5EEEA9ED" w14:textId="77777777" w:rsidR="00DE717E" w:rsidRDefault="00DE717E" w:rsidP="00AA1BCE">
      <w:pPr>
        <w:spacing w:after="0" w:line="240" w:lineRule="auto"/>
        <w:rPr>
          <w:rFonts w:cstheme="minorHAnsi"/>
        </w:rPr>
      </w:pPr>
    </w:p>
    <w:p w14:paraId="4730C240" w14:textId="0EA5B5D4" w:rsidR="00056339" w:rsidRDefault="00E46A1D" w:rsidP="000608BE">
      <w:pPr>
        <w:rPr>
          <w:rFonts w:cstheme="minorHAnsi"/>
          <w:b/>
          <w:color w:val="365F91" w:themeColor="accent1" w:themeShade="BF"/>
        </w:rPr>
      </w:pPr>
      <w:r w:rsidRPr="00E46A1D">
        <w:rPr>
          <w:rFonts w:cstheme="minorHAnsi"/>
        </w:rPr>
        <w:t>.</w:t>
      </w:r>
      <w:r w:rsidR="00C71C1F">
        <w:rPr>
          <w:rFonts w:cstheme="minorHAnsi"/>
          <w:color w:val="FF0000"/>
        </w:rPr>
        <w:br w:type="page"/>
      </w:r>
      <w:r w:rsidR="00CC23A6" w:rsidRPr="005625E1">
        <w:rPr>
          <w:rFonts w:cstheme="minorHAnsi"/>
          <w:b/>
          <w:color w:val="365F91" w:themeColor="accent1" w:themeShade="BF"/>
        </w:rPr>
        <w:lastRenderedPageBreak/>
        <w:t>T</w:t>
      </w:r>
      <w:r w:rsidR="00056339" w:rsidRPr="005625E1">
        <w:rPr>
          <w:rFonts w:cstheme="minorHAnsi"/>
          <w:b/>
          <w:color w:val="365F91" w:themeColor="accent1" w:themeShade="BF"/>
        </w:rPr>
        <w:t xml:space="preserve">he Independent Validator’s </w:t>
      </w:r>
      <w:r w:rsidR="002D2440" w:rsidRPr="005625E1">
        <w:rPr>
          <w:rFonts w:cstheme="minorHAnsi"/>
          <w:b/>
          <w:color w:val="365F91" w:themeColor="accent1" w:themeShade="BF"/>
        </w:rPr>
        <w:t xml:space="preserve">Assessment of Compliance </w:t>
      </w:r>
    </w:p>
    <w:p w14:paraId="62D9987F" w14:textId="6BEC3422" w:rsidR="007F1C2E" w:rsidRPr="00D616F5" w:rsidRDefault="002D2440" w:rsidP="00F12713">
      <w:pPr>
        <w:spacing w:after="0" w:line="240" w:lineRule="auto"/>
        <w:rPr>
          <w:rFonts w:eastAsia="Calibri" w:cstheme="minorHAnsi"/>
          <w:i/>
          <w:color w:val="365F91" w:themeColor="accent1" w:themeShade="BF"/>
        </w:rPr>
      </w:pPr>
      <w:r w:rsidRPr="005625E1">
        <w:rPr>
          <w:rFonts w:eastAsia="Calibri" w:cstheme="minorHAnsi"/>
          <w:i/>
          <w:color w:val="365F91" w:themeColor="accent1" w:themeShade="BF"/>
        </w:rPr>
        <w:t>Figure 1 – Validator’s assessment</w:t>
      </w:r>
    </w:p>
    <w:tbl>
      <w:tblPr>
        <w:tblW w:w="9067" w:type="dxa"/>
        <w:tblInd w:w="-15" w:type="dxa"/>
        <w:tblLayout w:type="fixed"/>
        <w:tblLook w:val="04A0" w:firstRow="1" w:lastRow="0" w:firstColumn="1" w:lastColumn="0" w:noHBand="0" w:noVBand="1"/>
      </w:tblPr>
      <w:tblGrid>
        <w:gridCol w:w="2127"/>
        <w:gridCol w:w="573"/>
        <w:gridCol w:w="940"/>
        <w:gridCol w:w="266"/>
        <w:gridCol w:w="2756"/>
        <w:gridCol w:w="491"/>
        <w:gridCol w:w="532"/>
        <w:gridCol w:w="491"/>
        <w:gridCol w:w="470"/>
        <w:gridCol w:w="421"/>
      </w:tblGrid>
      <w:tr w:rsidR="00D616F5" w:rsidRPr="00F67643" w14:paraId="51733776" w14:textId="77777777" w:rsidTr="00E04834">
        <w:trPr>
          <w:trHeight w:val="142"/>
        </w:trPr>
        <w:tc>
          <w:tcPr>
            <w:tcW w:w="6662" w:type="dxa"/>
            <w:gridSpan w:val="5"/>
            <w:tcBorders>
              <w:top w:val="single" w:sz="12" w:space="0" w:color="auto"/>
              <w:left w:val="single" w:sz="12" w:space="0" w:color="auto"/>
              <w:bottom w:val="single" w:sz="4" w:space="0" w:color="auto"/>
              <w:right w:val="single" w:sz="4" w:space="0" w:color="auto"/>
            </w:tcBorders>
            <w:shd w:val="clear" w:color="000000" w:fill="366092"/>
            <w:noWrap/>
            <w:vAlign w:val="bottom"/>
          </w:tcPr>
          <w:p w14:paraId="7A6E368D" w14:textId="77777777" w:rsidR="00D616F5" w:rsidRPr="00884312" w:rsidRDefault="00D616F5" w:rsidP="00E04834">
            <w:pPr>
              <w:spacing w:after="0" w:line="240" w:lineRule="auto"/>
              <w:rPr>
                <w:rFonts w:ascii="Calibri" w:hAnsi="Calibri" w:cs="Times New Roman"/>
                <w:b/>
                <w:bCs/>
                <w:color w:val="FFFFFF"/>
                <w:lang w:eastAsia="en-GB"/>
              </w:rPr>
            </w:pPr>
            <w:r w:rsidRPr="00884312">
              <w:rPr>
                <w:rFonts w:ascii="Calibri" w:hAnsi="Calibri" w:cs="Times New Roman"/>
                <w:b/>
                <w:bCs/>
                <w:color w:val="FFFFFF"/>
                <w:lang w:eastAsia="en-GB"/>
              </w:rPr>
              <w:t>EITI Requirements</w:t>
            </w:r>
          </w:p>
        </w:tc>
        <w:tc>
          <w:tcPr>
            <w:tcW w:w="2405" w:type="dxa"/>
            <w:gridSpan w:val="5"/>
            <w:tcBorders>
              <w:top w:val="single" w:sz="12" w:space="0" w:color="auto"/>
              <w:left w:val="single" w:sz="4" w:space="0" w:color="auto"/>
              <w:bottom w:val="single" w:sz="4" w:space="0" w:color="auto"/>
              <w:right w:val="single" w:sz="12" w:space="0" w:color="auto"/>
            </w:tcBorders>
            <w:shd w:val="clear" w:color="000000" w:fill="366092"/>
            <w:vAlign w:val="center"/>
          </w:tcPr>
          <w:p w14:paraId="712FCA5D" w14:textId="77777777" w:rsidR="00D616F5" w:rsidRPr="00884312" w:rsidRDefault="00D616F5" w:rsidP="00E04834">
            <w:pPr>
              <w:spacing w:after="0" w:line="240" w:lineRule="auto"/>
              <w:jc w:val="center"/>
              <w:rPr>
                <w:rFonts w:ascii="Calibri" w:hAnsi="Calibri" w:cs="Times New Roman"/>
                <w:b/>
                <w:bCs/>
                <w:color w:val="FFFFFF"/>
                <w:lang w:eastAsia="en-GB"/>
              </w:rPr>
            </w:pPr>
            <w:r w:rsidRPr="00884312">
              <w:rPr>
                <w:rFonts w:ascii="Calibri" w:hAnsi="Calibri" w:cs="Times New Roman"/>
                <w:b/>
                <w:bCs/>
                <w:color w:val="FFFFFF"/>
                <w:lang w:eastAsia="en-GB"/>
              </w:rPr>
              <w:t>LEVEL OF PROGRESS</w:t>
            </w:r>
          </w:p>
        </w:tc>
      </w:tr>
      <w:tr w:rsidR="00D616F5" w:rsidRPr="00F67643" w14:paraId="33D5CAE9" w14:textId="77777777" w:rsidTr="00E04834">
        <w:trPr>
          <w:trHeight w:val="1372"/>
        </w:trPr>
        <w:tc>
          <w:tcPr>
            <w:tcW w:w="2700" w:type="dxa"/>
            <w:gridSpan w:val="2"/>
            <w:tcBorders>
              <w:top w:val="single" w:sz="4" w:space="0" w:color="auto"/>
              <w:left w:val="single" w:sz="12" w:space="0" w:color="auto"/>
              <w:bottom w:val="nil"/>
              <w:right w:val="nil"/>
            </w:tcBorders>
            <w:shd w:val="clear" w:color="000000" w:fill="F2F2F2"/>
            <w:noWrap/>
            <w:vAlign w:val="bottom"/>
            <w:hideMark/>
          </w:tcPr>
          <w:p w14:paraId="4C239670" w14:textId="77777777" w:rsidR="00D616F5" w:rsidRPr="00884312" w:rsidRDefault="00D616F5" w:rsidP="00E04834">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940" w:type="dxa"/>
            <w:tcBorders>
              <w:top w:val="single" w:sz="4" w:space="0" w:color="auto"/>
              <w:left w:val="nil"/>
              <w:bottom w:val="nil"/>
              <w:right w:val="nil"/>
            </w:tcBorders>
            <w:shd w:val="clear" w:color="000000" w:fill="F2F2F2"/>
            <w:noWrap/>
            <w:vAlign w:val="bottom"/>
            <w:hideMark/>
          </w:tcPr>
          <w:p w14:paraId="0C4F2819" w14:textId="77777777" w:rsidR="00D616F5" w:rsidRPr="00884312" w:rsidRDefault="00D616F5" w:rsidP="00E04834">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266" w:type="dxa"/>
            <w:tcBorders>
              <w:top w:val="single" w:sz="4" w:space="0" w:color="auto"/>
              <w:left w:val="nil"/>
              <w:bottom w:val="nil"/>
              <w:right w:val="nil"/>
            </w:tcBorders>
            <w:shd w:val="clear" w:color="000000" w:fill="F2F2F2"/>
            <w:noWrap/>
            <w:vAlign w:val="bottom"/>
            <w:hideMark/>
          </w:tcPr>
          <w:p w14:paraId="53C1FFA7" w14:textId="77777777" w:rsidR="00D616F5" w:rsidRPr="00884312" w:rsidRDefault="00D616F5" w:rsidP="00E04834">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2756" w:type="dxa"/>
            <w:tcBorders>
              <w:top w:val="single" w:sz="4" w:space="0" w:color="auto"/>
              <w:left w:val="nil"/>
              <w:bottom w:val="nil"/>
              <w:right w:val="single" w:sz="8" w:space="0" w:color="auto"/>
            </w:tcBorders>
            <w:shd w:val="clear" w:color="000000" w:fill="F2F2F2"/>
            <w:noWrap/>
            <w:vAlign w:val="center"/>
            <w:hideMark/>
          </w:tcPr>
          <w:p w14:paraId="547988D3" w14:textId="77777777" w:rsidR="00D616F5" w:rsidRPr="00884312" w:rsidRDefault="00D616F5" w:rsidP="00E04834">
            <w:pPr>
              <w:spacing w:after="0" w:line="240" w:lineRule="auto"/>
              <w:rPr>
                <w:rFonts w:ascii="Calibri" w:hAnsi="Calibri" w:cs="Times New Roman"/>
                <w:b/>
                <w:bCs/>
                <w:color w:val="FFFFFF"/>
                <w:lang w:eastAsia="en-GB"/>
              </w:rPr>
            </w:pPr>
            <w:r w:rsidRPr="00884312">
              <w:rPr>
                <w:rFonts w:ascii="Calibri" w:hAnsi="Calibri" w:cs="Times New Roman"/>
                <w:b/>
                <w:bCs/>
                <w:color w:val="FFFFFF"/>
                <w:lang w:eastAsia="en-GB"/>
              </w:rPr>
              <w:t> </w:t>
            </w:r>
          </w:p>
        </w:tc>
        <w:tc>
          <w:tcPr>
            <w:tcW w:w="491" w:type="dxa"/>
            <w:tcBorders>
              <w:top w:val="single" w:sz="4" w:space="0" w:color="auto"/>
              <w:left w:val="single" w:sz="4" w:space="0" w:color="000000" w:themeColor="text1"/>
              <w:right w:val="single" w:sz="12" w:space="0" w:color="auto"/>
            </w:tcBorders>
            <w:shd w:val="clear" w:color="000000" w:fill="F2F2F2"/>
            <w:textDirection w:val="btLr"/>
          </w:tcPr>
          <w:p w14:paraId="5582FAB7" w14:textId="77777777" w:rsidR="00D616F5" w:rsidRPr="00884312" w:rsidRDefault="00D616F5" w:rsidP="00E04834">
            <w:pPr>
              <w:spacing w:after="0" w:line="240" w:lineRule="auto"/>
              <w:rPr>
                <w:rFonts w:ascii="Calibri" w:hAnsi="Calibri" w:cs="Times New Roman"/>
                <w:bCs/>
                <w:color w:val="000000"/>
                <w:lang w:eastAsia="en-GB"/>
              </w:rPr>
            </w:pPr>
            <w:r>
              <w:rPr>
                <w:rFonts w:ascii="Calibri" w:hAnsi="Calibri" w:cs="Times New Roman"/>
                <w:bCs/>
                <w:color w:val="000000"/>
                <w:lang w:eastAsia="en-GB"/>
              </w:rPr>
              <w:t xml:space="preserve">  </w:t>
            </w:r>
            <w:r w:rsidRPr="00884312">
              <w:rPr>
                <w:rFonts w:ascii="Calibri" w:hAnsi="Calibri" w:cs="Times New Roman"/>
                <w:bCs/>
                <w:color w:val="000000"/>
                <w:lang w:eastAsia="en-GB"/>
              </w:rPr>
              <w:t>No</w:t>
            </w:r>
            <w:r>
              <w:rPr>
                <w:rFonts w:ascii="Calibri" w:hAnsi="Calibri" w:cs="Times New Roman"/>
                <w:bCs/>
                <w:color w:val="000000"/>
                <w:lang w:eastAsia="en-GB"/>
              </w:rPr>
              <w:t xml:space="preserve"> progress</w:t>
            </w:r>
          </w:p>
        </w:tc>
        <w:tc>
          <w:tcPr>
            <w:tcW w:w="532" w:type="dxa"/>
            <w:tcBorders>
              <w:top w:val="single" w:sz="4" w:space="0" w:color="auto"/>
              <w:left w:val="single" w:sz="4" w:space="0" w:color="000000" w:themeColor="text1"/>
              <w:right w:val="single" w:sz="12" w:space="0" w:color="auto"/>
            </w:tcBorders>
            <w:shd w:val="clear" w:color="000000" w:fill="F2F2F2"/>
            <w:textDirection w:val="btLr"/>
          </w:tcPr>
          <w:p w14:paraId="1CD9262F" w14:textId="77777777" w:rsidR="00D616F5" w:rsidRPr="00884312" w:rsidRDefault="00D616F5" w:rsidP="00E04834">
            <w:pPr>
              <w:spacing w:after="0" w:line="240" w:lineRule="auto"/>
              <w:rPr>
                <w:rFonts w:ascii="Calibri" w:hAnsi="Calibri" w:cs="Times New Roman"/>
                <w:bCs/>
                <w:color w:val="000000"/>
                <w:lang w:eastAsia="en-GB"/>
              </w:rPr>
            </w:pPr>
            <w:r>
              <w:rPr>
                <w:rFonts w:ascii="Calibri" w:hAnsi="Calibri" w:cs="Times New Roman"/>
                <w:bCs/>
                <w:color w:val="000000"/>
                <w:lang w:eastAsia="en-GB"/>
              </w:rPr>
              <w:t xml:space="preserve">  </w:t>
            </w:r>
            <w:r w:rsidRPr="00884312">
              <w:rPr>
                <w:rFonts w:ascii="Calibri" w:hAnsi="Calibri" w:cs="Times New Roman"/>
                <w:bCs/>
                <w:color w:val="000000"/>
                <w:lang w:eastAsia="en-GB"/>
              </w:rPr>
              <w:t>Inadequate</w:t>
            </w:r>
          </w:p>
        </w:tc>
        <w:tc>
          <w:tcPr>
            <w:tcW w:w="491" w:type="dxa"/>
            <w:tcBorders>
              <w:top w:val="single" w:sz="4" w:space="0" w:color="auto"/>
              <w:left w:val="single" w:sz="4" w:space="0" w:color="000000" w:themeColor="text1"/>
              <w:right w:val="single" w:sz="12" w:space="0" w:color="auto"/>
            </w:tcBorders>
            <w:shd w:val="clear" w:color="000000" w:fill="F2F2F2"/>
            <w:textDirection w:val="btLr"/>
          </w:tcPr>
          <w:p w14:paraId="519A9B89" w14:textId="77777777" w:rsidR="00D616F5" w:rsidRPr="00884312" w:rsidRDefault="00D616F5" w:rsidP="00E04834">
            <w:pPr>
              <w:spacing w:after="0" w:line="240" w:lineRule="auto"/>
              <w:rPr>
                <w:rFonts w:ascii="Calibri" w:hAnsi="Calibri" w:cs="Times New Roman"/>
                <w:bCs/>
                <w:color w:val="000000"/>
                <w:lang w:eastAsia="en-GB"/>
              </w:rPr>
            </w:pPr>
            <w:r w:rsidRPr="00884312">
              <w:rPr>
                <w:rFonts w:ascii="Calibri" w:hAnsi="Calibri" w:cs="Times New Roman"/>
                <w:bCs/>
                <w:color w:val="000000"/>
                <w:lang w:eastAsia="en-GB"/>
              </w:rPr>
              <w:t xml:space="preserve"> </w:t>
            </w:r>
            <w:r>
              <w:rPr>
                <w:rFonts w:ascii="Calibri" w:hAnsi="Calibri" w:cs="Times New Roman"/>
                <w:bCs/>
                <w:color w:val="000000"/>
                <w:lang w:eastAsia="en-GB"/>
              </w:rPr>
              <w:t xml:space="preserve"> </w:t>
            </w:r>
            <w:r w:rsidRPr="00884312">
              <w:rPr>
                <w:rFonts w:ascii="Calibri" w:hAnsi="Calibri" w:cs="Times New Roman"/>
                <w:bCs/>
                <w:color w:val="000000"/>
                <w:lang w:eastAsia="en-GB"/>
              </w:rPr>
              <w:t>Meaningful</w:t>
            </w:r>
          </w:p>
        </w:tc>
        <w:tc>
          <w:tcPr>
            <w:tcW w:w="470" w:type="dxa"/>
            <w:tcBorders>
              <w:top w:val="single" w:sz="4" w:space="0" w:color="auto"/>
              <w:left w:val="single" w:sz="4" w:space="0" w:color="000000" w:themeColor="text1"/>
              <w:right w:val="single" w:sz="12" w:space="0" w:color="auto"/>
            </w:tcBorders>
            <w:shd w:val="clear" w:color="000000" w:fill="F2F2F2"/>
            <w:textDirection w:val="btLr"/>
          </w:tcPr>
          <w:p w14:paraId="334DB508" w14:textId="77777777" w:rsidR="00D616F5" w:rsidRPr="00884312" w:rsidRDefault="00D616F5" w:rsidP="00E04834">
            <w:pPr>
              <w:spacing w:after="0" w:line="240" w:lineRule="auto"/>
              <w:rPr>
                <w:rFonts w:ascii="Calibri" w:hAnsi="Calibri" w:cs="Times New Roman"/>
                <w:bCs/>
                <w:color w:val="000000"/>
                <w:lang w:eastAsia="en-GB"/>
              </w:rPr>
            </w:pPr>
            <w:r w:rsidRPr="00884312">
              <w:rPr>
                <w:rFonts w:ascii="Calibri" w:hAnsi="Calibri" w:cs="Times New Roman"/>
                <w:bCs/>
                <w:color w:val="000000"/>
                <w:lang w:eastAsia="en-GB"/>
              </w:rPr>
              <w:t xml:space="preserve"> </w:t>
            </w:r>
            <w:r>
              <w:rPr>
                <w:rFonts w:ascii="Calibri" w:hAnsi="Calibri" w:cs="Times New Roman"/>
                <w:bCs/>
                <w:color w:val="000000"/>
                <w:lang w:eastAsia="en-GB"/>
              </w:rPr>
              <w:t xml:space="preserve"> </w:t>
            </w:r>
            <w:r w:rsidRPr="00884312">
              <w:rPr>
                <w:rFonts w:ascii="Calibri" w:hAnsi="Calibri" w:cs="Times New Roman"/>
                <w:bCs/>
                <w:color w:val="000000"/>
                <w:lang w:eastAsia="en-GB"/>
              </w:rPr>
              <w:t>Satisfactory</w:t>
            </w:r>
          </w:p>
        </w:tc>
        <w:tc>
          <w:tcPr>
            <w:tcW w:w="421" w:type="dxa"/>
            <w:tcBorders>
              <w:top w:val="single" w:sz="4" w:space="0" w:color="auto"/>
              <w:left w:val="single" w:sz="4" w:space="0" w:color="000000" w:themeColor="text1"/>
              <w:right w:val="single" w:sz="12" w:space="0" w:color="auto"/>
            </w:tcBorders>
            <w:shd w:val="clear" w:color="000000" w:fill="F2F2F2"/>
            <w:textDirection w:val="btLr"/>
            <w:vAlign w:val="center"/>
          </w:tcPr>
          <w:p w14:paraId="4726BAB7" w14:textId="77777777" w:rsidR="00D616F5" w:rsidRPr="00884312" w:rsidRDefault="00D616F5" w:rsidP="00E04834">
            <w:pPr>
              <w:spacing w:after="0" w:line="240" w:lineRule="auto"/>
              <w:rPr>
                <w:rFonts w:ascii="Calibri" w:hAnsi="Calibri" w:cs="Times New Roman"/>
                <w:bCs/>
                <w:color w:val="000000"/>
                <w:lang w:eastAsia="en-GB"/>
              </w:rPr>
            </w:pPr>
            <w:r>
              <w:rPr>
                <w:rFonts w:ascii="Calibri" w:hAnsi="Calibri" w:cs="Times New Roman"/>
                <w:bCs/>
                <w:color w:val="000000"/>
                <w:lang w:eastAsia="en-GB"/>
              </w:rPr>
              <w:t xml:space="preserve">  </w:t>
            </w:r>
            <w:r w:rsidRPr="00884312">
              <w:rPr>
                <w:rFonts w:ascii="Calibri" w:hAnsi="Calibri" w:cs="Times New Roman"/>
                <w:bCs/>
                <w:color w:val="000000"/>
                <w:lang w:eastAsia="en-GB"/>
              </w:rPr>
              <w:t>Beyond</w:t>
            </w:r>
          </w:p>
        </w:tc>
      </w:tr>
      <w:tr w:rsidR="00D616F5" w:rsidRPr="00F67643" w14:paraId="0F9A5230" w14:textId="77777777" w:rsidTr="00E04834">
        <w:trPr>
          <w:trHeight w:val="306"/>
        </w:trPr>
        <w:tc>
          <w:tcPr>
            <w:tcW w:w="2127" w:type="dxa"/>
            <w:tcBorders>
              <w:left w:val="single" w:sz="12" w:space="0" w:color="auto"/>
              <w:bottom w:val="single" w:sz="12" w:space="0" w:color="000000" w:themeColor="text1"/>
            </w:tcBorders>
            <w:shd w:val="clear" w:color="000000" w:fill="F2F2F2"/>
            <w:noWrap/>
            <w:vAlign w:val="bottom"/>
            <w:hideMark/>
          </w:tcPr>
          <w:p w14:paraId="2BD60A9D" w14:textId="77777777" w:rsidR="00D616F5" w:rsidRPr="00884312" w:rsidRDefault="00D616F5" w:rsidP="00E04834">
            <w:pPr>
              <w:spacing w:after="0" w:line="240" w:lineRule="auto"/>
              <w:rPr>
                <w:rFonts w:ascii="Calibri" w:hAnsi="Calibri" w:cs="Times New Roman"/>
                <w:b/>
                <w:bCs/>
                <w:color w:val="000000"/>
                <w:lang w:eastAsia="en-GB"/>
              </w:rPr>
            </w:pPr>
            <w:r w:rsidRPr="00884312">
              <w:rPr>
                <w:rFonts w:ascii="Calibri" w:hAnsi="Calibri" w:cs="Times New Roman"/>
                <w:b/>
                <w:bCs/>
                <w:color w:val="000000"/>
                <w:lang w:eastAsia="en-GB"/>
              </w:rPr>
              <w:t>Categories</w:t>
            </w:r>
          </w:p>
        </w:tc>
        <w:tc>
          <w:tcPr>
            <w:tcW w:w="4535" w:type="dxa"/>
            <w:gridSpan w:val="4"/>
            <w:tcBorders>
              <w:bottom w:val="single" w:sz="12" w:space="0" w:color="000000" w:themeColor="text1"/>
              <w:right w:val="single" w:sz="8" w:space="0" w:color="auto"/>
            </w:tcBorders>
            <w:shd w:val="clear" w:color="000000" w:fill="F2F2F2"/>
            <w:noWrap/>
            <w:vAlign w:val="center"/>
            <w:hideMark/>
          </w:tcPr>
          <w:p w14:paraId="4D61E4D4" w14:textId="77777777" w:rsidR="00D616F5" w:rsidRPr="00884312" w:rsidRDefault="00D616F5" w:rsidP="00E04834">
            <w:pPr>
              <w:spacing w:after="0" w:line="240" w:lineRule="auto"/>
              <w:rPr>
                <w:rFonts w:ascii="Calibri" w:hAnsi="Calibri" w:cs="Times New Roman"/>
                <w:b/>
                <w:bCs/>
                <w:color w:val="000000"/>
                <w:lang w:eastAsia="en-GB"/>
              </w:rPr>
            </w:pPr>
            <w:r w:rsidRPr="00884312">
              <w:rPr>
                <w:rFonts w:ascii="Calibri" w:hAnsi="Calibri" w:cs="Times New Roman"/>
                <w:b/>
                <w:bCs/>
                <w:color w:val="000000"/>
                <w:lang w:eastAsia="en-GB"/>
              </w:rPr>
              <w:t>Requirements</w:t>
            </w:r>
          </w:p>
        </w:tc>
        <w:tc>
          <w:tcPr>
            <w:tcW w:w="491" w:type="dxa"/>
            <w:tcBorders>
              <w:left w:val="single" w:sz="4" w:space="0" w:color="000000" w:themeColor="text1"/>
              <w:bottom w:val="single" w:sz="12" w:space="0" w:color="auto"/>
              <w:right w:val="single" w:sz="12" w:space="0" w:color="auto"/>
            </w:tcBorders>
            <w:shd w:val="clear" w:color="000000" w:fill="C00000"/>
          </w:tcPr>
          <w:p w14:paraId="3F9470E8" w14:textId="77777777" w:rsidR="00D616F5" w:rsidRPr="00884312" w:rsidRDefault="00D616F5" w:rsidP="00E04834">
            <w:pPr>
              <w:spacing w:after="0" w:line="240" w:lineRule="auto"/>
              <w:rPr>
                <w:rFonts w:ascii="Calibri" w:hAnsi="Calibri" w:cs="Times New Roman"/>
                <w:b/>
                <w:bCs/>
                <w:color w:val="C00000"/>
                <w:lang w:eastAsia="en-GB"/>
              </w:rPr>
            </w:pPr>
          </w:p>
        </w:tc>
        <w:tc>
          <w:tcPr>
            <w:tcW w:w="532" w:type="dxa"/>
            <w:tcBorders>
              <w:left w:val="single" w:sz="4" w:space="0" w:color="000000" w:themeColor="text1"/>
              <w:bottom w:val="single" w:sz="12" w:space="0" w:color="auto"/>
              <w:right w:val="single" w:sz="12" w:space="0" w:color="auto"/>
            </w:tcBorders>
            <w:shd w:val="clear" w:color="000000" w:fill="FAC433"/>
          </w:tcPr>
          <w:p w14:paraId="3CBC5098" w14:textId="77777777" w:rsidR="00D616F5" w:rsidRPr="00884312" w:rsidRDefault="00D616F5" w:rsidP="00E04834">
            <w:pPr>
              <w:spacing w:after="0" w:line="240" w:lineRule="auto"/>
              <w:rPr>
                <w:rFonts w:ascii="Calibri" w:hAnsi="Calibri" w:cs="Times New Roman"/>
                <w:b/>
                <w:bCs/>
                <w:color w:val="C00000"/>
                <w:lang w:eastAsia="en-GB"/>
              </w:rPr>
            </w:pPr>
          </w:p>
        </w:tc>
        <w:tc>
          <w:tcPr>
            <w:tcW w:w="491" w:type="dxa"/>
            <w:tcBorders>
              <w:left w:val="single" w:sz="4" w:space="0" w:color="000000" w:themeColor="text1"/>
              <w:bottom w:val="single" w:sz="12" w:space="0" w:color="auto"/>
              <w:right w:val="single" w:sz="12" w:space="0" w:color="auto"/>
            </w:tcBorders>
            <w:shd w:val="clear" w:color="000000" w:fill="84AE43"/>
            <w:vAlign w:val="bottom"/>
          </w:tcPr>
          <w:p w14:paraId="1F6CA8AB" w14:textId="77777777" w:rsidR="00D616F5" w:rsidRPr="00884312" w:rsidRDefault="00D616F5" w:rsidP="00E04834">
            <w:pPr>
              <w:spacing w:after="0" w:line="240" w:lineRule="auto"/>
              <w:rPr>
                <w:rFonts w:ascii="Calibri" w:hAnsi="Calibri" w:cs="Times New Roman"/>
                <w:b/>
                <w:bCs/>
                <w:color w:val="000000"/>
                <w:lang w:eastAsia="en-GB"/>
              </w:rPr>
            </w:pPr>
            <w:r w:rsidRPr="00884312">
              <w:rPr>
                <w:rFonts w:ascii="Calibri" w:hAnsi="Calibri" w:cs="Times New Roman"/>
                <w:color w:val="000000"/>
                <w:lang w:eastAsia="en-GB"/>
              </w:rPr>
              <w:t> </w:t>
            </w:r>
          </w:p>
        </w:tc>
        <w:tc>
          <w:tcPr>
            <w:tcW w:w="470" w:type="dxa"/>
            <w:tcBorders>
              <w:left w:val="single" w:sz="4" w:space="0" w:color="000000" w:themeColor="text1"/>
              <w:bottom w:val="single" w:sz="12" w:space="0" w:color="auto"/>
              <w:right w:val="single" w:sz="12" w:space="0" w:color="auto"/>
            </w:tcBorders>
            <w:shd w:val="clear" w:color="000000" w:fill="2D8B2A"/>
            <w:vAlign w:val="bottom"/>
          </w:tcPr>
          <w:p w14:paraId="268F6C9C" w14:textId="77777777" w:rsidR="00D616F5" w:rsidRPr="00884312" w:rsidRDefault="00D616F5" w:rsidP="00E04834">
            <w:pPr>
              <w:spacing w:after="0" w:line="240" w:lineRule="auto"/>
              <w:rPr>
                <w:rFonts w:ascii="Calibri" w:hAnsi="Calibri" w:cs="Times New Roman"/>
                <w:b/>
                <w:bCs/>
                <w:color w:val="000000"/>
                <w:lang w:eastAsia="en-GB"/>
              </w:rPr>
            </w:pPr>
            <w:r w:rsidRPr="00884312">
              <w:rPr>
                <w:rFonts w:ascii="Calibri" w:hAnsi="Calibri" w:cs="Times New Roman"/>
                <w:color w:val="000000"/>
                <w:lang w:eastAsia="en-GB"/>
              </w:rPr>
              <w:t> </w:t>
            </w:r>
          </w:p>
        </w:tc>
        <w:tc>
          <w:tcPr>
            <w:tcW w:w="421" w:type="dxa"/>
            <w:tcBorders>
              <w:left w:val="single" w:sz="4" w:space="0" w:color="000000" w:themeColor="text1"/>
              <w:bottom w:val="single" w:sz="12" w:space="0" w:color="auto"/>
              <w:right w:val="single" w:sz="12" w:space="0" w:color="auto"/>
            </w:tcBorders>
            <w:shd w:val="clear" w:color="000000" w:fill="0076AF"/>
            <w:vAlign w:val="center"/>
          </w:tcPr>
          <w:p w14:paraId="674650E5" w14:textId="77777777" w:rsidR="00D616F5" w:rsidRPr="00884312" w:rsidRDefault="00D616F5" w:rsidP="00E04834">
            <w:pPr>
              <w:spacing w:after="0" w:line="240" w:lineRule="auto"/>
              <w:rPr>
                <w:rFonts w:ascii="Calibri" w:hAnsi="Calibri" w:cs="Times New Roman"/>
                <w:b/>
                <w:bCs/>
                <w:color w:val="000000"/>
                <w:lang w:eastAsia="en-GB"/>
              </w:rPr>
            </w:pPr>
            <w:r w:rsidRPr="00884312">
              <w:rPr>
                <w:rFonts w:ascii="Calibri" w:hAnsi="Calibri" w:cs="Times New Roman"/>
                <w:color w:val="000000"/>
                <w:lang w:eastAsia="en-GB"/>
              </w:rPr>
              <w:t> </w:t>
            </w:r>
          </w:p>
        </w:tc>
      </w:tr>
      <w:tr w:rsidR="00D616F5" w:rsidRPr="00F67643" w14:paraId="45C203FC" w14:textId="77777777" w:rsidTr="00E04834">
        <w:trPr>
          <w:trHeight w:val="53"/>
        </w:trPr>
        <w:tc>
          <w:tcPr>
            <w:tcW w:w="2127" w:type="dxa"/>
            <w:vMerge w:val="restart"/>
            <w:tcBorders>
              <w:top w:val="single" w:sz="12" w:space="0" w:color="000000" w:themeColor="text1"/>
              <w:left w:val="single" w:sz="12" w:space="0" w:color="auto"/>
              <w:bottom w:val="single" w:sz="8" w:space="0" w:color="000000"/>
              <w:right w:val="single" w:sz="2" w:space="0" w:color="A6A6A6" w:themeColor="background1" w:themeShade="A6"/>
            </w:tcBorders>
            <w:shd w:val="clear" w:color="000000" w:fill="BFBFBF"/>
            <w:noWrap/>
            <w:vAlign w:val="center"/>
            <w:hideMark/>
          </w:tcPr>
          <w:p w14:paraId="2E4FAB9E" w14:textId="77777777" w:rsidR="00D616F5" w:rsidRPr="00884312" w:rsidRDefault="00D616F5" w:rsidP="00E04834">
            <w:pPr>
              <w:spacing w:after="0" w:line="240" w:lineRule="auto"/>
              <w:rPr>
                <w:rFonts w:ascii="Calibri" w:hAnsi="Calibri" w:cs="Times New Roman"/>
                <w:b/>
                <w:bCs/>
                <w:color w:val="000000"/>
                <w:lang w:eastAsia="en-GB"/>
              </w:rPr>
            </w:pPr>
            <w:r w:rsidRPr="00884312">
              <w:rPr>
                <w:rFonts w:ascii="Calibri" w:hAnsi="Calibri" w:cs="Times New Roman"/>
                <w:b/>
                <w:bCs/>
                <w:color w:val="000000"/>
                <w:lang w:eastAsia="en-GB"/>
              </w:rPr>
              <w:t>MSG oversight</w:t>
            </w:r>
          </w:p>
        </w:tc>
        <w:tc>
          <w:tcPr>
            <w:tcW w:w="4535" w:type="dxa"/>
            <w:gridSpan w:val="4"/>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bottom"/>
            <w:hideMark/>
          </w:tcPr>
          <w:p w14:paraId="41779E5F" w14:textId="77777777" w:rsidR="00D616F5" w:rsidRPr="00884312" w:rsidRDefault="00D616F5" w:rsidP="00E04834">
            <w:pPr>
              <w:spacing w:after="0" w:line="240" w:lineRule="auto"/>
              <w:rPr>
                <w:rFonts w:ascii="Calibri" w:hAnsi="Calibri" w:cs="Times New Roman"/>
                <w:color w:val="000000"/>
                <w:lang w:eastAsia="en-GB"/>
              </w:rPr>
            </w:pPr>
            <w:r w:rsidRPr="00884312">
              <w:rPr>
                <w:rFonts w:ascii="Calibri" w:hAnsi="Calibri" w:cs="Times New Roman"/>
                <w:color w:val="000000"/>
                <w:lang w:eastAsia="en-GB"/>
              </w:rPr>
              <w:t>Government engagement (#1.1)</w:t>
            </w:r>
          </w:p>
        </w:tc>
        <w:tc>
          <w:tcPr>
            <w:tcW w:w="491" w:type="dxa"/>
            <w:tcBorders>
              <w:top w:val="single" w:sz="12" w:space="0" w:color="auto"/>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14:paraId="2503716A" w14:textId="77777777" w:rsidR="00D616F5" w:rsidRPr="00884312" w:rsidRDefault="00D616F5" w:rsidP="00E04834">
            <w:pPr>
              <w:spacing w:after="0" w:line="240" w:lineRule="auto"/>
              <w:rPr>
                <w:rFonts w:ascii="Calibri" w:hAnsi="Calibri" w:cs="Times New Roman"/>
                <w:color w:val="000000"/>
                <w:lang w:eastAsia="en-GB"/>
              </w:rPr>
            </w:pPr>
          </w:p>
        </w:tc>
        <w:tc>
          <w:tcPr>
            <w:tcW w:w="532" w:type="dxa"/>
            <w:tcBorders>
              <w:top w:val="single" w:sz="12" w:space="0" w:color="auto"/>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1022AD41" w14:textId="77777777" w:rsidR="00D616F5" w:rsidRPr="00884312" w:rsidRDefault="00D616F5" w:rsidP="00E04834">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91" w:type="dxa"/>
            <w:tcBorders>
              <w:top w:val="single" w:sz="12" w:space="0" w:color="auto"/>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1D5D3D81" w14:textId="77777777" w:rsidR="00D616F5" w:rsidRPr="00884312" w:rsidRDefault="00D616F5" w:rsidP="00E04834">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70" w:type="dxa"/>
            <w:tcBorders>
              <w:top w:val="single" w:sz="12" w:space="0" w:color="auto"/>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2D8B2A"/>
            <w:noWrap/>
            <w:vAlign w:val="bottom"/>
            <w:hideMark/>
          </w:tcPr>
          <w:p w14:paraId="1D0D3BC2" w14:textId="77777777" w:rsidR="00D616F5" w:rsidRPr="00884312" w:rsidRDefault="00D616F5" w:rsidP="00E04834">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21" w:type="dxa"/>
            <w:tcBorders>
              <w:top w:val="single" w:sz="12" w:space="0" w:color="auto"/>
              <w:left w:val="single" w:sz="2" w:space="0" w:color="A6A6A6" w:themeColor="background1" w:themeShade="A6"/>
              <w:bottom w:val="single" w:sz="2" w:space="0" w:color="A6A6A6" w:themeColor="background1" w:themeShade="A6"/>
              <w:right w:val="single" w:sz="12" w:space="0" w:color="auto"/>
            </w:tcBorders>
            <w:shd w:val="clear" w:color="auto" w:fill="auto"/>
            <w:noWrap/>
            <w:vAlign w:val="bottom"/>
            <w:hideMark/>
          </w:tcPr>
          <w:p w14:paraId="1FBA364E" w14:textId="77777777" w:rsidR="00D616F5" w:rsidRPr="00884312" w:rsidRDefault="00D616F5" w:rsidP="00E04834">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r>
      <w:tr w:rsidR="00D616F5" w:rsidRPr="00F67643" w14:paraId="126B7060" w14:textId="77777777" w:rsidTr="00E04834">
        <w:trPr>
          <w:trHeight w:val="281"/>
        </w:trPr>
        <w:tc>
          <w:tcPr>
            <w:tcW w:w="2127" w:type="dxa"/>
            <w:vMerge/>
            <w:tcBorders>
              <w:top w:val="single" w:sz="8" w:space="0" w:color="auto"/>
              <w:left w:val="single" w:sz="12" w:space="0" w:color="auto"/>
              <w:bottom w:val="single" w:sz="8" w:space="0" w:color="000000"/>
              <w:right w:val="single" w:sz="2" w:space="0" w:color="A6A6A6" w:themeColor="background1" w:themeShade="A6"/>
            </w:tcBorders>
            <w:vAlign w:val="center"/>
            <w:hideMark/>
          </w:tcPr>
          <w:p w14:paraId="3F1FB67C" w14:textId="77777777" w:rsidR="00D616F5" w:rsidRPr="00884312" w:rsidRDefault="00D616F5" w:rsidP="00E04834">
            <w:pPr>
              <w:spacing w:after="0" w:line="240" w:lineRule="auto"/>
              <w:rPr>
                <w:rFonts w:ascii="Calibri" w:hAnsi="Calibri"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bottom"/>
            <w:hideMark/>
          </w:tcPr>
          <w:p w14:paraId="3EA88804" w14:textId="77777777" w:rsidR="00D616F5" w:rsidRPr="00884312" w:rsidRDefault="00D616F5" w:rsidP="00E04834">
            <w:pPr>
              <w:spacing w:after="0" w:line="240" w:lineRule="auto"/>
              <w:rPr>
                <w:rFonts w:ascii="Calibri" w:hAnsi="Calibri" w:cs="Times New Roman"/>
                <w:color w:val="000000"/>
                <w:lang w:eastAsia="en-GB"/>
              </w:rPr>
            </w:pPr>
            <w:r w:rsidRPr="00884312">
              <w:rPr>
                <w:rFonts w:ascii="Calibri" w:hAnsi="Calibri" w:cs="Times New Roman"/>
                <w:color w:val="000000"/>
                <w:lang w:eastAsia="en-GB"/>
              </w:rPr>
              <w:t>Industry engagement (#1.2)</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6276DA8B" w14:textId="77777777" w:rsidR="00D616F5" w:rsidRPr="00884312" w:rsidRDefault="00D616F5" w:rsidP="00E04834">
            <w:pPr>
              <w:spacing w:after="0" w:line="240" w:lineRule="auto"/>
              <w:rPr>
                <w:rFonts w:ascii="Calibri" w:hAnsi="Calibri"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04AADF37" w14:textId="77777777" w:rsidR="00D616F5" w:rsidRPr="00884312" w:rsidRDefault="00D616F5" w:rsidP="00E04834">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2A41F6DB" w14:textId="77777777" w:rsidR="00D616F5" w:rsidRPr="00884312" w:rsidRDefault="00D616F5" w:rsidP="00E04834">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2D8B2A"/>
            <w:noWrap/>
            <w:vAlign w:val="bottom"/>
            <w:hideMark/>
          </w:tcPr>
          <w:p w14:paraId="3FA7FA0A" w14:textId="77777777" w:rsidR="00D616F5" w:rsidRPr="00884312" w:rsidRDefault="00D616F5" w:rsidP="00E04834">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clear" w:color="auto" w:fill="auto"/>
            <w:noWrap/>
            <w:vAlign w:val="bottom"/>
            <w:hideMark/>
          </w:tcPr>
          <w:p w14:paraId="2A301A3D" w14:textId="77777777" w:rsidR="00D616F5" w:rsidRPr="00884312" w:rsidRDefault="00D616F5" w:rsidP="00E04834">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r>
      <w:tr w:rsidR="00D616F5" w:rsidRPr="00F67643" w14:paraId="4B78BD41" w14:textId="77777777" w:rsidTr="00E04834">
        <w:trPr>
          <w:trHeight w:val="53"/>
        </w:trPr>
        <w:tc>
          <w:tcPr>
            <w:tcW w:w="2127" w:type="dxa"/>
            <w:vMerge/>
            <w:tcBorders>
              <w:top w:val="single" w:sz="8" w:space="0" w:color="auto"/>
              <w:left w:val="single" w:sz="12" w:space="0" w:color="auto"/>
              <w:bottom w:val="single" w:sz="8" w:space="0" w:color="000000"/>
              <w:right w:val="single" w:sz="2" w:space="0" w:color="A6A6A6" w:themeColor="background1" w:themeShade="A6"/>
            </w:tcBorders>
            <w:vAlign w:val="center"/>
            <w:hideMark/>
          </w:tcPr>
          <w:p w14:paraId="3EC2E107" w14:textId="77777777" w:rsidR="00D616F5" w:rsidRPr="00884312" w:rsidRDefault="00D616F5" w:rsidP="00E04834">
            <w:pPr>
              <w:spacing w:after="0" w:line="240" w:lineRule="auto"/>
              <w:rPr>
                <w:rFonts w:ascii="Calibri" w:hAnsi="Calibri"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bottom"/>
            <w:hideMark/>
          </w:tcPr>
          <w:p w14:paraId="553F8E54" w14:textId="77777777" w:rsidR="00D616F5" w:rsidRPr="00884312" w:rsidRDefault="00D616F5" w:rsidP="00E04834">
            <w:pPr>
              <w:spacing w:after="0" w:line="240" w:lineRule="auto"/>
              <w:rPr>
                <w:rFonts w:ascii="Calibri" w:hAnsi="Calibri" w:cs="Times New Roman"/>
                <w:color w:val="000000"/>
                <w:lang w:eastAsia="en-GB"/>
              </w:rPr>
            </w:pPr>
            <w:r w:rsidRPr="00884312">
              <w:rPr>
                <w:rFonts w:ascii="Calibri" w:hAnsi="Calibri" w:cs="Times New Roman"/>
                <w:color w:val="000000"/>
                <w:lang w:eastAsia="en-GB"/>
              </w:rPr>
              <w:t>Civil society engagement (#1.3)</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0243FC9E" w14:textId="77777777" w:rsidR="00D616F5" w:rsidRPr="00884312" w:rsidRDefault="00D616F5" w:rsidP="00E04834">
            <w:pPr>
              <w:spacing w:after="0" w:line="240" w:lineRule="auto"/>
              <w:rPr>
                <w:rFonts w:ascii="Calibri" w:hAnsi="Calibri"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053EF38C" w14:textId="77777777" w:rsidR="00D616F5" w:rsidRPr="00884312" w:rsidRDefault="00D616F5" w:rsidP="00E04834">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5B11F38A" w14:textId="77777777" w:rsidR="00D616F5" w:rsidRPr="00884312" w:rsidRDefault="00D616F5" w:rsidP="00E04834">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2D8B2A"/>
            <w:noWrap/>
            <w:vAlign w:val="bottom"/>
            <w:hideMark/>
          </w:tcPr>
          <w:p w14:paraId="5AB8D004" w14:textId="77777777" w:rsidR="00D616F5" w:rsidRPr="00884312" w:rsidRDefault="00D616F5" w:rsidP="00E04834">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clear" w:color="auto" w:fill="auto"/>
            <w:noWrap/>
            <w:vAlign w:val="bottom"/>
            <w:hideMark/>
          </w:tcPr>
          <w:p w14:paraId="7F11084F" w14:textId="77777777" w:rsidR="00D616F5" w:rsidRPr="00884312" w:rsidRDefault="00D616F5" w:rsidP="00E04834">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r>
      <w:tr w:rsidR="00D616F5" w:rsidRPr="00F67643" w14:paraId="5070A912" w14:textId="77777777" w:rsidTr="00E04834">
        <w:trPr>
          <w:trHeight w:val="258"/>
        </w:trPr>
        <w:tc>
          <w:tcPr>
            <w:tcW w:w="2127" w:type="dxa"/>
            <w:vMerge/>
            <w:tcBorders>
              <w:top w:val="single" w:sz="8" w:space="0" w:color="auto"/>
              <w:left w:val="single" w:sz="12" w:space="0" w:color="auto"/>
              <w:bottom w:val="single" w:sz="8" w:space="0" w:color="000000"/>
              <w:right w:val="single" w:sz="2" w:space="0" w:color="A6A6A6" w:themeColor="background1" w:themeShade="A6"/>
            </w:tcBorders>
            <w:vAlign w:val="center"/>
            <w:hideMark/>
          </w:tcPr>
          <w:p w14:paraId="72013882" w14:textId="77777777" w:rsidR="00D616F5" w:rsidRPr="00884312" w:rsidRDefault="00D616F5" w:rsidP="00E04834">
            <w:pPr>
              <w:spacing w:after="0" w:line="240" w:lineRule="auto"/>
              <w:rPr>
                <w:rFonts w:ascii="Calibri" w:hAnsi="Calibri"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bottom"/>
            <w:hideMark/>
          </w:tcPr>
          <w:p w14:paraId="33E1C186" w14:textId="77777777" w:rsidR="00D616F5" w:rsidRPr="00884312" w:rsidRDefault="00D616F5" w:rsidP="00E04834">
            <w:pPr>
              <w:spacing w:after="0" w:line="240" w:lineRule="auto"/>
              <w:rPr>
                <w:rFonts w:ascii="Calibri" w:hAnsi="Calibri" w:cs="Times New Roman"/>
                <w:color w:val="000000"/>
                <w:lang w:eastAsia="en-GB"/>
              </w:rPr>
            </w:pPr>
            <w:r w:rsidRPr="00884312">
              <w:rPr>
                <w:rFonts w:ascii="Calibri" w:hAnsi="Calibri" w:cs="Times New Roman"/>
                <w:color w:val="000000"/>
                <w:lang w:eastAsia="en-GB"/>
              </w:rPr>
              <w:t>MSG governance (#1.4)</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76C9F38A" w14:textId="77777777" w:rsidR="00D616F5" w:rsidRPr="00884312" w:rsidRDefault="00D616F5" w:rsidP="00E04834">
            <w:pPr>
              <w:spacing w:after="0" w:line="240" w:lineRule="auto"/>
              <w:rPr>
                <w:rFonts w:ascii="Calibri" w:hAnsi="Calibri"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3C90E860" w14:textId="77777777" w:rsidR="00D616F5" w:rsidRPr="00884312" w:rsidRDefault="00D616F5" w:rsidP="00E04834">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1E2F6C4A" w14:textId="77777777" w:rsidR="00D616F5" w:rsidRPr="00884312" w:rsidRDefault="00D616F5" w:rsidP="00E04834">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2D8B2A"/>
            <w:noWrap/>
            <w:vAlign w:val="bottom"/>
            <w:hideMark/>
          </w:tcPr>
          <w:p w14:paraId="1C5A1C51" w14:textId="77777777" w:rsidR="00D616F5" w:rsidRPr="00884312" w:rsidRDefault="00D616F5" w:rsidP="00E04834">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clear" w:color="auto" w:fill="auto"/>
            <w:noWrap/>
            <w:vAlign w:val="bottom"/>
            <w:hideMark/>
          </w:tcPr>
          <w:p w14:paraId="47FD0333" w14:textId="77777777" w:rsidR="00D616F5" w:rsidRPr="00884312" w:rsidRDefault="00D616F5" w:rsidP="00E04834">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r>
      <w:tr w:rsidR="00D616F5" w:rsidRPr="00F67643" w14:paraId="59FE1972" w14:textId="77777777" w:rsidTr="00E04834">
        <w:trPr>
          <w:trHeight w:val="53"/>
        </w:trPr>
        <w:tc>
          <w:tcPr>
            <w:tcW w:w="2127" w:type="dxa"/>
            <w:vMerge/>
            <w:tcBorders>
              <w:top w:val="single" w:sz="8" w:space="0" w:color="auto"/>
              <w:left w:val="single" w:sz="12" w:space="0" w:color="auto"/>
              <w:bottom w:val="single" w:sz="12" w:space="0" w:color="000000" w:themeColor="text1"/>
              <w:right w:val="single" w:sz="2" w:space="0" w:color="A6A6A6" w:themeColor="background1" w:themeShade="A6"/>
            </w:tcBorders>
            <w:vAlign w:val="center"/>
            <w:hideMark/>
          </w:tcPr>
          <w:p w14:paraId="0D1306D0" w14:textId="77777777" w:rsidR="00D616F5" w:rsidRPr="00884312" w:rsidRDefault="00D616F5" w:rsidP="00E04834">
            <w:pPr>
              <w:spacing w:after="0" w:line="240" w:lineRule="auto"/>
              <w:rPr>
                <w:rFonts w:ascii="Calibri" w:hAnsi="Calibri"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000000" w:fill="FFFFFF"/>
            <w:noWrap/>
            <w:vAlign w:val="bottom"/>
            <w:hideMark/>
          </w:tcPr>
          <w:p w14:paraId="2DF902ED" w14:textId="77777777" w:rsidR="00D616F5" w:rsidRPr="00884312" w:rsidRDefault="00D616F5" w:rsidP="00E04834">
            <w:pPr>
              <w:spacing w:after="0" w:line="240" w:lineRule="auto"/>
              <w:rPr>
                <w:rFonts w:ascii="Calibri" w:hAnsi="Calibri" w:cs="Times New Roman"/>
                <w:color w:val="000000"/>
                <w:lang w:eastAsia="en-GB"/>
              </w:rPr>
            </w:pPr>
            <w:r w:rsidRPr="00884312">
              <w:rPr>
                <w:rFonts w:ascii="Calibri" w:hAnsi="Calibri" w:cs="Times New Roman"/>
                <w:color w:val="000000"/>
                <w:lang w:eastAsia="en-GB"/>
              </w:rPr>
              <w:t>Work</w:t>
            </w:r>
            <w:r>
              <w:rPr>
                <w:rFonts w:ascii="Calibri" w:hAnsi="Calibri" w:cs="Times New Roman"/>
                <w:color w:val="000000"/>
                <w:lang w:eastAsia="en-GB"/>
              </w:rPr>
              <w:t xml:space="preserve"> </w:t>
            </w:r>
            <w:r w:rsidRPr="00884312">
              <w:rPr>
                <w:rFonts w:ascii="Calibri" w:hAnsi="Calibri" w:cs="Times New Roman"/>
                <w:color w:val="000000"/>
                <w:lang w:eastAsia="en-GB"/>
              </w:rPr>
              <w:t>plan (#1.5)</w:t>
            </w:r>
          </w:p>
        </w:tc>
        <w:tc>
          <w:tcPr>
            <w:tcW w:w="491"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tcPr>
          <w:p w14:paraId="44F1FBC3" w14:textId="77777777" w:rsidR="00D616F5" w:rsidRPr="00884312" w:rsidRDefault="00D616F5" w:rsidP="00E04834">
            <w:pPr>
              <w:spacing w:after="0" w:line="240" w:lineRule="auto"/>
              <w:rPr>
                <w:rFonts w:ascii="Calibri" w:hAnsi="Calibri"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auto" w:fill="auto"/>
            <w:noWrap/>
            <w:vAlign w:val="bottom"/>
            <w:hideMark/>
          </w:tcPr>
          <w:p w14:paraId="1254547D" w14:textId="77777777" w:rsidR="00D616F5" w:rsidRPr="00884312" w:rsidRDefault="00D616F5" w:rsidP="00E04834">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91"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auto" w:fill="auto"/>
            <w:noWrap/>
            <w:vAlign w:val="bottom"/>
            <w:hideMark/>
          </w:tcPr>
          <w:p w14:paraId="483A016C" w14:textId="77777777" w:rsidR="00D616F5" w:rsidRPr="00884312" w:rsidRDefault="00D616F5" w:rsidP="00E04834">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70"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auto" w:fill="2D8B2A"/>
            <w:noWrap/>
            <w:vAlign w:val="bottom"/>
            <w:hideMark/>
          </w:tcPr>
          <w:p w14:paraId="7455670B" w14:textId="77777777" w:rsidR="00D616F5" w:rsidRPr="00884312" w:rsidRDefault="00D616F5" w:rsidP="00E04834">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21" w:type="dxa"/>
            <w:tcBorders>
              <w:top w:val="single" w:sz="2" w:space="0" w:color="A6A6A6" w:themeColor="background1" w:themeShade="A6"/>
              <w:left w:val="single" w:sz="2" w:space="0" w:color="A6A6A6" w:themeColor="background1" w:themeShade="A6"/>
              <w:bottom w:val="single" w:sz="12" w:space="0" w:color="000000" w:themeColor="text1"/>
              <w:right w:val="single" w:sz="12" w:space="0" w:color="auto"/>
            </w:tcBorders>
            <w:shd w:val="clear" w:color="auto" w:fill="auto"/>
            <w:noWrap/>
            <w:vAlign w:val="bottom"/>
            <w:hideMark/>
          </w:tcPr>
          <w:p w14:paraId="0B5F16E6" w14:textId="77777777" w:rsidR="00D616F5" w:rsidRPr="00884312" w:rsidRDefault="00D616F5" w:rsidP="00E04834">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r>
      <w:tr w:rsidR="00D616F5" w:rsidRPr="00F67643" w14:paraId="69D17C60" w14:textId="77777777" w:rsidTr="00E04834">
        <w:trPr>
          <w:trHeight w:val="53"/>
        </w:trPr>
        <w:tc>
          <w:tcPr>
            <w:tcW w:w="2127" w:type="dxa"/>
            <w:vMerge w:val="restart"/>
            <w:tcBorders>
              <w:top w:val="single" w:sz="12" w:space="0" w:color="000000" w:themeColor="text1"/>
              <w:left w:val="single" w:sz="12" w:space="0" w:color="auto"/>
              <w:bottom w:val="single" w:sz="2" w:space="0" w:color="A6A6A6" w:themeColor="background1" w:themeShade="A6"/>
              <w:right w:val="single" w:sz="2" w:space="0" w:color="A6A6A6" w:themeColor="background1" w:themeShade="A6"/>
            </w:tcBorders>
            <w:shd w:val="clear" w:color="000000" w:fill="BFBFBF"/>
            <w:noWrap/>
            <w:vAlign w:val="center"/>
            <w:hideMark/>
          </w:tcPr>
          <w:p w14:paraId="0423047B" w14:textId="77777777" w:rsidR="00D616F5" w:rsidRPr="00884312" w:rsidRDefault="00D616F5" w:rsidP="00E04834">
            <w:pPr>
              <w:spacing w:after="0" w:line="240" w:lineRule="auto"/>
              <w:rPr>
                <w:rFonts w:ascii="Calibri" w:hAnsi="Calibri" w:cs="Times New Roman"/>
                <w:b/>
                <w:bCs/>
                <w:color w:val="000000"/>
                <w:lang w:eastAsia="en-GB"/>
              </w:rPr>
            </w:pPr>
            <w:r w:rsidRPr="00884312">
              <w:rPr>
                <w:rFonts w:ascii="Calibri" w:hAnsi="Calibri" w:cs="Times New Roman"/>
                <w:b/>
                <w:bCs/>
                <w:color w:val="000000"/>
                <w:lang w:eastAsia="en-GB"/>
              </w:rPr>
              <w:t>Licenses and contracts</w:t>
            </w:r>
          </w:p>
        </w:tc>
        <w:tc>
          <w:tcPr>
            <w:tcW w:w="4535" w:type="dxa"/>
            <w:gridSpan w:val="4"/>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center"/>
            <w:hideMark/>
          </w:tcPr>
          <w:p w14:paraId="4E6FA2E6" w14:textId="77777777" w:rsidR="00D616F5" w:rsidRPr="00884312" w:rsidRDefault="00D616F5" w:rsidP="00E04834">
            <w:pPr>
              <w:spacing w:after="0" w:line="240" w:lineRule="auto"/>
              <w:rPr>
                <w:rFonts w:ascii="Calibri" w:hAnsi="Calibri" w:cs="Times New Roman"/>
                <w:color w:val="000000"/>
                <w:lang w:eastAsia="en-GB"/>
              </w:rPr>
            </w:pPr>
            <w:r w:rsidRPr="00884312">
              <w:rPr>
                <w:rFonts w:ascii="Calibri" w:hAnsi="Calibri" w:cs="Times New Roman"/>
                <w:color w:val="000000"/>
                <w:lang w:eastAsia="en-GB"/>
              </w:rPr>
              <w:t>Legal framework (#2.1)</w:t>
            </w:r>
          </w:p>
        </w:tc>
        <w:tc>
          <w:tcPr>
            <w:tcW w:w="491"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tcPr>
          <w:p w14:paraId="2BC91E95" w14:textId="77777777" w:rsidR="00D616F5" w:rsidRPr="00884312" w:rsidRDefault="00D616F5" w:rsidP="00E04834">
            <w:pPr>
              <w:spacing w:after="0" w:line="240" w:lineRule="auto"/>
              <w:rPr>
                <w:rFonts w:ascii="Calibri" w:hAnsi="Calibri" w:cs="Times New Roman"/>
                <w:color w:val="000000"/>
                <w:lang w:eastAsia="en-GB"/>
              </w:rPr>
            </w:pPr>
          </w:p>
        </w:tc>
        <w:tc>
          <w:tcPr>
            <w:tcW w:w="532"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5DA7097A" w14:textId="77777777" w:rsidR="00D616F5" w:rsidRPr="00884312" w:rsidRDefault="00D616F5" w:rsidP="00E04834">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91"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6C2374DE" w14:textId="77777777" w:rsidR="00D616F5" w:rsidRPr="00884312" w:rsidRDefault="00D616F5" w:rsidP="00E04834">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70"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2D8B2A"/>
            <w:noWrap/>
            <w:vAlign w:val="bottom"/>
            <w:hideMark/>
          </w:tcPr>
          <w:p w14:paraId="274769E7" w14:textId="77777777" w:rsidR="00D616F5" w:rsidRPr="00884312" w:rsidRDefault="00D616F5" w:rsidP="00E04834">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21" w:type="dxa"/>
            <w:tcBorders>
              <w:top w:val="single" w:sz="12" w:space="0" w:color="000000" w:themeColor="text1"/>
              <w:left w:val="single" w:sz="2" w:space="0" w:color="A6A6A6" w:themeColor="background1" w:themeShade="A6"/>
              <w:bottom w:val="single" w:sz="2" w:space="0" w:color="A6A6A6" w:themeColor="background1" w:themeShade="A6"/>
              <w:right w:val="single" w:sz="12" w:space="0" w:color="auto"/>
            </w:tcBorders>
            <w:shd w:val="clear" w:color="auto" w:fill="auto"/>
            <w:noWrap/>
            <w:vAlign w:val="bottom"/>
            <w:hideMark/>
          </w:tcPr>
          <w:p w14:paraId="79B68321" w14:textId="77777777" w:rsidR="00D616F5" w:rsidRPr="00884312" w:rsidRDefault="00D616F5" w:rsidP="00E04834">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r>
      <w:tr w:rsidR="00D616F5" w:rsidRPr="00F67643" w14:paraId="218EE4D0" w14:textId="77777777" w:rsidTr="00E04834">
        <w:trPr>
          <w:trHeight w:val="53"/>
        </w:trPr>
        <w:tc>
          <w:tcPr>
            <w:tcW w:w="2127" w:type="dxa"/>
            <w:vMerge/>
            <w:tcBorders>
              <w:top w:val="single" w:sz="2" w:space="0" w:color="A6A6A6" w:themeColor="background1" w:themeShade="A6"/>
              <w:left w:val="single" w:sz="12" w:space="0" w:color="auto"/>
              <w:bottom w:val="single" w:sz="2" w:space="0" w:color="A6A6A6" w:themeColor="background1" w:themeShade="A6"/>
              <w:right w:val="single" w:sz="2" w:space="0" w:color="A6A6A6" w:themeColor="background1" w:themeShade="A6"/>
            </w:tcBorders>
            <w:vAlign w:val="center"/>
            <w:hideMark/>
          </w:tcPr>
          <w:p w14:paraId="249D6497" w14:textId="77777777" w:rsidR="00D616F5" w:rsidRPr="00884312" w:rsidRDefault="00D616F5" w:rsidP="00E04834">
            <w:pPr>
              <w:spacing w:after="0" w:line="240" w:lineRule="auto"/>
              <w:rPr>
                <w:rFonts w:ascii="Calibri" w:hAnsi="Calibri"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center"/>
            <w:hideMark/>
          </w:tcPr>
          <w:p w14:paraId="4528B60B" w14:textId="77777777" w:rsidR="00D616F5" w:rsidRPr="00884312" w:rsidRDefault="00D616F5" w:rsidP="00E04834">
            <w:pPr>
              <w:spacing w:after="0" w:line="240" w:lineRule="auto"/>
              <w:rPr>
                <w:rFonts w:ascii="Calibri" w:hAnsi="Calibri" w:cs="Times New Roman"/>
                <w:color w:val="000000"/>
                <w:lang w:eastAsia="en-GB"/>
              </w:rPr>
            </w:pPr>
            <w:r w:rsidRPr="00884312">
              <w:rPr>
                <w:rFonts w:ascii="Calibri" w:hAnsi="Calibri" w:cs="Times New Roman"/>
                <w:color w:val="000000"/>
                <w:lang w:eastAsia="en-GB"/>
              </w:rPr>
              <w:t>License allocations</w:t>
            </w:r>
            <w:r>
              <w:rPr>
                <w:rFonts w:ascii="Calibri" w:hAnsi="Calibri" w:cs="Times New Roman"/>
                <w:color w:val="000000"/>
                <w:lang w:eastAsia="en-GB"/>
              </w:rPr>
              <w:t xml:space="preserve"> </w:t>
            </w:r>
            <w:r w:rsidRPr="002815F4">
              <w:rPr>
                <w:rFonts w:ascii="Calibri" w:hAnsi="Calibri" w:cs="Times New Roman"/>
                <w:color w:val="000000"/>
                <w:lang w:eastAsia="en-GB"/>
              </w:rPr>
              <w:t>(#2.2)</w:t>
            </w:r>
            <w:r>
              <w:rPr>
                <w:rFonts w:ascii="Calibri" w:hAnsi="Calibri" w:cs="Times New Roman"/>
                <w:color w:val="000000"/>
                <w:lang w:eastAsia="en-GB"/>
              </w:rPr>
              <w:t xml:space="preserve"> </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45DC9EE2" w14:textId="77777777" w:rsidR="00D616F5" w:rsidRPr="00884312" w:rsidRDefault="00D616F5" w:rsidP="00E04834">
            <w:pPr>
              <w:spacing w:after="0" w:line="240" w:lineRule="auto"/>
              <w:rPr>
                <w:rFonts w:ascii="Calibri" w:hAnsi="Calibri"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3BC82A9B" w14:textId="77777777" w:rsidR="00D616F5" w:rsidRPr="00884312" w:rsidRDefault="00D616F5" w:rsidP="00E04834">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0917425F" w14:textId="77777777" w:rsidR="00D616F5" w:rsidRPr="00884312" w:rsidRDefault="00D616F5" w:rsidP="00E04834">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2D8B2A"/>
            <w:noWrap/>
            <w:vAlign w:val="bottom"/>
            <w:hideMark/>
          </w:tcPr>
          <w:p w14:paraId="5C59E39E" w14:textId="77777777" w:rsidR="00D616F5" w:rsidRPr="00884312" w:rsidRDefault="00D616F5" w:rsidP="00E04834">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clear" w:color="auto" w:fill="auto"/>
            <w:noWrap/>
            <w:vAlign w:val="bottom"/>
            <w:hideMark/>
          </w:tcPr>
          <w:p w14:paraId="7F7E0B92" w14:textId="77777777" w:rsidR="00D616F5" w:rsidRPr="00884312" w:rsidRDefault="00D616F5" w:rsidP="00E04834">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r>
      <w:tr w:rsidR="00D616F5" w:rsidRPr="00F67643" w14:paraId="4EAD235D" w14:textId="77777777" w:rsidTr="00E04834">
        <w:trPr>
          <w:trHeight w:val="53"/>
        </w:trPr>
        <w:tc>
          <w:tcPr>
            <w:tcW w:w="2127" w:type="dxa"/>
            <w:vMerge/>
            <w:tcBorders>
              <w:top w:val="single" w:sz="2" w:space="0" w:color="A6A6A6" w:themeColor="background1" w:themeShade="A6"/>
              <w:left w:val="single" w:sz="12" w:space="0" w:color="auto"/>
              <w:bottom w:val="single" w:sz="2" w:space="0" w:color="A6A6A6" w:themeColor="background1" w:themeShade="A6"/>
              <w:right w:val="single" w:sz="2" w:space="0" w:color="A6A6A6" w:themeColor="background1" w:themeShade="A6"/>
            </w:tcBorders>
            <w:vAlign w:val="center"/>
            <w:hideMark/>
          </w:tcPr>
          <w:p w14:paraId="01ECD44F" w14:textId="77777777" w:rsidR="00D616F5" w:rsidRPr="00884312" w:rsidRDefault="00D616F5" w:rsidP="00E04834">
            <w:pPr>
              <w:spacing w:after="0" w:line="240" w:lineRule="auto"/>
              <w:rPr>
                <w:rFonts w:ascii="Calibri" w:hAnsi="Calibri"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center"/>
            <w:hideMark/>
          </w:tcPr>
          <w:p w14:paraId="75999EE2" w14:textId="77777777" w:rsidR="00D616F5" w:rsidRPr="00884312" w:rsidRDefault="00D616F5" w:rsidP="00E04834">
            <w:pPr>
              <w:spacing w:after="0" w:line="240" w:lineRule="auto"/>
              <w:rPr>
                <w:rFonts w:ascii="Calibri" w:hAnsi="Calibri" w:cs="Times New Roman"/>
                <w:color w:val="000000"/>
                <w:lang w:eastAsia="en-GB"/>
              </w:rPr>
            </w:pPr>
            <w:r w:rsidRPr="00884312">
              <w:rPr>
                <w:rFonts w:ascii="Calibri" w:hAnsi="Calibri" w:cs="Times New Roman"/>
                <w:color w:val="000000"/>
                <w:lang w:eastAsia="en-GB"/>
              </w:rPr>
              <w:t>License register (#2.3)</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2171292F" w14:textId="77777777" w:rsidR="00D616F5" w:rsidRPr="00884312" w:rsidRDefault="00D616F5" w:rsidP="00E04834">
            <w:pPr>
              <w:spacing w:after="0" w:line="240" w:lineRule="auto"/>
              <w:rPr>
                <w:rFonts w:ascii="Calibri" w:hAnsi="Calibri"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0D45BBD5" w14:textId="77777777" w:rsidR="00D616F5" w:rsidRPr="00884312" w:rsidRDefault="00D616F5" w:rsidP="00E04834">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47437FFE" w14:textId="77777777" w:rsidR="00D616F5" w:rsidRPr="00884312" w:rsidRDefault="00D616F5" w:rsidP="00E04834">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2D8B2A"/>
            <w:noWrap/>
            <w:vAlign w:val="bottom"/>
            <w:hideMark/>
          </w:tcPr>
          <w:p w14:paraId="03921429" w14:textId="77777777" w:rsidR="00D616F5" w:rsidRPr="00884312" w:rsidRDefault="00D616F5" w:rsidP="00E04834">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clear" w:color="auto" w:fill="auto"/>
            <w:noWrap/>
            <w:vAlign w:val="bottom"/>
            <w:hideMark/>
          </w:tcPr>
          <w:p w14:paraId="161C170E" w14:textId="77777777" w:rsidR="00D616F5" w:rsidRPr="00884312" w:rsidRDefault="00D616F5" w:rsidP="00E04834">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r>
      <w:tr w:rsidR="00D616F5" w:rsidRPr="00F67643" w14:paraId="5F12C141" w14:textId="77777777" w:rsidTr="00E04834">
        <w:trPr>
          <w:trHeight w:val="53"/>
        </w:trPr>
        <w:tc>
          <w:tcPr>
            <w:tcW w:w="2127" w:type="dxa"/>
            <w:vMerge/>
            <w:tcBorders>
              <w:top w:val="single" w:sz="2" w:space="0" w:color="A6A6A6" w:themeColor="background1" w:themeShade="A6"/>
              <w:left w:val="single" w:sz="12" w:space="0" w:color="auto"/>
              <w:bottom w:val="single" w:sz="2" w:space="0" w:color="A6A6A6" w:themeColor="background1" w:themeShade="A6"/>
              <w:right w:val="single" w:sz="2" w:space="0" w:color="A6A6A6" w:themeColor="background1" w:themeShade="A6"/>
            </w:tcBorders>
            <w:vAlign w:val="center"/>
            <w:hideMark/>
          </w:tcPr>
          <w:p w14:paraId="6332983A" w14:textId="77777777" w:rsidR="00D616F5" w:rsidRPr="00884312" w:rsidRDefault="00D616F5" w:rsidP="00E04834">
            <w:pPr>
              <w:spacing w:after="0" w:line="240" w:lineRule="auto"/>
              <w:rPr>
                <w:rFonts w:ascii="Calibri" w:hAnsi="Calibri"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center"/>
            <w:hideMark/>
          </w:tcPr>
          <w:p w14:paraId="2706C310" w14:textId="77777777" w:rsidR="00D616F5" w:rsidRPr="00884312" w:rsidRDefault="00D616F5" w:rsidP="00E04834">
            <w:pPr>
              <w:spacing w:after="0" w:line="240" w:lineRule="auto"/>
              <w:rPr>
                <w:rFonts w:ascii="Calibri" w:hAnsi="Calibri" w:cs="Times New Roman"/>
                <w:color w:val="000000"/>
                <w:lang w:eastAsia="en-GB"/>
              </w:rPr>
            </w:pPr>
            <w:r w:rsidRPr="00884312">
              <w:rPr>
                <w:rFonts w:ascii="Calibri" w:hAnsi="Calibri" w:cs="Times New Roman"/>
                <w:color w:val="000000"/>
                <w:lang w:eastAsia="en-GB"/>
              </w:rPr>
              <w:t>Policy on contract disclosure (#2.4)</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4975F60F" w14:textId="77777777" w:rsidR="00D616F5" w:rsidRPr="00884312" w:rsidRDefault="00D616F5" w:rsidP="00E04834">
            <w:pPr>
              <w:spacing w:after="0" w:line="240" w:lineRule="auto"/>
              <w:rPr>
                <w:rFonts w:ascii="Calibri" w:hAnsi="Calibri"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4D6D6E99" w14:textId="77777777" w:rsidR="00D616F5" w:rsidRPr="00884312" w:rsidRDefault="00D616F5" w:rsidP="00E04834">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7A38B28E" w14:textId="77777777" w:rsidR="00D616F5" w:rsidRPr="00884312" w:rsidRDefault="00D616F5" w:rsidP="00E04834">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6C26DCA8" w14:textId="77777777" w:rsidR="00D616F5" w:rsidRPr="00884312" w:rsidRDefault="00D616F5" w:rsidP="00E04834">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clear" w:color="auto" w:fill="0076AF"/>
            <w:noWrap/>
            <w:vAlign w:val="bottom"/>
            <w:hideMark/>
          </w:tcPr>
          <w:p w14:paraId="29EC089A" w14:textId="77777777" w:rsidR="00D616F5" w:rsidRPr="00884312" w:rsidRDefault="00D616F5" w:rsidP="00E04834">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r>
      <w:tr w:rsidR="00D616F5" w:rsidRPr="00F67643" w14:paraId="1B580C4A" w14:textId="77777777" w:rsidTr="00E04834">
        <w:trPr>
          <w:trHeight w:val="53"/>
        </w:trPr>
        <w:tc>
          <w:tcPr>
            <w:tcW w:w="2127" w:type="dxa"/>
            <w:vMerge/>
            <w:tcBorders>
              <w:top w:val="single" w:sz="2" w:space="0" w:color="A6A6A6" w:themeColor="background1" w:themeShade="A6"/>
              <w:left w:val="single" w:sz="12" w:space="0" w:color="auto"/>
              <w:bottom w:val="single" w:sz="2" w:space="0" w:color="A6A6A6" w:themeColor="background1" w:themeShade="A6"/>
              <w:right w:val="single" w:sz="2" w:space="0" w:color="A6A6A6" w:themeColor="background1" w:themeShade="A6"/>
            </w:tcBorders>
            <w:vAlign w:val="center"/>
            <w:hideMark/>
          </w:tcPr>
          <w:p w14:paraId="6D8CB520" w14:textId="77777777" w:rsidR="00D616F5" w:rsidRPr="00884312" w:rsidRDefault="00D616F5" w:rsidP="00E04834">
            <w:pPr>
              <w:spacing w:after="0" w:line="240" w:lineRule="auto"/>
              <w:rPr>
                <w:rFonts w:ascii="Calibri" w:hAnsi="Calibri"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center"/>
            <w:hideMark/>
          </w:tcPr>
          <w:p w14:paraId="4A0D76A6" w14:textId="77777777" w:rsidR="00D616F5" w:rsidRPr="00884312" w:rsidRDefault="00D616F5" w:rsidP="00E04834">
            <w:pPr>
              <w:spacing w:after="0" w:line="240" w:lineRule="auto"/>
              <w:rPr>
                <w:rFonts w:ascii="Calibri" w:hAnsi="Calibri" w:cs="Times New Roman"/>
                <w:color w:val="000000"/>
                <w:lang w:eastAsia="en-GB"/>
              </w:rPr>
            </w:pPr>
            <w:r w:rsidRPr="00884312">
              <w:rPr>
                <w:rFonts w:ascii="Calibri" w:hAnsi="Calibri" w:cs="Times New Roman"/>
                <w:color w:val="000000"/>
                <w:lang w:eastAsia="en-GB"/>
              </w:rPr>
              <w:t>Beneficial ownership (#2.5)</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D9D9D9"/>
          </w:tcPr>
          <w:p w14:paraId="018D990C" w14:textId="77777777" w:rsidR="00D616F5" w:rsidRPr="00884312" w:rsidRDefault="00D616F5" w:rsidP="00E04834">
            <w:pPr>
              <w:spacing w:after="0" w:line="240" w:lineRule="auto"/>
              <w:rPr>
                <w:rFonts w:ascii="Calibri" w:hAnsi="Calibri"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D9D9D9"/>
            <w:noWrap/>
            <w:vAlign w:val="bottom"/>
            <w:hideMark/>
          </w:tcPr>
          <w:p w14:paraId="30351390" w14:textId="77777777" w:rsidR="00D616F5" w:rsidRPr="00884312" w:rsidRDefault="00D616F5" w:rsidP="00E04834">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D9D9D9"/>
            <w:noWrap/>
            <w:vAlign w:val="bottom"/>
            <w:hideMark/>
          </w:tcPr>
          <w:p w14:paraId="7F3C499C" w14:textId="77777777" w:rsidR="00D616F5" w:rsidRPr="00884312" w:rsidRDefault="00D616F5" w:rsidP="00E04834">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D9D9D9"/>
            <w:noWrap/>
            <w:vAlign w:val="bottom"/>
            <w:hideMark/>
          </w:tcPr>
          <w:p w14:paraId="46E0EA42" w14:textId="77777777" w:rsidR="00D616F5" w:rsidRPr="00884312" w:rsidRDefault="00D616F5" w:rsidP="00E04834">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clear" w:color="000000" w:fill="D9D9D9"/>
            <w:noWrap/>
            <w:vAlign w:val="bottom"/>
            <w:hideMark/>
          </w:tcPr>
          <w:p w14:paraId="3D87BC85" w14:textId="77777777" w:rsidR="00D616F5" w:rsidRPr="00884312" w:rsidRDefault="00D616F5" w:rsidP="00E04834">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r>
      <w:tr w:rsidR="00D616F5" w:rsidRPr="00F67643" w14:paraId="53DFC82D" w14:textId="77777777" w:rsidTr="00E04834">
        <w:trPr>
          <w:trHeight w:val="260"/>
        </w:trPr>
        <w:tc>
          <w:tcPr>
            <w:tcW w:w="2127" w:type="dxa"/>
            <w:vMerge/>
            <w:tcBorders>
              <w:top w:val="single" w:sz="2" w:space="0" w:color="A6A6A6" w:themeColor="background1" w:themeShade="A6"/>
              <w:left w:val="single" w:sz="12" w:space="0" w:color="auto"/>
              <w:bottom w:val="single" w:sz="12" w:space="0" w:color="000000" w:themeColor="text1"/>
              <w:right w:val="single" w:sz="2" w:space="0" w:color="A6A6A6" w:themeColor="background1" w:themeShade="A6"/>
            </w:tcBorders>
            <w:vAlign w:val="center"/>
            <w:hideMark/>
          </w:tcPr>
          <w:p w14:paraId="1BDC41C9" w14:textId="77777777" w:rsidR="00D616F5" w:rsidRPr="00884312" w:rsidRDefault="00D616F5" w:rsidP="00E04834">
            <w:pPr>
              <w:spacing w:after="0" w:line="240" w:lineRule="auto"/>
              <w:rPr>
                <w:rFonts w:ascii="Calibri" w:hAnsi="Calibri"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000000" w:fill="FFFFFF"/>
            <w:noWrap/>
            <w:vAlign w:val="center"/>
            <w:hideMark/>
          </w:tcPr>
          <w:p w14:paraId="6BD479C2" w14:textId="77777777" w:rsidR="00D616F5" w:rsidRPr="00884312" w:rsidRDefault="00D616F5" w:rsidP="00E04834">
            <w:pPr>
              <w:spacing w:after="0" w:line="240" w:lineRule="auto"/>
              <w:rPr>
                <w:rFonts w:ascii="Calibri" w:hAnsi="Calibri" w:cs="Times New Roman"/>
                <w:color w:val="000000"/>
                <w:lang w:eastAsia="en-GB"/>
              </w:rPr>
            </w:pPr>
            <w:r w:rsidRPr="00884312">
              <w:rPr>
                <w:rFonts w:ascii="Calibri" w:hAnsi="Calibri" w:cs="Times New Roman"/>
                <w:color w:val="000000"/>
                <w:lang w:eastAsia="en-GB"/>
              </w:rPr>
              <w:t>State participation (#2.6)</w:t>
            </w:r>
          </w:p>
        </w:tc>
        <w:tc>
          <w:tcPr>
            <w:tcW w:w="491"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auto" w:fill="FFFFFF" w:themeFill="background1"/>
          </w:tcPr>
          <w:p w14:paraId="514FFB17" w14:textId="77777777" w:rsidR="00D616F5" w:rsidRPr="00884312" w:rsidRDefault="00D616F5" w:rsidP="00E04834">
            <w:pPr>
              <w:spacing w:after="0" w:line="240" w:lineRule="auto"/>
              <w:rPr>
                <w:rFonts w:ascii="Calibri" w:hAnsi="Calibri"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auto" w:fill="FFFFFF" w:themeFill="background1"/>
            <w:noWrap/>
            <w:vAlign w:val="bottom"/>
            <w:hideMark/>
          </w:tcPr>
          <w:p w14:paraId="046085B0" w14:textId="77777777" w:rsidR="00D616F5" w:rsidRPr="00884312" w:rsidRDefault="00D616F5" w:rsidP="00E04834">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91"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auto" w:fill="84AE43"/>
            <w:noWrap/>
            <w:vAlign w:val="bottom"/>
            <w:hideMark/>
          </w:tcPr>
          <w:p w14:paraId="05F56CBC" w14:textId="77777777" w:rsidR="00D616F5" w:rsidRPr="00884312" w:rsidRDefault="00D616F5" w:rsidP="00E04834">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70"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auto" w:fill="FFFFFF" w:themeFill="background1"/>
            <w:noWrap/>
            <w:vAlign w:val="bottom"/>
            <w:hideMark/>
          </w:tcPr>
          <w:p w14:paraId="335919D3" w14:textId="77777777" w:rsidR="00D616F5" w:rsidRPr="00884312" w:rsidRDefault="00D616F5" w:rsidP="00E04834">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21" w:type="dxa"/>
            <w:tcBorders>
              <w:top w:val="single" w:sz="2" w:space="0" w:color="A6A6A6" w:themeColor="background1" w:themeShade="A6"/>
              <w:left w:val="single" w:sz="2" w:space="0" w:color="A6A6A6" w:themeColor="background1" w:themeShade="A6"/>
              <w:bottom w:val="single" w:sz="12" w:space="0" w:color="000000" w:themeColor="text1"/>
              <w:right w:val="single" w:sz="12" w:space="0" w:color="auto"/>
            </w:tcBorders>
            <w:shd w:val="clear" w:color="auto" w:fill="FFFFFF" w:themeFill="background1"/>
            <w:noWrap/>
            <w:vAlign w:val="bottom"/>
            <w:hideMark/>
          </w:tcPr>
          <w:p w14:paraId="7C408FF6" w14:textId="77777777" w:rsidR="00D616F5" w:rsidRPr="00884312" w:rsidRDefault="00D616F5" w:rsidP="00E04834">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r>
      <w:tr w:rsidR="00D616F5" w:rsidRPr="00F67643" w14:paraId="58F543CF" w14:textId="77777777" w:rsidTr="00E04834">
        <w:trPr>
          <w:trHeight w:val="234"/>
        </w:trPr>
        <w:tc>
          <w:tcPr>
            <w:tcW w:w="2127" w:type="dxa"/>
            <w:vMerge w:val="restart"/>
            <w:tcBorders>
              <w:top w:val="single" w:sz="12" w:space="0" w:color="000000" w:themeColor="text1"/>
              <w:left w:val="single" w:sz="12" w:space="0" w:color="auto"/>
              <w:bottom w:val="single" w:sz="2" w:space="0" w:color="A6A6A6" w:themeColor="background1" w:themeShade="A6"/>
              <w:right w:val="single" w:sz="2" w:space="0" w:color="A6A6A6" w:themeColor="background1" w:themeShade="A6"/>
            </w:tcBorders>
            <w:shd w:val="clear" w:color="000000" w:fill="BFBFBF"/>
            <w:noWrap/>
            <w:vAlign w:val="center"/>
            <w:hideMark/>
          </w:tcPr>
          <w:p w14:paraId="4B0F5145" w14:textId="77777777" w:rsidR="00D616F5" w:rsidRPr="00884312" w:rsidRDefault="00D616F5" w:rsidP="00E04834">
            <w:pPr>
              <w:spacing w:after="0" w:line="240" w:lineRule="auto"/>
              <w:rPr>
                <w:rFonts w:ascii="Calibri" w:hAnsi="Calibri" w:cs="Times New Roman"/>
                <w:b/>
                <w:bCs/>
                <w:color w:val="000000"/>
                <w:lang w:eastAsia="en-GB"/>
              </w:rPr>
            </w:pPr>
            <w:r w:rsidRPr="00884312">
              <w:rPr>
                <w:rFonts w:ascii="Calibri" w:hAnsi="Calibri" w:cs="Times New Roman"/>
                <w:b/>
                <w:bCs/>
                <w:color w:val="000000"/>
                <w:lang w:eastAsia="en-GB"/>
              </w:rPr>
              <w:t>Monitoring production</w:t>
            </w:r>
          </w:p>
        </w:tc>
        <w:tc>
          <w:tcPr>
            <w:tcW w:w="4535" w:type="dxa"/>
            <w:gridSpan w:val="4"/>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center"/>
            <w:hideMark/>
          </w:tcPr>
          <w:p w14:paraId="25ADA5A0" w14:textId="77777777" w:rsidR="00D616F5" w:rsidRPr="00884312" w:rsidRDefault="00D616F5" w:rsidP="00E04834">
            <w:pPr>
              <w:spacing w:after="0" w:line="240" w:lineRule="auto"/>
              <w:rPr>
                <w:rFonts w:ascii="Calibri" w:hAnsi="Calibri" w:cs="Times New Roman"/>
                <w:color w:val="000000"/>
                <w:lang w:eastAsia="en-GB"/>
              </w:rPr>
            </w:pPr>
            <w:r w:rsidRPr="00884312">
              <w:rPr>
                <w:rFonts w:ascii="Calibri" w:hAnsi="Calibri" w:cs="Times New Roman"/>
                <w:color w:val="000000"/>
                <w:lang w:eastAsia="en-GB"/>
              </w:rPr>
              <w:t>Exploration data (#3.1)</w:t>
            </w:r>
          </w:p>
        </w:tc>
        <w:tc>
          <w:tcPr>
            <w:tcW w:w="491"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tcPr>
          <w:p w14:paraId="11B7B1A3" w14:textId="77777777" w:rsidR="00D616F5" w:rsidRPr="00884312" w:rsidRDefault="00D616F5" w:rsidP="00E04834">
            <w:pPr>
              <w:spacing w:after="0" w:line="240" w:lineRule="auto"/>
              <w:rPr>
                <w:rFonts w:ascii="Calibri" w:hAnsi="Calibri" w:cs="Times New Roman"/>
                <w:color w:val="000000"/>
                <w:lang w:eastAsia="en-GB"/>
              </w:rPr>
            </w:pPr>
          </w:p>
        </w:tc>
        <w:tc>
          <w:tcPr>
            <w:tcW w:w="532"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noWrap/>
            <w:vAlign w:val="bottom"/>
            <w:hideMark/>
          </w:tcPr>
          <w:p w14:paraId="4F266AC5" w14:textId="77777777" w:rsidR="00D616F5" w:rsidRPr="00884312" w:rsidRDefault="00D616F5" w:rsidP="00E04834">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91"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noWrap/>
            <w:vAlign w:val="bottom"/>
            <w:hideMark/>
          </w:tcPr>
          <w:p w14:paraId="0FDAD605" w14:textId="77777777" w:rsidR="00D616F5" w:rsidRPr="00884312" w:rsidRDefault="00D616F5" w:rsidP="00E04834">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70"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2D8B2A"/>
            <w:noWrap/>
            <w:vAlign w:val="bottom"/>
            <w:hideMark/>
          </w:tcPr>
          <w:p w14:paraId="5951381C" w14:textId="77777777" w:rsidR="00D616F5" w:rsidRPr="00884312" w:rsidRDefault="00D616F5" w:rsidP="00E04834">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21" w:type="dxa"/>
            <w:tcBorders>
              <w:top w:val="single" w:sz="12" w:space="0" w:color="000000" w:themeColor="text1"/>
              <w:left w:val="single" w:sz="2" w:space="0" w:color="A6A6A6" w:themeColor="background1" w:themeShade="A6"/>
              <w:bottom w:val="single" w:sz="2" w:space="0" w:color="A6A6A6" w:themeColor="background1" w:themeShade="A6"/>
              <w:right w:val="single" w:sz="12" w:space="0" w:color="auto"/>
            </w:tcBorders>
            <w:shd w:val="clear" w:color="auto" w:fill="FFFFFF" w:themeFill="background1"/>
            <w:noWrap/>
            <w:vAlign w:val="bottom"/>
            <w:hideMark/>
          </w:tcPr>
          <w:p w14:paraId="1BE27027" w14:textId="77777777" w:rsidR="00D616F5" w:rsidRPr="00884312" w:rsidRDefault="00D616F5" w:rsidP="00E04834">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r>
      <w:tr w:rsidR="00D616F5" w:rsidRPr="00F67643" w14:paraId="4FC9C10C" w14:textId="77777777" w:rsidTr="00E04834">
        <w:trPr>
          <w:trHeight w:val="300"/>
        </w:trPr>
        <w:tc>
          <w:tcPr>
            <w:tcW w:w="2127" w:type="dxa"/>
            <w:vMerge/>
            <w:tcBorders>
              <w:top w:val="single" w:sz="2" w:space="0" w:color="A6A6A6" w:themeColor="background1" w:themeShade="A6"/>
              <w:left w:val="single" w:sz="12" w:space="0" w:color="auto"/>
              <w:bottom w:val="single" w:sz="2" w:space="0" w:color="A6A6A6" w:themeColor="background1" w:themeShade="A6"/>
              <w:right w:val="single" w:sz="2" w:space="0" w:color="A6A6A6" w:themeColor="background1" w:themeShade="A6"/>
            </w:tcBorders>
            <w:vAlign w:val="center"/>
            <w:hideMark/>
          </w:tcPr>
          <w:p w14:paraId="54374C84" w14:textId="77777777" w:rsidR="00D616F5" w:rsidRPr="00884312" w:rsidRDefault="00D616F5" w:rsidP="00E04834">
            <w:pPr>
              <w:spacing w:after="0" w:line="240" w:lineRule="auto"/>
              <w:rPr>
                <w:rFonts w:ascii="Calibri" w:hAnsi="Calibri"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center"/>
            <w:hideMark/>
          </w:tcPr>
          <w:p w14:paraId="687F4881" w14:textId="77777777" w:rsidR="00D616F5" w:rsidRPr="00884312" w:rsidRDefault="00D616F5" w:rsidP="00E04834">
            <w:pPr>
              <w:spacing w:after="0" w:line="240" w:lineRule="auto"/>
              <w:rPr>
                <w:rFonts w:ascii="Calibri" w:hAnsi="Calibri" w:cs="Times New Roman"/>
                <w:color w:val="000000"/>
                <w:lang w:eastAsia="en-GB"/>
              </w:rPr>
            </w:pPr>
            <w:r w:rsidRPr="00884312">
              <w:rPr>
                <w:rFonts w:ascii="Calibri" w:hAnsi="Calibri" w:cs="Times New Roman"/>
                <w:color w:val="000000"/>
                <w:lang w:eastAsia="en-GB"/>
              </w:rPr>
              <w:t>Production data (#3.2)</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tcPr>
          <w:p w14:paraId="760D73EC" w14:textId="77777777" w:rsidR="00D616F5" w:rsidRPr="00884312" w:rsidRDefault="00D616F5" w:rsidP="00E04834">
            <w:pPr>
              <w:spacing w:after="0" w:line="240" w:lineRule="auto"/>
              <w:rPr>
                <w:rFonts w:ascii="Calibri" w:hAnsi="Calibri"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noWrap/>
            <w:vAlign w:val="bottom"/>
            <w:hideMark/>
          </w:tcPr>
          <w:p w14:paraId="7D25169F" w14:textId="77777777" w:rsidR="00D616F5" w:rsidRPr="00884312" w:rsidRDefault="00D616F5" w:rsidP="00E04834">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84AE43"/>
            <w:noWrap/>
            <w:vAlign w:val="bottom"/>
            <w:hideMark/>
          </w:tcPr>
          <w:p w14:paraId="12E1D590" w14:textId="77777777" w:rsidR="00D616F5" w:rsidRPr="00884312" w:rsidRDefault="00D616F5" w:rsidP="00E04834">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noWrap/>
            <w:vAlign w:val="bottom"/>
            <w:hideMark/>
          </w:tcPr>
          <w:p w14:paraId="7CCABC44" w14:textId="77777777" w:rsidR="00D616F5" w:rsidRPr="00884312" w:rsidRDefault="00D616F5" w:rsidP="00E04834">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clear" w:color="auto" w:fill="FFFFFF" w:themeFill="background1"/>
            <w:noWrap/>
            <w:vAlign w:val="bottom"/>
            <w:hideMark/>
          </w:tcPr>
          <w:p w14:paraId="08A57D6F" w14:textId="77777777" w:rsidR="00D616F5" w:rsidRPr="00884312" w:rsidRDefault="00D616F5" w:rsidP="00E04834">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r>
      <w:tr w:rsidR="00D616F5" w:rsidRPr="00F67643" w14:paraId="5810A949" w14:textId="77777777" w:rsidTr="00E04834">
        <w:trPr>
          <w:trHeight w:val="300"/>
        </w:trPr>
        <w:tc>
          <w:tcPr>
            <w:tcW w:w="2127" w:type="dxa"/>
            <w:vMerge/>
            <w:tcBorders>
              <w:top w:val="single" w:sz="2" w:space="0" w:color="A6A6A6" w:themeColor="background1" w:themeShade="A6"/>
              <w:left w:val="single" w:sz="12" w:space="0" w:color="auto"/>
              <w:bottom w:val="single" w:sz="12" w:space="0" w:color="000000" w:themeColor="text1"/>
              <w:right w:val="single" w:sz="2" w:space="0" w:color="A6A6A6" w:themeColor="background1" w:themeShade="A6"/>
            </w:tcBorders>
            <w:vAlign w:val="center"/>
            <w:hideMark/>
          </w:tcPr>
          <w:p w14:paraId="09FFCC45" w14:textId="77777777" w:rsidR="00D616F5" w:rsidRPr="00884312" w:rsidRDefault="00D616F5" w:rsidP="00E04834">
            <w:pPr>
              <w:spacing w:after="0" w:line="240" w:lineRule="auto"/>
              <w:rPr>
                <w:rFonts w:ascii="Calibri" w:hAnsi="Calibri"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000000" w:fill="FFFFFF"/>
            <w:noWrap/>
            <w:vAlign w:val="center"/>
            <w:hideMark/>
          </w:tcPr>
          <w:p w14:paraId="354C1D8D" w14:textId="77777777" w:rsidR="00D616F5" w:rsidRPr="00884312" w:rsidRDefault="00D616F5" w:rsidP="00E04834">
            <w:pPr>
              <w:spacing w:after="0" w:line="240" w:lineRule="auto"/>
              <w:rPr>
                <w:rFonts w:ascii="Calibri" w:hAnsi="Calibri" w:cs="Times New Roman"/>
                <w:color w:val="000000"/>
                <w:lang w:eastAsia="en-GB"/>
              </w:rPr>
            </w:pPr>
            <w:r w:rsidRPr="00884312">
              <w:rPr>
                <w:rFonts w:ascii="Calibri" w:hAnsi="Calibri" w:cs="Times New Roman"/>
                <w:color w:val="000000"/>
                <w:lang w:eastAsia="en-GB"/>
              </w:rPr>
              <w:t>Export data (#3.3)</w:t>
            </w:r>
          </w:p>
        </w:tc>
        <w:tc>
          <w:tcPr>
            <w:tcW w:w="491"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auto" w:fill="FFFFFF" w:themeFill="background1"/>
          </w:tcPr>
          <w:p w14:paraId="441683B0" w14:textId="77777777" w:rsidR="00D616F5" w:rsidRPr="00884312" w:rsidRDefault="00D616F5" w:rsidP="00E04834">
            <w:pPr>
              <w:spacing w:after="0" w:line="240" w:lineRule="auto"/>
              <w:rPr>
                <w:rFonts w:ascii="Calibri" w:hAnsi="Calibri"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auto" w:fill="FFFFFF" w:themeFill="background1"/>
            <w:noWrap/>
            <w:vAlign w:val="bottom"/>
            <w:hideMark/>
          </w:tcPr>
          <w:p w14:paraId="2EC6CC22" w14:textId="77777777" w:rsidR="00D616F5" w:rsidRPr="00884312" w:rsidRDefault="00D616F5" w:rsidP="00E04834">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91"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auto" w:fill="FFFFFF" w:themeFill="background1"/>
            <w:noWrap/>
            <w:vAlign w:val="bottom"/>
            <w:hideMark/>
          </w:tcPr>
          <w:p w14:paraId="1B91FBFC" w14:textId="77777777" w:rsidR="00D616F5" w:rsidRPr="00884312" w:rsidRDefault="00D616F5" w:rsidP="00E04834">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70"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auto" w:fill="2D8B2A"/>
            <w:noWrap/>
            <w:vAlign w:val="bottom"/>
            <w:hideMark/>
          </w:tcPr>
          <w:p w14:paraId="4A7CBEE6" w14:textId="77777777" w:rsidR="00D616F5" w:rsidRPr="00884312" w:rsidRDefault="00D616F5" w:rsidP="00E04834">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21" w:type="dxa"/>
            <w:tcBorders>
              <w:top w:val="single" w:sz="2" w:space="0" w:color="A6A6A6" w:themeColor="background1" w:themeShade="A6"/>
              <w:left w:val="single" w:sz="2" w:space="0" w:color="A6A6A6" w:themeColor="background1" w:themeShade="A6"/>
              <w:bottom w:val="single" w:sz="12" w:space="0" w:color="000000" w:themeColor="text1"/>
              <w:right w:val="single" w:sz="12" w:space="0" w:color="auto"/>
            </w:tcBorders>
            <w:shd w:val="clear" w:color="auto" w:fill="FFFFFF" w:themeFill="background1"/>
            <w:noWrap/>
            <w:vAlign w:val="bottom"/>
            <w:hideMark/>
          </w:tcPr>
          <w:p w14:paraId="2EB45AEB" w14:textId="77777777" w:rsidR="00D616F5" w:rsidRPr="00884312" w:rsidRDefault="00D616F5" w:rsidP="00E04834">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r>
      <w:tr w:rsidR="00D616F5" w:rsidRPr="00F67643" w14:paraId="6406B196" w14:textId="77777777" w:rsidTr="00E04834">
        <w:trPr>
          <w:trHeight w:val="285"/>
        </w:trPr>
        <w:tc>
          <w:tcPr>
            <w:tcW w:w="2127" w:type="dxa"/>
            <w:vMerge w:val="restart"/>
            <w:tcBorders>
              <w:top w:val="single" w:sz="12" w:space="0" w:color="000000" w:themeColor="text1"/>
              <w:left w:val="single" w:sz="12" w:space="0" w:color="auto"/>
              <w:bottom w:val="single" w:sz="2" w:space="0" w:color="A6A6A6" w:themeColor="background1" w:themeShade="A6"/>
              <w:right w:val="single" w:sz="2" w:space="0" w:color="A6A6A6" w:themeColor="background1" w:themeShade="A6"/>
            </w:tcBorders>
            <w:shd w:val="clear" w:color="000000" w:fill="BFBFBF"/>
            <w:noWrap/>
            <w:vAlign w:val="center"/>
            <w:hideMark/>
          </w:tcPr>
          <w:p w14:paraId="123B2D0A" w14:textId="77777777" w:rsidR="00D616F5" w:rsidRPr="00884312" w:rsidRDefault="00D616F5" w:rsidP="00E04834">
            <w:pPr>
              <w:spacing w:after="0" w:line="240" w:lineRule="auto"/>
              <w:rPr>
                <w:rFonts w:ascii="Calibri" w:hAnsi="Calibri" w:cs="Times New Roman"/>
                <w:b/>
                <w:bCs/>
                <w:color w:val="000000"/>
                <w:lang w:eastAsia="en-GB"/>
              </w:rPr>
            </w:pPr>
            <w:r w:rsidRPr="00884312">
              <w:rPr>
                <w:rFonts w:ascii="Calibri" w:hAnsi="Calibri" w:cs="Times New Roman"/>
                <w:b/>
                <w:bCs/>
                <w:color w:val="000000"/>
                <w:lang w:eastAsia="en-GB"/>
              </w:rPr>
              <w:t>Revenue collection</w:t>
            </w:r>
          </w:p>
        </w:tc>
        <w:tc>
          <w:tcPr>
            <w:tcW w:w="4535" w:type="dxa"/>
            <w:gridSpan w:val="4"/>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center"/>
            <w:hideMark/>
          </w:tcPr>
          <w:p w14:paraId="033B921B" w14:textId="77777777" w:rsidR="00D616F5" w:rsidRPr="00884312" w:rsidRDefault="00D616F5" w:rsidP="00E04834">
            <w:pPr>
              <w:spacing w:after="0" w:line="240" w:lineRule="auto"/>
              <w:rPr>
                <w:rFonts w:ascii="Calibri" w:hAnsi="Calibri" w:cs="Times New Roman"/>
                <w:color w:val="000000"/>
                <w:lang w:eastAsia="en-GB"/>
              </w:rPr>
            </w:pPr>
            <w:r w:rsidRPr="00884312">
              <w:rPr>
                <w:rFonts w:ascii="Calibri" w:hAnsi="Calibri" w:cs="Times New Roman"/>
                <w:color w:val="000000"/>
                <w:lang w:eastAsia="en-GB"/>
              </w:rPr>
              <w:t>Comprehensiveness (#4.1)</w:t>
            </w:r>
          </w:p>
        </w:tc>
        <w:tc>
          <w:tcPr>
            <w:tcW w:w="491"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tcPr>
          <w:p w14:paraId="1F60D580" w14:textId="77777777" w:rsidR="00D616F5" w:rsidRPr="00884312" w:rsidRDefault="00D616F5" w:rsidP="00E04834">
            <w:pPr>
              <w:spacing w:after="0" w:line="240" w:lineRule="auto"/>
              <w:rPr>
                <w:rFonts w:ascii="Calibri" w:hAnsi="Calibri" w:cs="Times New Roman"/>
                <w:color w:val="000000"/>
                <w:lang w:eastAsia="en-GB"/>
              </w:rPr>
            </w:pPr>
          </w:p>
        </w:tc>
        <w:tc>
          <w:tcPr>
            <w:tcW w:w="532"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noWrap/>
            <w:vAlign w:val="bottom"/>
            <w:hideMark/>
          </w:tcPr>
          <w:p w14:paraId="60EB521D" w14:textId="77777777" w:rsidR="00D616F5" w:rsidRPr="00884312" w:rsidRDefault="00D616F5" w:rsidP="00E04834">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91"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noWrap/>
            <w:vAlign w:val="bottom"/>
            <w:hideMark/>
          </w:tcPr>
          <w:p w14:paraId="3EB9FF5F" w14:textId="77777777" w:rsidR="00D616F5" w:rsidRPr="00884312" w:rsidRDefault="00D616F5" w:rsidP="00E04834">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70"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2D8B2A"/>
            <w:noWrap/>
            <w:vAlign w:val="bottom"/>
            <w:hideMark/>
          </w:tcPr>
          <w:p w14:paraId="0086BB61" w14:textId="77777777" w:rsidR="00D616F5" w:rsidRPr="00884312" w:rsidRDefault="00D616F5" w:rsidP="00E04834">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21" w:type="dxa"/>
            <w:tcBorders>
              <w:top w:val="single" w:sz="12" w:space="0" w:color="000000" w:themeColor="text1"/>
              <w:left w:val="single" w:sz="2" w:space="0" w:color="A6A6A6" w:themeColor="background1" w:themeShade="A6"/>
              <w:bottom w:val="single" w:sz="2" w:space="0" w:color="A6A6A6" w:themeColor="background1" w:themeShade="A6"/>
              <w:right w:val="single" w:sz="12" w:space="0" w:color="auto"/>
            </w:tcBorders>
            <w:shd w:val="clear" w:color="auto" w:fill="FFFFFF" w:themeFill="background1"/>
            <w:noWrap/>
            <w:vAlign w:val="bottom"/>
            <w:hideMark/>
          </w:tcPr>
          <w:p w14:paraId="4BCF1FE0" w14:textId="77777777" w:rsidR="00D616F5" w:rsidRPr="00884312" w:rsidRDefault="00D616F5" w:rsidP="00E04834">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r>
      <w:tr w:rsidR="00D616F5" w:rsidRPr="00F67643" w14:paraId="2074BE0F" w14:textId="77777777" w:rsidTr="00E04834">
        <w:trPr>
          <w:trHeight w:val="53"/>
        </w:trPr>
        <w:tc>
          <w:tcPr>
            <w:tcW w:w="2127" w:type="dxa"/>
            <w:vMerge/>
            <w:tcBorders>
              <w:top w:val="single" w:sz="2" w:space="0" w:color="A6A6A6" w:themeColor="background1" w:themeShade="A6"/>
              <w:left w:val="single" w:sz="12" w:space="0" w:color="auto"/>
              <w:bottom w:val="single" w:sz="2" w:space="0" w:color="A6A6A6" w:themeColor="background1" w:themeShade="A6"/>
              <w:right w:val="single" w:sz="2" w:space="0" w:color="A6A6A6" w:themeColor="background1" w:themeShade="A6"/>
            </w:tcBorders>
            <w:vAlign w:val="center"/>
            <w:hideMark/>
          </w:tcPr>
          <w:p w14:paraId="6FD7AB4B" w14:textId="77777777" w:rsidR="00D616F5" w:rsidRPr="00884312" w:rsidRDefault="00D616F5" w:rsidP="00E04834">
            <w:pPr>
              <w:spacing w:after="0" w:line="240" w:lineRule="auto"/>
              <w:rPr>
                <w:rFonts w:ascii="Calibri" w:hAnsi="Calibri"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center"/>
            <w:hideMark/>
          </w:tcPr>
          <w:p w14:paraId="3FD35A5A" w14:textId="77777777" w:rsidR="00D616F5" w:rsidRPr="00884312" w:rsidRDefault="00D616F5" w:rsidP="00E04834">
            <w:pPr>
              <w:spacing w:after="0" w:line="240" w:lineRule="auto"/>
              <w:rPr>
                <w:rFonts w:ascii="Calibri" w:hAnsi="Calibri" w:cs="Times New Roman"/>
                <w:color w:val="000000"/>
                <w:lang w:eastAsia="en-GB"/>
              </w:rPr>
            </w:pPr>
            <w:r w:rsidRPr="00884312">
              <w:rPr>
                <w:rFonts w:ascii="Calibri" w:hAnsi="Calibri" w:cs="Times New Roman"/>
                <w:color w:val="000000"/>
                <w:lang w:eastAsia="en-GB"/>
              </w:rPr>
              <w:t>In-kind revenues (#4.2)</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diagStripe" w:color="auto" w:fill="FFFFFF" w:themeFill="background1"/>
          </w:tcPr>
          <w:p w14:paraId="2A3DFD26" w14:textId="77777777" w:rsidR="00D616F5" w:rsidRPr="00884312" w:rsidRDefault="00D616F5" w:rsidP="00E04834">
            <w:pPr>
              <w:spacing w:after="0" w:line="240" w:lineRule="auto"/>
              <w:rPr>
                <w:rFonts w:ascii="Calibri" w:hAnsi="Calibri"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diagStripe" w:color="auto" w:fill="FFFFFF" w:themeFill="background1"/>
            <w:noWrap/>
            <w:vAlign w:val="bottom"/>
            <w:hideMark/>
          </w:tcPr>
          <w:p w14:paraId="2725551A" w14:textId="77777777" w:rsidR="00D616F5" w:rsidRPr="00884312" w:rsidRDefault="00D616F5" w:rsidP="00E04834">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diagStripe" w:color="auto" w:fill="FFFFFF" w:themeFill="background1"/>
            <w:noWrap/>
            <w:vAlign w:val="bottom"/>
            <w:hideMark/>
          </w:tcPr>
          <w:p w14:paraId="5E3E860F" w14:textId="77777777" w:rsidR="00D616F5" w:rsidRPr="00884312" w:rsidRDefault="00D616F5" w:rsidP="00E04834">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diagStripe" w:color="auto" w:fill="FFFFFF" w:themeFill="background1"/>
            <w:noWrap/>
            <w:vAlign w:val="bottom"/>
            <w:hideMark/>
          </w:tcPr>
          <w:p w14:paraId="1FA9CF75" w14:textId="77777777" w:rsidR="00D616F5" w:rsidRPr="00884312" w:rsidRDefault="00D616F5" w:rsidP="00E04834">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diagStripe" w:color="auto" w:fill="FFFFFF" w:themeFill="background1"/>
            <w:noWrap/>
            <w:vAlign w:val="bottom"/>
            <w:hideMark/>
          </w:tcPr>
          <w:p w14:paraId="50888575" w14:textId="77777777" w:rsidR="00D616F5" w:rsidRPr="00884312" w:rsidRDefault="00D616F5" w:rsidP="00E04834">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r>
      <w:tr w:rsidR="00D616F5" w:rsidRPr="00F67643" w14:paraId="6C3E2BDB" w14:textId="77777777" w:rsidTr="00E04834">
        <w:trPr>
          <w:trHeight w:val="77"/>
        </w:trPr>
        <w:tc>
          <w:tcPr>
            <w:tcW w:w="2127" w:type="dxa"/>
            <w:vMerge/>
            <w:tcBorders>
              <w:top w:val="single" w:sz="2" w:space="0" w:color="A6A6A6" w:themeColor="background1" w:themeShade="A6"/>
              <w:left w:val="single" w:sz="12" w:space="0" w:color="auto"/>
              <w:bottom w:val="single" w:sz="2" w:space="0" w:color="A6A6A6" w:themeColor="background1" w:themeShade="A6"/>
              <w:right w:val="single" w:sz="2" w:space="0" w:color="A6A6A6" w:themeColor="background1" w:themeShade="A6"/>
            </w:tcBorders>
            <w:vAlign w:val="center"/>
            <w:hideMark/>
          </w:tcPr>
          <w:p w14:paraId="39AC1626" w14:textId="77777777" w:rsidR="00D616F5" w:rsidRPr="00884312" w:rsidRDefault="00D616F5" w:rsidP="00E04834">
            <w:pPr>
              <w:spacing w:after="0" w:line="240" w:lineRule="auto"/>
              <w:rPr>
                <w:rFonts w:ascii="Calibri" w:hAnsi="Calibri"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center"/>
            <w:hideMark/>
          </w:tcPr>
          <w:p w14:paraId="19DA7B56" w14:textId="77777777" w:rsidR="00D616F5" w:rsidRPr="00884312" w:rsidRDefault="00D616F5" w:rsidP="00E04834">
            <w:pPr>
              <w:spacing w:after="0" w:line="240" w:lineRule="auto"/>
              <w:rPr>
                <w:rFonts w:ascii="Calibri" w:hAnsi="Calibri" w:cs="Times New Roman"/>
                <w:color w:val="000000"/>
                <w:lang w:eastAsia="en-GB"/>
              </w:rPr>
            </w:pPr>
            <w:r w:rsidRPr="00884312">
              <w:rPr>
                <w:rFonts w:ascii="Calibri" w:hAnsi="Calibri" w:cs="Times New Roman"/>
                <w:color w:val="000000"/>
                <w:lang w:eastAsia="en-GB"/>
              </w:rPr>
              <w:t>Barter agreements (#4.3)</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tcPr>
          <w:p w14:paraId="6DBA4950" w14:textId="77777777" w:rsidR="00D616F5" w:rsidRPr="00884312" w:rsidRDefault="00D616F5" w:rsidP="00E04834">
            <w:pPr>
              <w:spacing w:after="0" w:line="240" w:lineRule="auto"/>
              <w:rPr>
                <w:rFonts w:ascii="Calibri" w:hAnsi="Calibri"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noWrap/>
            <w:vAlign w:val="bottom"/>
            <w:hideMark/>
          </w:tcPr>
          <w:p w14:paraId="1E9B6F4F" w14:textId="77777777" w:rsidR="00D616F5" w:rsidRPr="00884312" w:rsidRDefault="00D616F5" w:rsidP="00E04834">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noWrap/>
            <w:vAlign w:val="bottom"/>
            <w:hideMark/>
          </w:tcPr>
          <w:p w14:paraId="4C09FD18" w14:textId="77777777" w:rsidR="00D616F5" w:rsidRPr="00884312" w:rsidRDefault="00D616F5" w:rsidP="00E04834">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2D8B2A"/>
            <w:noWrap/>
            <w:vAlign w:val="bottom"/>
            <w:hideMark/>
          </w:tcPr>
          <w:p w14:paraId="363F61ED" w14:textId="77777777" w:rsidR="00D616F5" w:rsidRPr="00884312" w:rsidRDefault="00D616F5" w:rsidP="00E04834">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clear" w:color="auto" w:fill="FFFFFF" w:themeFill="background1"/>
            <w:noWrap/>
            <w:vAlign w:val="bottom"/>
            <w:hideMark/>
          </w:tcPr>
          <w:p w14:paraId="389CA3A1" w14:textId="77777777" w:rsidR="00D616F5" w:rsidRPr="00884312" w:rsidRDefault="00D616F5" w:rsidP="00E04834">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r>
      <w:tr w:rsidR="00D616F5" w:rsidRPr="00F67643" w14:paraId="5594C309" w14:textId="77777777" w:rsidTr="00E04834">
        <w:trPr>
          <w:trHeight w:val="53"/>
        </w:trPr>
        <w:tc>
          <w:tcPr>
            <w:tcW w:w="2127" w:type="dxa"/>
            <w:vMerge/>
            <w:tcBorders>
              <w:top w:val="single" w:sz="2" w:space="0" w:color="A6A6A6" w:themeColor="background1" w:themeShade="A6"/>
              <w:left w:val="single" w:sz="12" w:space="0" w:color="auto"/>
              <w:bottom w:val="single" w:sz="2" w:space="0" w:color="A6A6A6" w:themeColor="background1" w:themeShade="A6"/>
              <w:right w:val="single" w:sz="2" w:space="0" w:color="A6A6A6" w:themeColor="background1" w:themeShade="A6"/>
            </w:tcBorders>
            <w:vAlign w:val="center"/>
            <w:hideMark/>
          </w:tcPr>
          <w:p w14:paraId="28255EA1" w14:textId="77777777" w:rsidR="00D616F5" w:rsidRPr="00884312" w:rsidRDefault="00D616F5" w:rsidP="00E04834">
            <w:pPr>
              <w:spacing w:after="0" w:line="240" w:lineRule="auto"/>
              <w:rPr>
                <w:rFonts w:ascii="Calibri" w:hAnsi="Calibri"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center"/>
            <w:hideMark/>
          </w:tcPr>
          <w:p w14:paraId="3CAC19E2" w14:textId="77777777" w:rsidR="00D616F5" w:rsidRPr="00884312" w:rsidRDefault="00D616F5" w:rsidP="00E04834">
            <w:pPr>
              <w:spacing w:after="0" w:line="240" w:lineRule="auto"/>
              <w:rPr>
                <w:rFonts w:ascii="Calibri" w:hAnsi="Calibri" w:cs="Times New Roman"/>
                <w:color w:val="000000"/>
                <w:lang w:eastAsia="en-GB"/>
              </w:rPr>
            </w:pPr>
            <w:r w:rsidRPr="00884312">
              <w:rPr>
                <w:rFonts w:ascii="Calibri" w:hAnsi="Calibri" w:cs="Times New Roman"/>
                <w:color w:val="000000"/>
                <w:lang w:eastAsia="en-GB"/>
              </w:rPr>
              <w:t>Transportation revenues (#4.4)</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tcPr>
          <w:p w14:paraId="3169D350" w14:textId="77777777" w:rsidR="00D616F5" w:rsidRPr="00884312" w:rsidRDefault="00D616F5" w:rsidP="00E04834">
            <w:pPr>
              <w:spacing w:after="0" w:line="240" w:lineRule="auto"/>
              <w:rPr>
                <w:rFonts w:ascii="Calibri" w:hAnsi="Calibri"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noWrap/>
            <w:vAlign w:val="bottom"/>
            <w:hideMark/>
          </w:tcPr>
          <w:p w14:paraId="43DC603B" w14:textId="77777777" w:rsidR="00D616F5" w:rsidRPr="00884312" w:rsidRDefault="00D616F5" w:rsidP="00E04834">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noWrap/>
            <w:vAlign w:val="center"/>
            <w:hideMark/>
          </w:tcPr>
          <w:p w14:paraId="78648BCD" w14:textId="77777777" w:rsidR="00D616F5" w:rsidRPr="00884312" w:rsidRDefault="00D616F5" w:rsidP="00E04834">
            <w:pPr>
              <w:spacing w:after="0" w:line="240" w:lineRule="auto"/>
              <w:jc w:val="center"/>
              <w:rPr>
                <w:rFonts w:ascii="Calibri" w:hAnsi="Calibri" w:cs="Times New Roman"/>
                <w:color w:val="00B050"/>
                <w:lang w:eastAsia="en-GB"/>
              </w:rPr>
            </w:pPr>
            <w:r w:rsidRPr="00884312">
              <w:rPr>
                <w:rFonts w:ascii="Calibri" w:hAnsi="Calibri" w:cs="Times New Roman"/>
                <w:color w:val="00B050"/>
                <w:lang w:eastAsia="en-GB"/>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2D8B2A"/>
            <w:noWrap/>
            <w:vAlign w:val="center"/>
            <w:hideMark/>
          </w:tcPr>
          <w:p w14:paraId="4454258B" w14:textId="77777777" w:rsidR="00D616F5" w:rsidRPr="00884312" w:rsidRDefault="00D616F5" w:rsidP="00E04834">
            <w:pPr>
              <w:spacing w:after="0" w:line="240" w:lineRule="auto"/>
              <w:jc w:val="center"/>
              <w:rPr>
                <w:rFonts w:ascii="Calibri" w:hAnsi="Calibri" w:cs="Times New Roman"/>
                <w:color w:val="00B050"/>
                <w:lang w:eastAsia="en-GB"/>
              </w:rPr>
            </w:pPr>
            <w:r w:rsidRPr="00884312">
              <w:rPr>
                <w:rFonts w:ascii="Calibri" w:hAnsi="Calibri" w:cs="Times New Roman"/>
                <w:color w:val="00B050"/>
                <w:lang w:eastAsia="en-GB"/>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clear" w:color="auto" w:fill="FFFFFF" w:themeFill="background1"/>
            <w:noWrap/>
            <w:vAlign w:val="center"/>
            <w:hideMark/>
          </w:tcPr>
          <w:p w14:paraId="6B3118E4" w14:textId="77777777" w:rsidR="00D616F5" w:rsidRPr="00884312" w:rsidRDefault="00D616F5" w:rsidP="00E04834">
            <w:pPr>
              <w:spacing w:after="0" w:line="240" w:lineRule="auto"/>
              <w:jc w:val="center"/>
              <w:rPr>
                <w:rFonts w:ascii="Calibri" w:hAnsi="Calibri" w:cs="Times New Roman"/>
                <w:color w:val="00B050"/>
                <w:lang w:eastAsia="en-GB"/>
              </w:rPr>
            </w:pPr>
            <w:r w:rsidRPr="00884312">
              <w:rPr>
                <w:rFonts w:ascii="Calibri" w:hAnsi="Calibri" w:cs="Times New Roman"/>
                <w:color w:val="00B050"/>
                <w:lang w:eastAsia="en-GB"/>
              </w:rPr>
              <w:t> </w:t>
            </w:r>
          </w:p>
        </w:tc>
      </w:tr>
      <w:tr w:rsidR="00D616F5" w:rsidRPr="00F67643" w14:paraId="11576AAD" w14:textId="77777777" w:rsidTr="00E04834">
        <w:trPr>
          <w:trHeight w:val="53"/>
        </w:trPr>
        <w:tc>
          <w:tcPr>
            <w:tcW w:w="2127" w:type="dxa"/>
            <w:vMerge/>
            <w:tcBorders>
              <w:top w:val="single" w:sz="2" w:space="0" w:color="A6A6A6" w:themeColor="background1" w:themeShade="A6"/>
              <w:left w:val="single" w:sz="12" w:space="0" w:color="auto"/>
              <w:bottom w:val="single" w:sz="2" w:space="0" w:color="A6A6A6" w:themeColor="background1" w:themeShade="A6"/>
              <w:right w:val="single" w:sz="2" w:space="0" w:color="A6A6A6" w:themeColor="background1" w:themeShade="A6"/>
            </w:tcBorders>
            <w:vAlign w:val="center"/>
            <w:hideMark/>
          </w:tcPr>
          <w:p w14:paraId="470B12CD" w14:textId="77777777" w:rsidR="00D616F5" w:rsidRPr="00884312" w:rsidRDefault="00D616F5" w:rsidP="00E04834">
            <w:pPr>
              <w:spacing w:after="0" w:line="240" w:lineRule="auto"/>
              <w:rPr>
                <w:rFonts w:ascii="Calibri" w:hAnsi="Calibri"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center"/>
            <w:hideMark/>
          </w:tcPr>
          <w:p w14:paraId="0EDD16D8" w14:textId="77777777" w:rsidR="00D616F5" w:rsidRPr="00884312" w:rsidRDefault="00D616F5" w:rsidP="00E04834">
            <w:pPr>
              <w:spacing w:after="0" w:line="240" w:lineRule="auto"/>
              <w:rPr>
                <w:rFonts w:ascii="Calibri" w:hAnsi="Calibri" w:cs="Times New Roman"/>
                <w:color w:val="000000"/>
                <w:lang w:eastAsia="en-GB"/>
              </w:rPr>
            </w:pPr>
            <w:r w:rsidRPr="00884312">
              <w:rPr>
                <w:rFonts w:ascii="Calibri" w:hAnsi="Calibri" w:cs="Times New Roman"/>
                <w:color w:val="000000"/>
                <w:lang w:eastAsia="en-GB"/>
              </w:rPr>
              <w:t>SOE transactions (#4.5)</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tcPr>
          <w:p w14:paraId="52C2242D" w14:textId="77777777" w:rsidR="00D616F5" w:rsidRPr="00884312" w:rsidRDefault="00D616F5" w:rsidP="00E04834">
            <w:pPr>
              <w:spacing w:after="0" w:line="240" w:lineRule="auto"/>
              <w:rPr>
                <w:rFonts w:ascii="Calibri" w:hAnsi="Calibri"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noWrap/>
            <w:vAlign w:val="bottom"/>
            <w:hideMark/>
          </w:tcPr>
          <w:p w14:paraId="7CF2A5AA" w14:textId="77777777" w:rsidR="00D616F5" w:rsidRPr="00884312" w:rsidRDefault="00D616F5" w:rsidP="00E04834">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noWrap/>
            <w:vAlign w:val="center"/>
            <w:hideMark/>
          </w:tcPr>
          <w:p w14:paraId="03CA6A5D" w14:textId="77777777" w:rsidR="00D616F5" w:rsidRPr="00884312" w:rsidRDefault="00D616F5" w:rsidP="00E04834">
            <w:pPr>
              <w:spacing w:after="0" w:line="240" w:lineRule="auto"/>
              <w:jc w:val="center"/>
              <w:rPr>
                <w:rFonts w:ascii="Calibri" w:hAnsi="Calibri" w:cs="Times New Roman"/>
                <w:color w:val="00B050"/>
                <w:lang w:eastAsia="en-GB"/>
              </w:rPr>
            </w:pPr>
            <w:r w:rsidRPr="00884312">
              <w:rPr>
                <w:rFonts w:ascii="Calibri" w:hAnsi="Calibri" w:cs="Times New Roman"/>
                <w:color w:val="00B050"/>
                <w:lang w:eastAsia="en-GB"/>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2D8B2A"/>
            <w:noWrap/>
            <w:vAlign w:val="bottom"/>
            <w:hideMark/>
          </w:tcPr>
          <w:p w14:paraId="075F3227" w14:textId="77777777" w:rsidR="00D616F5" w:rsidRPr="00884312" w:rsidRDefault="00D616F5" w:rsidP="00E04834">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clear" w:color="auto" w:fill="FFFFFF" w:themeFill="background1"/>
            <w:noWrap/>
            <w:vAlign w:val="bottom"/>
            <w:hideMark/>
          </w:tcPr>
          <w:p w14:paraId="6A13B6C4" w14:textId="77777777" w:rsidR="00D616F5" w:rsidRPr="00884312" w:rsidRDefault="00D616F5" w:rsidP="00E04834">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r>
      <w:tr w:rsidR="00D616F5" w:rsidRPr="00F67643" w14:paraId="0E4FF960" w14:textId="77777777" w:rsidTr="00E04834">
        <w:trPr>
          <w:trHeight w:val="281"/>
        </w:trPr>
        <w:tc>
          <w:tcPr>
            <w:tcW w:w="2127" w:type="dxa"/>
            <w:vMerge/>
            <w:tcBorders>
              <w:top w:val="single" w:sz="2" w:space="0" w:color="A6A6A6" w:themeColor="background1" w:themeShade="A6"/>
              <w:left w:val="single" w:sz="12" w:space="0" w:color="auto"/>
              <w:bottom w:val="single" w:sz="2" w:space="0" w:color="A6A6A6" w:themeColor="background1" w:themeShade="A6"/>
              <w:right w:val="single" w:sz="2" w:space="0" w:color="A6A6A6" w:themeColor="background1" w:themeShade="A6"/>
            </w:tcBorders>
            <w:vAlign w:val="center"/>
            <w:hideMark/>
          </w:tcPr>
          <w:p w14:paraId="61A430C8" w14:textId="77777777" w:rsidR="00D616F5" w:rsidRPr="00884312" w:rsidRDefault="00D616F5" w:rsidP="00E04834">
            <w:pPr>
              <w:spacing w:after="0" w:line="240" w:lineRule="auto"/>
              <w:rPr>
                <w:rFonts w:ascii="Calibri" w:hAnsi="Calibri"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center"/>
            <w:hideMark/>
          </w:tcPr>
          <w:p w14:paraId="72F062DD" w14:textId="77777777" w:rsidR="00D616F5" w:rsidRPr="00884312" w:rsidRDefault="00D616F5" w:rsidP="00E04834">
            <w:pPr>
              <w:spacing w:after="0" w:line="240" w:lineRule="auto"/>
              <w:rPr>
                <w:rFonts w:ascii="Calibri" w:hAnsi="Calibri" w:cs="Times New Roman"/>
                <w:color w:val="000000"/>
                <w:lang w:eastAsia="en-GB"/>
              </w:rPr>
            </w:pPr>
            <w:r w:rsidRPr="00884312">
              <w:rPr>
                <w:rFonts w:ascii="Calibri" w:hAnsi="Calibri" w:cs="Times New Roman"/>
                <w:color w:val="000000"/>
                <w:lang w:eastAsia="en-GB"/>
              </w:rPr>
              <w:t>Direct subnational payments (#4.6)</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diagStripe" w:color="auto" w:fill="FFFFFF" w:themeFill="background1"/>
          </w:tcPr>
          <w:p w14:paraId="0B0D9BF1" w14:textId="77777777" w:rsidR="00D616F5" w:rsidRPr="00884312" w:rsidRDefault="00D616F5" w:rsidP="00E04834">
            <w:pPr>
              <w:spacing w:after="0" w:line="240" w:lineRule="auto"/>
              <w:rPr>
                <w:rFonts w:ascii="Calibri" w:hAnsi="Calibri"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diagStripe" w:color="auto" w:fill="FFFFFF" w:themeFill="background1"/>
            <w:noWrap/>
            <w:vAlign w:val="bottom"/>
            <w:hideMark/>
          </w:tcPr>
          <w:p w14:paraId="2424365B" w14:textId="77777777" w:rsidR="00D616F5" w:rsidRPr="00884312" w:rsidRDefault="00D616F5" w:rsidP="00E04834">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diagStripe" w:color="auto" w:fill="FFFFFF" w:themeFill="background1"/>
            <w:noWrap/>
            <w:vAlign w:val="bottom"/>
            <w:hideMark/>
          </w:tcPr>
          <w:p w14:paraId="1C4617AE" w14:textId="77777777" w:rsidR="00D616F5" w:rsidRPr="00884312" w:rsidRDefault="00D616F5" w:rsidP="00E04834">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diagStripe" w:color="auto" w:fill="FFFFFF" w:themeFill="background1"/>
            <w:noWrap/>
            <w:vAlign w:val="bottom"/>
            <w:hideMark/>
          </w:tcPr>
          <w:p w14:paraId="480720CA" w14:textId="77777777" w:rsidR="00D616F5" w:rsidRPr="00884312" w:rsidRDefault="00D616F5" w:rsidP="00E04834">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diagStripe" w:color="auto" w:fill="FFFFFF" w:themeFill="background1"/>
            <w:noWrap/>
            <w:vAlign w:val="bottom"/>
            <w:hideMark/>
          </w:tcPr>
          <w:p w14:paraId="5481B029" w14:textId="77777777" w:rsidR="00D616F5" w:rsidRPr="00884312" w:rsidRDefault="00D616F5" w:rsidP="00E04834">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r>
      <w:tr w:rsidR="00D616F5" w:rsidRPr="00F67643" w14:paraId="183799EB" w14:textId="77777777" w:rsidTr="00E04834">
        <w:trPr>
          <w:trHeight w:val="53"/>
        </w:trPr>
        <w:tc>
          <w:tcPr>
            <w:tcW w:w="2127" w:type="dxa"/>
            <w:vMerge/>
            <w:tcBorders>
              <w:top w:val="single" w:sz="2" w:space="0" w:color="A6A6A6" w:themeColor="background1" w:themeShade="A6"/>
              <w:left w:val="single" w:sz="12" w:space="0" w:color="auto"/>
              <w:bottom w:val="single" w:sz="2" w:space="0" w:color="A6A6A6" w:themeColor="background1" w:themeShade="A6"/>
              <w:right w:val="single" w:sz="2" w:space="0" w:color="A6A6A6" w:themeColor="background1" w:themeShade="A6"/>
            </w:tcBorders>
            <w:vAlign w:val="center"/>
            <w:hideMark/>
          </w:tcPr>
          <w:p w14:paraId="2D1EA19B" w14:textId="77777777" w:rsidR="00D616F5" w:rsidRPr="00884312" w:rsidRDefault="00D616F5" w:rsidP="00E04834">
            <w:pPr>
              <w:spacing w:after="0" w:line="240" w:lineRule="auto"/>
              <w:rPr>
                <w:rFonts w:ascii="Calibri" w:hAnsi="Calibri"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center"/>
            <w:hideMark/>
          </w:tcPr>
          <w:p w14:paraId="0B2A86F6" w14:textId="77777777" w:rsidR="00D616F5" w:rsidRPr="00884312" w:rsidRDefault="00D616F5" w:rsidP="00E04834">
            <w:pPr>
              <w:spacing w:after="0" w:line="240" w:lineRule="auto"/>
              <w:rPr>
                <w:rFonts w:ascii="Calibri" w:hAnsi="Calibri" w:cs="Times New Roman"/>
                <w:color w:val="000000"/>
                <w:lang w:eastAsia="en-GB"/>
              </w:rPr>
            </w:pPr>
            <w:r w:rsidRPr="00884312">
              <w:rPr>
                <w:rFonts w:ascii="Calibri" w:hAnsi="Calibri" w:cs="Times New Roman"/>
                <w:color w:val="000000"/>
                <w:lang w:eastAsia="en-GB"/>
              </w:rPr>
              <w:t>Disaggregation (#4.7)</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tcPr>
          <w:p w14:paraId="79884210" w14:textId="77777777" w:rsidR="00D616F5" w:rsidRPr="00884312" w:rsidRDefault="00D616F5" w:rsidP="00E04834">
            <w:pPr>
              <w:spacing w:after="0" w:line="240" w:lineRule="auto"/>
              <w:rPr>
                <w:rFonts w:ascii="Calibri" w:hAnsi="Calibri"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noWrap/>
            <w:vAlign w:val="bottom"/>
            <w:hideMark/>
          </w:tcPr>
          <w:p w14:paraId="7B5B5094" w14:textId="77777777" w:rsidR="00D616F5" w:rsidRPr="00884312" w:rsidRDefault="00D616F5" w:rsidP="00E04834">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noWrap/>
            <w:vAlign w:val="bottom"/>
            <w:hideMark/>
          </w:tcPr>
          <w:p w14:paraId="792F25D6" w14:textId="77777777" w:rsidR="00D616F5" w:rsidRPr="00884312" w:rsidRDefault="00D616F5" w:rsidP="00E04834">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2D8B2A"/>
            <w:noWrap/>
            <w:vAlign w:val="bottom"/>
            <w:hideMark/>
          </w:tcPr>
          <w:p w14:paraId="20CB8E7C" w14:textId="77777777" w:rsidR="00D616F5" w:rsidRPr="00884312" w:rsidRDefault="00D616F5" w:rsidP="00E04834">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clear" w:color="auto" w:fill="FFFFFF" w:themeFill="background1"/>
            <w:noWrap/>
            <w:vAlign w:val="bottom"/>
            <w:hideMark/>
          </w:tcPr>
          <w:p w14:paraId="3C25FBBF" w14:textId="77777777" w:rsidR="00D616F5" w:rsidRPr="00884312" w:rsidRDefault="00D616F5" w:rsidP="00E04834">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r>
      <w:tr w:rsidR="00D616F5" w:rsidRPr="00F67643" w14:paraId="621D7768" w14:textId="77777777" w:rsidTr="00E04834">
        <w:trPr>
          <w:trHeight w:val="56"/>
        </w:trPr>
        <w:tc>
          <w:tcPr>
            <w:tcW w:w="2127" w:type="dxa"/>
            <w:vMerge/>
            <w:tcBorders>
              <w:top w:val="single" w:sz="2" w:space="0" w:color="A6A6A6" w:themeColor="background1" w:themeShade="A6"/>
              <w:left w:val="single" w:sz="12" w:space="0" w:color="auto"/>
              <w:bottom w:val="single" w:sz="2" w:space="0" w:color="A6A6A6" w:themeColor="background1" w:themeShade="A6"/>
              <w:right w:val="single" w:sz="2" w:space="0" w:color="A6A6A6" w:themeColor="background1" w:themeShade="A6"/>
            </w:tcBorders>
            <w:vAlign w:val="center"/>
            <w:hideMark/>
          </w:tcPr>
          <w:p w14:paraId="28188372" w14:textId="77777777" w:rsidR="00D616F5" w:rsidRPr="00884312" w:rsidRDefault="00D616F5" w:rsidP="00E04834">
            <w:pPr>
              <w:spacing w:after="0" w:line="240" w:lineRule="auto"/>
              <w:rPr>
                <w:rFonts w:ascii="Calibri" w:hAnsi="Calibri"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vAlign w:val="center"/>
            <w:hideMark/>
          </w:tcPr>
          <w:p w14:paraId="4F77734C" w14:textId="77777777" w:rsidR="00D616F5" w:rsidRPr="00884312" w:rsidRDefault="00D616F5" w:rsidP="00E04834">
            <w:pPr>
              <w:spacing w:after="0" w:line="240" w:lineRule="auto"/>
              <w:rPr>
                <w:rFonts w:ascii="Calibri" w:hAnsi="Calibri" w:cs="Times New Roman"/>
                <w:color w:val="000000"/>
                <w:lang w:eastAsia="en-GB"/>
              </w:rPr>
            </w:pPr>
            <w:r w:rsidRPr="00884312">
              <w:rPr>
                <w:rFonts w:ascii="Calibri" w:hAnsi="Calibri" w:cs="Times New Roman"/>
                <w:color w:val="000000"/>
                <w:lang w:eastAsia="en-GB"/>
              </w:rPr>
              <w:t>Data timeliness (#4.8)</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tcPr>
          <w:p w14:paraId="348EFE01" w14:textId="77777777" w:rsidR="00D616F5" w:rsidRPr="00884312" w:rsidRDefault="00D616F5" w:rsidP="00E04834">
            <w:pPr>
              <w:spacing w:after="0" w:line="240" w:lineRule="auto"/>
              <w:rPr>
                <w:rFonts w:ascii="Calibri" w:hAnsi="Calibri"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noWrap/>
            <w:vAlign w:val="bottom"/>
            <w:hideMark/>
          </w:tcPr>
          <w:p w14:paraId="6CB34C92" w14:textId="77777777" w:rsidR="00D616F5" w:rsidRPr="00884312" w:rsidRDefault="00D616F5" w:rsidP="00E04834">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noWrap/>
            <w:vAlign w:val="bottom"/>
            <w:hideMark/>
          </w:tcPr>
          <w:p w14:paraId="358D5F92" w14:textId="77777777" w:rsidR="00D616F5" w:rsidRPr="00884312" w:rsidRDefault="00D616F5" w:rsidP="00E04834">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2D8B2A"/>
            <w:noWrap/>
            <w:vAlign w:val="bottom"/>
            <w:hideMark/>
          </w:tcPr>
          <w:p w14:paraId="0B98387D" w14:textId="77777777" w:rsidR="00D616F5" w:rsidRPr="00884312" w:rsidRDefault="00D616F5" w:rsidP="00E04834">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clear" w:color="auto" w:fill="FFFFFF" w:themeFill="background1"/>
            <w:noWrap/>
            <w:vAlign w:val="bottom"/>
            <w:hideMark/>
          </w:tcPr>
          <w:p w14:paraId="69BBBBB8" w14:textId="77777777" w:rsidR="00D616F5" w:rsidRPr="00884312" w:rsidRDefault="00D616F5" w:rsidP="00E04834">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r>
      <w:tr w:rsidR="00D616F5" w:rsidRPr="00F67643" w14:paraId="2EF836AE" w14:textId="77777777" w:rsidTr="00E04834">
        <w:trPr>
          <w:trHeight w:val="300"/>
        </w:trPr>
        <w:tc>
          <w:tcPr>
            <w:tcW w:w="2127" w:type="dxa"/>
            <w:vMerge/>
            <w:tcBorders>
              <w:top w:val="single" w:sz="2" w:space="0" w:color="A6A6A6" w:themeColor="background1" w:themeShade="A6"/>
              <w:left w:val="single" w:sz="12" w:space="0" w:color="auto"/>
              <w:bottom w:val="single" w:sz="12" w:space="0" w:color="000000" w:themeColor="text1"/>
              <w:right w:val="single" w:sz="2" w:space="0" w:color="A6A6A6" w:themeColor="background1" w:themeShade="A6"/>
            </w:tcBorders>
            <w:vAlign w:val="center"/>
            <w:hideMark/>
          </w:tcPr>
          <w:p w14:paraId="1F7AAA66" w14:textId="77777777" w:rsidR="00D616F5" w:rsidRPr="00884312" w:rsidRDefault="00D616F5" w:rsidP="00E04834">
            <w:pPr>
              <w:spacing w:after="0" w:line="240" w:lineRule="auto"/>
              <w:rPr>
                <w:rFonts w:ascii="Calibri" w:hAnsi="Calibri"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000000" w:fill="FFFFFF"/>
            <w:noWrap/>
            <w:vAlign w:val="center"/>
            <w:hideMark/>
          </w:tcPr>
          <w:p w14:paraId="3FE7C7D2" w14:textId="77777777" w:rsidR="00D616F5" w:rsidRPr="00884312" w:rsidRDefault="00D616F5" w:rsidP="00E04834">
            <w:pPr>
              <w:spacing w:after="0" w:line="240" w:lineRule="auto"/>
              <w:rPr>
                <w:rFonts w:ascii="Calibri" w:hAnsi="Calibri" w:cs="Times New Roman"/>
                <w:color w:val="000000"/>
                <w:lang w:eastAsia="en-GB"/>
              </w:rPr>
            </w:pPr>
            <w:r w:rsidRPr="00884312">
              <w:rPr>
                <w:rFonts w:ascii="Calibri" w:hAnsi="Calibri" w:cs="Times New Roman"/>
                <w:color w:val="000000"/>
                <w:lang w:eastAsia="en-GB"/>
              </w:rPr>
              <w:t>Data quality (#4.9)</w:t>
            </w:r>
          </w:p>
        </w:tc>
        <w:tc>
          <w:tcPr>
            <w:tcW w:w="491"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auto" w:fill="FFFFFF" w:themeFill="background1"/>
          </w:tcPr>
          <w:p w14:paraId="39E9A90B" w14:textId="77777777" w:rsidR="00D616F5" w:rsidRPr="00884312" w:rsidRDefault="00D616F5" w:rsidP="00E04834">
            <w:pPr>
              <w:spacing w:after="0" w:line="240" w:lineRule="auto"/>
              <w:rPr>
                <w:rFonts w:ascii="Calibri" w:hAnsi="Calibri"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auto" w:fill="FFFFFF" w:themeFill="background1"/>
            <w:noWrap/>
            <w:vAlign w:val="bottom"/>
            <w:hideMark/>
          </w:tcPr>
          <w:p w14:paraId="5406D819" w14:textId="77777777" w:rsidR="00D616F5" w:rsidRPr="00884312" w:rsidRDefault="00D616F5" w:rsidP="00E04834">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91"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auto" w:fill="FFFFFF" w:themeFill="background1"/>
            <w:noWrap/>
            <w:vAlign w:val="bottom"/>
            <w:hideMark/>
          </w:tcPr>
          <w:p w14:paraId="259D0D67" w14:textId="77777777" w:rsidR="00D616F5" w:rsidRPr="00884312" w:rsidRDefault="00D616F5" w:rsidP="00E04834">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70"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auto" w:fill="2D8B2A"/>
            <w:noWrap/>
            <w:vAlign w:val="bottom"/>
            <w:hideMark/>
          </w:tcPr>
          <w:p w14:paraId="1517E57D" w14:textId="77777777" w:rsidR="00D616F5" w:rsidRPr="00884312" w:rsidRDefault="00D616F5" w:rsidP="00E04834">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21" w:type="dxa"/>
            <w:tcBorders>
              <w:top w:val="single" w:sz="2" w:space="0" w:color="A6A6A6" w:themeColor="background1" w:themeShade="A6"/>
              <w:left w:val="single" w:sz="2" w:space="0" w:color="A6A6A6" w:themeColor="background1" w:themeShade="A6"/>
              <w:bottom w:val="single" w:sz="12" w:space="0" w:color="000000" w:themeColor="text1"/>
              <w:right w:val="single" w:sz="12" w:space="0" w:color="auto"/>
            </w:tcBorders>
            <w:shd w:val="clear" w:color="auto" w:fill="FFFFFF" w:themeFill="background1"/>
            <w:noWrap/>
            <w:vAlign w:val="bottom"/>
            <w:hideMark/>
          </w:tcPr>
          <w:p w14:paraId="50CBA14F" w14:textId="77777777" w:rsidR="00D616F5" w:rsidRPr="00884312" w:rsidRDefault="00D616F5" w:rsidP="00E04834">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r>
      <w:tr w:rsidR="00D616F5" w:rsidRPr="00F67643" w14:paraId="05CB5B8D" w14:textId="77777777" w:rsidTr="00E04834">
        <w:trPr>
          <w:trHeight w:val="300"/>
        </w:trPr>
        <w:tc>
          <w:tcPr>
            <w:tcW w:w="2127" w:type="dxa"/>
            <w:vMerge w:val="restart"/>
            <w:tcBorders>
              <w:top w:val="single" w:sz="12" w:space="0" w:color="000000" w:themeColor="text1"/>
              <w:left w:val="single" w:sz="12" w:space="0" w:color="auto"/>
              <w:bottom w:val="single" w:sz="2" w:space="0" w:color="A6A6A6" w:themeColor="background1" w:themeShade="A6"/>
              <w:right w:val="single" w:sz="2" w:space="0" w:color="A6A6A6" w:themeColor="background1" w:themeShade="A6"/>
            </w:tcBorders>
            <w:shd w:val="clear" w:color="000000" w:fill="BFBFBF"/>
            <w:vAlign w:val="center"/>
            <w:hideMark/>
          </w:tcPr>
          <w:p w14:paraId="03568908" w14:textId="77777777" w:rsidR="00D616F5" w:rsidRPr="00884312" w:rsidRDefault="00D616F5" w:rsidP="00E04834">
            <w:pPr>
              <w:spacing w:after="0" w:line="240" w:lineRule="auto"/>
              <w:rPr>
                <w:rFonts w:ascii="Calibri" w:hAnsi="Calibri" w:cs="Times New Roman"/>
                <w:b/>
                <w:bCs/>
                <w:color w:val="000000"/>
                <w:lang w:eastAsia="en-GB"/>
              </w:rPr>
            </w:pPr>
            <w:r w:rsidRPr="00884312">
              <w:rPr>
                <w:rFonts w:ascii="Calibri" w:hAnsi="Calibri" w:cs="Times New Roman"/>
                <w:b/>
                <w:bCs/>
                <w:color w:val="000000"/>
                <w:lang w:eastAsia="en-GB"/>
              </w:rPr>
              <w:t>Revenue allocation</w:t>
            </w:r>
          </w:p>
        </w:tc>
        <w:tc>
          <w:tcPr>
            <w:tcW w:w="4535" w:type="dxa"/>
            <w:gridSpan w:val="4"/>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vAlign w:val="center"/>
            <w:hideMark/>
          </w:tcPr>
          <w:p w14:paraId="29D3A6E3" w14:textId="77777777" w:rsidR="00D616F5" w:rsidRPr="00884312" w:rsidRDefault="00D616F5" w:rsidP="00E04834">
            <w:pPr>
              <w:spacing w:after="0" w:line="240" w:lineRule="auto"/>
              <w:rPr>
                <w:rFonts w:ascii="Calibri" w:hAnsi="Calibri" w:cs="Times New Roman"/>
                <w:color w:val="000000"/>
                <w:lang w:eastAsia="en-GB"/>
              </w:rPr>
            </w:pPr>
            <w:r w:rsidRPr="00884312">
              <w:rPr>
                <w:rFonts w:ascii="Calibri" w:hAnsi="Calibri" w:cs="Times New Roman"/>
                <w:color w:val="000000"/>
                <w:lang w:eastAsia="en-GB"/>
              </w:rPr>
              <w:t>Distribution of revenues (#5.1)</w:t>
            </w:r>
          </w:p>
        </w:tc>
        <w:tc>
          <w:tcPr>
            <w:tcW w:w="491"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tcPr>
          <w:p w14:paraId="37B62809" w14:textId="77777777" w:rsidR="00D616F5" w:rsidRPr="00884312" w:rsidRDefault="00D616F5" w:rsidP="00E04834">
            <w:pPr>
              <w:spacing w:after="0" w:line="240" w:lineRule="auto"/>
              <w:rPr>
                <w:rFonts w:ascii="Calibri" w:hAnsi="Calibri" w:cs="Times New Roman"/>
                <w:color w:val="000000"/>
                <w:lang w:eastAsia="en-GB"/>
              </w:rPr>
            </w:pPr>
          </w:p>
        </w:tc>
        <w:tc>
          <w:tcPr>
            <w:tcW w:w="532"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622AA561" w14:textId="77777777" w:rsidR="00D616F5" w:rsidRPr="00884312" w:rsidRDefault="00D616F5" w:rsidP="00E04834">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91"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1917585A" w14:textId="77777777" w:rsidR="00D616F5" w:rsidRPr="00884312" w:rsidRDefault="00D616F5" w:rsidP="00E04834">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70"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2D8B2A"/>
            <w:noWrap/>
            <w:vAlign w:val="bottom"/>
            <w:hideMark/>
          </w:tcPr>
          <w:p w14:paraId="2FA52D91" w14:textId="77777777" w:rsidR="00D616F5" w:rsidRPr="00884312" w:rsidRDefault="00D616F5" w:rsidP="00E04834">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21" w:type="dxa"/>
            <w:tcBorders>
              <w:top w:val="single" w:sz="12" w:space="0" w:color="000000" w:themeColor="text1"/>
              <w:left w:val="single" w:sz="2" w:space="0" w:color="A6A6A6" w:themeColor="background1" w:themeShade="A6"/>
              <w:bottom w:val="single" w:sz="2" w:space="0" w:color="A6A6A6" w:themeColor="background1" w:themeShade="A6"/>
              <w:right w:val="single" w:sz="12" w:space="0" w:color="auto"/>
            </w:tcBorders>
            <w:shd w:val="clear" w:color="auto" w:fill="auto"/>
            <w:noWrap/>
            <w:vAlign w:val="bottom"/>
            <w:hideMark/>
          </w:tcPr>
          <w:p w14:paraId="6ED1E858" w14:textId="77777777" w:rsidR="00D616F5" w:rsidRPr="00884312" w:rsidRDefault="00D616F5" w:rsidP="00E04834">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r>
      <w:tr w:rsidR="00D616F5" w:rsidRPr="00F67643" w14:paraId="4C233E40" w14:textId="77777777" w:rsidTr="00E04834">
        <w:trPr>
          <w:trHeight w:val="300"/>
        </w:trPr>
        <w:tc>
          <w:tcPr>
            <w:tcW w:w="2127" w:type="dxa"/>
            <w:vMerge/>
            <w:tcBorders>
              <w:top w:val="single" w:sz="2" w:space="0" w:color="A6A6A6" w:themeColor="background1" w:themeShade="A6"/>
              <w:left w:val="single" w:sz="12" w:space="0" w:color="auto"/>
              <w:bottom w:val="single" w:sz="2" w:space="0" w:color="A6A6A6" w:themeColor="background1" w:themeShade="A6"/>
              <w:right w:val="single" w:sz="2" w:space="0" w:color="A6A6A6" w:themeColor="background1" w:themeShade="A6"/>
            </w:tcBorders>
            <w:vAlign w:val="center"/>
            <w:hideMark/>
          </w:tcPr>
          <w:p w14:paraId="6583F322" w14:textId="77777777" w:rsidR="00D616F5" w:rsidRPr="00884312" w:rsidRDefault="00D616F5" w:rsidP="00E04834">
            <w:pPr>
              <w:spacing w:after="0" w:line="240" w:lineRule="auto"/>
              <w:rPr>
                <w:rFonts w:ascii="Calibri" w:hAnsi="Calibri"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vAlign w:val="center"/>
            <w:hideMark/>
          </w:tcPr>
          <w:p w14:paraId="12134110" w14:textId="77777777" w:rsidR="00D616F5" w:rsidRPr="00884312" w:rsidRDefault="00D616F5" w:rsidP="00E04834">
            <w:pPr>
              <w:spacing w:after="0" w:line="240" w:lineRule="auto"/>
              <w:rPr>
                <w:rFonts w:ascii="Calibri" w:hAnsi="Calibri" w:cs="Times New Roman"/>
                <w:color w:val="000000"/>
                <w:lang w:eastAsia="en-GB"/>
              </w:rPr>
            </w:pPr>
            <w:r w:rsidRPr="00884312">
              <w:rPr>
                <w:rFonts w:ascii="Calibri" w:hAnsi="Calibri" w:cs="Times New Roman"/>
                <w:color w:val="000000"/>
                <w:lang w:eastAsia="en-GB"/>
              </w:rPr>
              <w:t>Subnational transfers (#5.2)</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diagStripe" w:color="auto" w:fill="auto"/>
          </w:tcPr>
          <w:p w14:paraId="07B3B0E6" w14:textId="77777777" w:rsidR="00D616F5" w:rsidRPr="00884312" w:rsidRDefault="00D616F5" w:rsidP="00E04834">
            <w:pPr>
              <w:spacing w:after="0" w:line="240" w:lineRule="auto"/>
              <w:rPr>
                <w:rFonts w:ascii="Calibri" w:hAnsi="Calibri"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diagStripe" w:color="auto" w:fill="auto"/>
            <w:noWrap/>
            <w:vAlign w:val="bottom"/>
            <w:hideMark/>
          </w:tcPr>
          <w:p w14:paraId="13960FDF" w14:textId="77777777" w:rsidR="00D616F5" w:rsidRPr="00884312" w:rsidRDefault="00D616F5" w:rsidP="00E04834">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diagStripe" w:color="auto" w:fill="auto"/>
            <w:noWrap/>
            <w:vAlign w:val="bottom"/>
            <w:hideMark/>
          </w:tcPr>
          <w:p w14:paraId="7EEB86D8" w14:textId="77777777" w:rsidR="00D616F5" w:rsidRPr="00884312" w:rsidRDefault="00D616F5" w:rsidP="00E04834">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diagStripe" w:color="auto" w:fill="auto"/>
            <w:noWrap/>
            <w:vAlign w:val="bottom"/>
            <w:hideMark/>
          </w:tcPr>
          <w:p w14:paraId="2CA10C73" w14:textId="77777777" w:rsidR="00D616F5" w:rsidRPr="00884312" w:rsidRDefault="00D616F5" w:rsidP="00E04834">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diagStripe" w:color="auto" w:fill="auto"/>
            <w:noWrap/>
            <w:vAlign w:val="bottom"/>
            <w:hideMark/>
          </w:tcPr>
          <w:p w14:paraId="3967548B" w14:textId="77777777" w:rsidR="00D616F5" w:rsidRPr="00884312" w:rsidRDefault="00D616F5" w:rsidP="00E04834">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r>
      <w:tr w:rsidR="00D616F5" w:rsidRPr="00F67643" w14:paraId="0E3EB65E" w14:textId="77777777" w:rsidTr="00E04834">
        <w:trPr>
          <w:trHeight w:val="300"/>
        </w:trPr>
        <w:tc>
          <w:tcPr>
            <w:tcW w:w="2127" w:type="dxa"/>
            <w:vMerge/>
            <w:tcBorders>
              <w:top w:val="single" w:sz="2" w:space="0" w:color="A6A6A6" w:themeColor="background1" w:themeShade="A6"/>
              <w:left w:val="single" w:sz="12" w:space="0" w:color="auto"/>
              <w:bottom w:val="single" w:sz="12" w:space="0" w:color="000000" w:themeColor="text1"/>
              <w:right w:val="single" w:sz="2" w:space="0" w:color="A6A6A6" w:themeColor="background1" w:themeShade="A6"/>
            </w:tcBorders>
            <w:vAlign w:val="center"/>
            <w:hideMark/>
          </w:tcPr>
          <w:p w14:paraId="7F17EA59" w14:textId="77777777" w:rsidR="00D616F5" w:rsidRPr="00884312" w:rsidRDefault="00D616F5" w:rsidP="00E04834">
            <w:pPr>
              <w:spacing w:after="0" w:line="240" w:lineRule="auto"/>
              <w:rPr>
                <w:rFonts w:ascii="Calibri" w:hAnsi="Calibri"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000000" w:fill="FFFFFF"/>
            <w:vAlign w:val="center"/>
            <w:hideMark/>
          </w:tcPr>
          <w:p w14:paraId="53865503" w14:textId="77777777" w:rsidR="00D616F5" w:rsidRPr="00884312" w:rsidRDefault="00D616F5" w:rsidP="00E04834">
            <w:pPr>
              <w:spacing w:after="0" w:line="240" w:lineRule="auto"/>
              <w:rPr>
                <w:rFonts w:ascii="Calibri" w:hAnsi="Calibri" w:cs="Times New Roman"/>
                <w:color w:val="000000"/>
                <w:lang w:eastAsia="en-GB"/>
              </w:rPr>
            </w:pPr>
            <w:r w:rsidRPr="00884312">
              <w:rPr>
                <w:rFonts w:ascii="Calibri" w:hAnsi="Calibri" w:cs="Times New Roman"/>
                <w:color w:val="000000"/>
                <w:lang w:eastAsia="en-GB"/>
              </w:rPr>
              <w:t>Revenue management and expenditures (#5.3)</w:t>
            </w:r>
          </w:p>
        </w:tc>
        <w:tc>
          <w:tcPr>
            <w:tcW w:w="491"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000000" w:fill="D9D9D9"/>
          </w:tcPr>
          <w:p w14:paraId="63783785" w14:textId="77777777" w:rsidR="00D616F5" w:rsidRPr="00884312" w:rsidRDefault="00D616F5" w:rsidP="00E04834">
            <w:pPr>
              <w:spacing w:after="0" w:line="240" w:lineRule="auto"/>
              <w:rPr>
                <w:rFonts w:ascii="Calibri" w:hAnsi="Calibri"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000000" w:fill="D9D9D9"/>
            <w:noWrap/>
            <w:vAlign w:val="bottom"/>
            <w:hideMark/>
          </w:tcPr>
          <w:p w14:paraId="15F6C495" w14:textId="77777777" w:rsidR="00D616F5" w:rsidRPr="00884312" w:rsidRDefault="00D616F5" w:rsidP="00E04834">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91"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000000" w:fill="D9D9D9"/>
            <w:noWrap/>
            <w:vAlign w:val="bottom"/>
            <w:hideMark/>
          </w:tcPr>
          <w:p w14:paraId="36E044BF" w14:textId="77777777" w:rsidR="00D616F5" w:rsidRPr="00884312" w:rsidRDefault="00D616F5" w:rsidP="00E04834">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70"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000000" w:fill="D9D9D9"/>
            <w:noWrap/>
            <w:vAlign w:val="bottom"/>
            <w:hideMark/>
          </w:tcPr>
          <w:p w14:paraId="54BA2B34" w14:textId="77777777" w:rsidR="00D616F5" w:rsidRPr="00884312" w:rsidRDefault="00D616F5" w:rsidP="00E04834">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21" w:type="dxa"/>
            <w:tcBorders>
              <w:top w:val="single" w:sz="2" w:space="0" w:color="A6A6A6" w:themeColor="background1" w:themeShade="A6"/>
              <w:left w:val="single" w:sz="2" w:space="0" w:color="A6A6A6" w:themeColor="background1" w:themeShade="A6"/>
              <w:bottom w:val="single" w:sz="12" w:space="0" w:color="000000" w:themeColor="text1"/>
              <w:right w:val="single" w:sz="12" w:space="0" w:color="auto"/>
            </w:tcBorders>
            <w:shd w:val="clear" w:color="000000" w:fill="D9D9D9"/>
            <w:noWrap/>
            <w:vAlign w:val="bottom"/>
            <w:hideMark/>
          </w:tcPr>
          <w:p w14:paraId="05183F3D" w14:textId="77777777" w:rsidR="00D616F5" w:rsidRPr="00884312" w:rsidRDefault="00D616F5" w:rsidP="00E04834">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r>
      <w:tr w:rsidR="00D616F5" w:rsidRPr="00F67643" w14:paraId="7239EC59" w14:textId="77777777" w:rsidTr="00E04834">
        <w:trPr>
          <w:trHeight w:val="276"/>
        </w:trPr>
        <w:tc>
          <w:tcPr>
            <w:tcW w:w="2127" w:type="dxa"/>
            <w:vMerge w:val="restart"/>
            <w:tcBorders>
              <w:top w:val="single" w:sz="12" w:space="0" w:color="000000" w:themeColor="text1"/>
              <w:left w:val="single" w:sz="12" w:space="0" w:color="auto"/>
              <w:bottom w:val="single" w:sz="2" w:space="0" w:color="A6A6A6" w:themeColor="background1" w:themeShade="A6"/>
              <w:right w:val="single" w:sz="2" w:space="0" w:color="A6A6A6" w:themeColor="background1" w:themeShade="A6"/>
            </w:tcBorders>
            <w:shd w:val="clear" w:color="000000" w:fill="BFBFBF"/>
            <w:vAlign w:val="center"/>
            <w:hideMark/>
          </w:tcPr>
          <w:p w14:paraId="16E6F843" w14:textId="77777777" w:rsidR="00D616F5" w:rsidRPr="00884312" w:rsidRDefault="00D616F5" w:rsidP="00E04834">
            <w:pPr>
              <w:spacing w:after="0" w:line="240" w:lineRule="auto"/>
              <w:rPr>
                <w:rFonts w:ascii="Calibri" w:hAnsi="Calibri" w:cs="Times New Roman"/>
                <w:b/>
                <w:bCs/>
                <w:color w:val="000000"/>
                <w:lang w:eastAsia="en-GB"/>
              </w:rPr>
            </w:pPr>
            <w:r w:rsidRPr="00884312">
              <w:rPr>
                <w:rFonts w:ascii="Calibri" w:hAnsi="Calibri" w:cs="Times New Roman"/>
                <w:b/>
                <w:bCs/>
                <w:color w:val="000000"/>
                <w:lang w:eastAsia="en-GB"/>
              </w:rPr>
              <w:t>Socio-economic contribution</w:t>
            </w:r>
          </w:p>
        </w:tc>
        <w:tc>
          <w:tcPr>
            <w:tcW w:w="4535" w:type="dxa"/>
            <w:gridSpan w:val="4"/>
            <w:tcBorders>
              <w:top w:val="single" w:sz="12" w:space="0" w:color="000000" w:themeColor="text1"/>
              <w:left w:val="single" w:sz="2" w:space="0" w:color="A6A6A6" w:themeColor="background1" w:themeShade="A6"/>
              <w:right w:val="single" w:sz="2" w:space="0" w:color="A6A6A6" w:themeColor="background1" w:themeShade="A6"/>
            </w:tcBorders>
            <w:shd w:val="clear" w:color="000000" w:fill="FFFFFF"/>
            <w:vAlign w:val="center"/>
            <w:hideMark/>
          </w:tcPr>
          <w:p w14:paraId="35CEDA16" w14:textId="77777777" w:rsidR="00D616F5" w:rsidRPr="00884312" w:rsidRDefault="00D616F5" w:rsidP="00E04834">
            <w:pPr>
              <w:spacing w:after="0" w:line="240" w:lineRule="auto"/>
              <w:rPr>
                <w:rFonts w:ascii="Calibri" w:hAnsi="Calibri" w:cs="Times New Roman"/>
                <w:color w:val="000000"/>
                <w:lang w:eastAsia="en-GB"/>
              </w:rPr>
            </w:pPr>
            <w:r w:rsidRPr="00884312">
              <w:rPr>
                <w:rFonts w:ascii="Calibri" w:hAnsi="Calibri" w:cs="Times New Roman"/>
                <w:color w:val="000000"/>
                <w:lang w:eastAsia="en-GB"/>
              </w:rPr>
              <w:t>Manda</w:t>
            </w:r>
            <w:r>
              <w:rPr>
                <w:rFonts w:ascii="Calibri" w:hAnsi="Calibri" w:cs="Times New Roman"/>
                <w:color w:val="000000"/>
                <w:lang w:eastAsia="en-GB"/>
              </w:rPr>
              <w:t>tory social expenditures (#6.1</w:t>
            </w:r>
            <w:r w:rsidRPr="00884312">
              <w:rPr>
                <w:rFonts w:ascii="Calibri" w:hAnsi="Calibri" w:cs="Times New Roman"/>
                <w:color w:val="000000"/>
                <w:lang w:eastAsia="en-GB"/>
              </w:rPr>
              <w:t>)</w:t>
            </w:r>
          </w:p>
        </w:tc>
        <w:tc>
          <w:tcPr>
            <w:tcW w:w="491"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tcPr>
          <w:p w14:paraId="5B915D3A" w14:textId="77777777" w:rsidR="00D616F5" w:rsidRPr="00884312" w:rsidRDefault="00D616F5" w:rsidP="00E04834">
            <w:pPr>
              <w:spacing w:after="0" w:line="240" w:lineRule="auto"/>
              <w:rPr>
                <w:rFonts w:ascii="Calibri" w:hAnsi="Calibri" w:cs="Times New Roman"/>
                <w:color w:val="000000"/>
                <w:lang w:eastAsia="en-GB"/>
              </w:rPr>
            </w:pPr>
          </w:p>
        </w:tc>
        <w:tc>
          <w:tcPr>
            <w:tcW w:w="532"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72B24EBD" w14:textId="77777777" w:rsidR="00D616F5" w:rsidRPr="00884312" w:rsidRDefault="00D616F5" w:rsidP="00E04834">
            <w:pPr>
              <w:spacing w:after="0"/>
              <w:rPr>
                <w:rFonts w:ascii="Calibri" w:hAnsi="Calibri" w:cs="Times New Roman"/>
                <w:color w:val="000000"/>
                <w:lang w:eastAsia="en-GB"/>
              </w:rPr>
            </w:pPr>
            <w:r w:rsidRPr="00884312">
              <w:rPr>
                <w:rFonts w:ascii="Calibri" w:hAnsi="Calibri" w:cs="Times New Roman"/>
                <w:color w:val="000000"/>
                <w:lang w:eastAsia="en-GB"/>
              </w:rPr>
              <w:t> </w:t>
            </w:r>
          </w:p>
        </w:tc>
        <w:tc>
          <w:tcPr>
            <w:tcW w:w="491"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auto"/>
            <w:noWrap/>
            <w:vAlign w:val="bottom"/>
            <w:hideMark/>
          </w:tcPr>
          <w:p w14:paraId="3D838C3E" w14:textId="77777777" w:rsidR="00D616F5" w:rsidRPr="00884312" w:rsidRDefault="00D616F5" w:rsidP="00E04834">
            <w:pPr>
              <w:spacing w:after="0"/>
              <w:rPr>
                <w:rFonts w:ascii="Calibri" w:hAnsi="Calibri" w:cs="Times New Roman"/>
                <w:color w:val="000000"/>
                <w:lang w:eastAsia="en-GB"/>
              </w:rPr>
            </w:pPr>
            <w:r w:rsidRPr="00884312">
              <w:rPr>
                <w:rFonts w:ascii="Calibri" w:hAnsi="Calibri" w:cs="Times New Roman"/>
                <w:color w:val="000000"/>
                <w:lang w:eastAsia="en-GB"/>
              </w:rPr>
              <w:t> </w:t>
            </w:r>
          </w:p>
        </w:tc>
        <w:tc>
          <w:tcPr>
            <w:tcW w:w="470"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7AA7E96E" w14:textId="77777777" w:rsidR="00D616F5" w:rsidRPr="00884312" w:rsidRDefault="00D616F5" w:rsidP="00E04834">
            <w:pPr>
              <w:spacing w:after="0" w:line="240" w:lineRule="auto"/>
              <w:rPr>
                <w:rFonts w:ascii="Calibri" w:hAnsi="Calibri" w:cs="Times New Roman"/>
                <w:color w:val="000000"/>
                <w:lang w:eastAsia="en-GB"/>
              </w:rPr>
            </w:pPr>
          </w:p>
        </w:tc>
        <w:tc>
          <w:tcPr>
            <w:tcW w:w="421" w:type="dxa"/>
            <w:tcBorders>
              <w:top w:val="single" w:sz="12" w:space="0" w:color="000000" w:themeColor="text1"/>
              <w:left w:val="single" w:sz="2" w:space="0" w:color="A6A6A6" w:themeColor="background1" w:themeShade="A6"/>
              <w:bottom w:val="single" w:sz="2" w:space="0" w:color="A6A6A6" w:themeColor="background1" w:themeShade="A6"/>
              <w:right w:val="single" w:sz="12" w:space="0" w:color="auto"/>
            </w:tcBorders>
            <w:shd w:val="clear" w:color="auto" w:fill="0076AF"/>
            <w:noWrap/>
            <w:vAlign w:val="bottom"/>
            <w:hideMark/>
          </w:tcPr>
          <w:p w14:paraId="16B32909" w14:textId="77777777" w:rsidR="00D616F5" w:rsidRPr="00884312" w:rsidRDefault="00D616F5" w:rsidP="00E04834">
            <w:pPr>
              <w:spacing w:after="0" w:line="240" w:lineRule="auto"/>
              <w:rPr>
                <w:rFonts w:ascii="Calibri" w:hAnsi="Calibri" w:cs="Times New Roman"/>
                <w:color w:val="000000"/>
                <w:lang w:eastAsia="en-GB"/>
              </w:rPr>
            </w:pPr>
          </w:p>
        </w:tc>
      </w:tr>
      <w:tr w:rsidR="00D616F5" w:rsidRPr="00F67643" w14:paraId="7ABB5419" w14:textId="77777777" w:rsidTr="00E04834">
        <w:trPr>
          <w:trHeight w:val="300"/>
        </w:trPr>
        <w:tc>
          <w:tcPr>
            <w:tcW w:w="2127" w:type="dxa"/>
            <w:vMerge/>
            <w:tcBorders>
              <w:top w:val="single" w:sz="2" w:space="0" w:color="A6A6A6" w:themeColor="background1" w:themeShade="A6"/>
              <w:left w:val="single" w:sz="12" w:space="0" w:color="auto"/>
              <w:bottom w:val="single" w:sz="2" w:space="0" w:color="A6A6A6" w:themeColor="background1" w:themeShade="A6"/>
              <w:right w:val="single" w:sz="2" w:space="0" w:color="A6A6A6" w:themeColor="background1" w:themeShade="A6"/>
            </w:tcBorders>
            <w:vAlign w:val="center"/>
            <w:hideMark/>
          </w:tcPr>
          <w:p w14:paraId="332D075F" w14:textId="77777777" w:rsidR="00D616F5" w:rsidRPr="00884312" w:rsidRDefault="00D616F5" w:rsidP="00E04834">
            <w:pPr>
              <w:spacing w:after="0" w:line="240" w:lineRule="auto"/>
              <w:rPr>
                <w:rFonts w:ascii="Calibri" w:hAnsi="Calibri"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vAlign w:val="center"/>
            <w:hideMark/>
          </w:tcPr>
          <w:p w14:paraId="618096B6" w14:textId="77777777" w:rsidR="00D616F5" w:rsidRPr="00884312" w:rsidRDefault="00D616F5" w:rsidP="00E04834">
            <w:pPr>
              <w:spacing w:after="0" w:line="240" w:lineRule="auto"/>
              <w:rPr>
                <w:rFonts w:ascii="Calibri" w:hAnsi="Calibri" w:cs="Times New Roman"/>
                <w:color w:val="000000"/>
                <w:lang w:eastAsia="en-GB"/>
              </w:rPr>
            </w:pPr>
            <w:r w:rsidRPr="00884312">
              <w:rPr>
                <w:rFonts w:ascii="Calibri" w:hAnsi="Calibri" w:cs="Times New Roman"/>
                <w:color w:val="000000"/>
                <w:lang w:eastAsia="en-GB"/>
              </w:rPr>
              <w:t>SOE quasi-fiscal expenditures (#6.2)</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diagStripe" w:color="auto" w:fill="auto"/>
          </w:tcPr>
          <w:p w14:paraId="1D229DBC" w14:textId="77777777" w:rsidR="00D616F5" w:rsidRPr="00884312" w:rsidRDefault="00D616F5" w:rsidP="00E04834">
            <w:pPr>
              <w:spacing w:after="0" w:line="240" w:lineRule="auto"/>
              <w:rPr>
                <w:rFonts w:ascii="Calibri" w:hAnsi="Calibri"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diagStripe" w:color="auto" w:fill="auto"/>
            <w:noWrap/>
            <w:vAlign w:val="bottom"/>
            <w:hideMark/>
          </w:tcPr>
          <w:p w14:paraId="5409F210" w14:textId="77777777" w:rsidR="00D616F5" w:rsidRPr="00884312" w:rsidRDefault="00D616F5" w:rsidP="00E04834">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diagStripe" w:color="auto" w:fill="auto"/>
            <w:noWrap/>
            <w:vAlign w:val="bottom"/>
            <w:hideMark/>
          </w:tcPr>
          <w:p w14:paraId="1C983591" w14:textId="77777777" w:rsidR="00D616F5" w:rsidRPr="00884312" w:rsidRDefault="00D616F5" w:rsidP="00E04834">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diagStripe" w:color="auto" w:fill="auto"/>
            <w:noWrap/>
            <w:vAlign w:val="bottom"/>
            <w:hideMark/>
          </w:tcPr>
          <w:p w14:paraId="164BC8C8" w14:textId="77777777" w:rsidR="00D616F5" w:rsidRPr="00884312" w:rsidRDefault="00D616F5" w:rsidP="00E04834">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diagStripe" w:color="auto" w:fill="auto"/>
            <w:noWrap/>
            <w:vAlign w:val="bottom"/>
            <w:hideMark/>
          </w:tcPr>
          <w:p w14:paraId="7462509C" w14:textId="77777777" w:rsidR="00D616F5" w:rsidRPr="00884312" w:rsidRDefault="00D616F5" w:rsidP="00E04834">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r>
      <w:tr w:rsidR="00D616F5" w:rsidRPr="00F67643" w14:paraId="263BBEEB" w14:textId="77777777" w:rsidTr="00E04834">
        <w:trPr>
          <w:trHeight w:val="300"/>
        </w:trPr>
        <w:tc>
          <w:tcPr>
            <w:tcW w:w="2127" w:type="dxa"/>
            <w:vMerge/>
            <w:tcBorders>
              <w:top w:val="single" w:sz="2" w:space="0" w:color="A6A6A6" w:themeColor="background1" w:themeShade="A6"/>
              <w:left w:val="single" w:sz="12" w:space="0" w:color="auto"/>
              <w:bottom w:val="single" w:sz="12" w:space="0" w:color="auto"/>
              <w:right w:val="single" w:sz="2" w:space="0" w:color="A6A6A6" w:themeColor="background1" w:themeShade="A6"/>
            </w:tcBorders>
            <w:vAlign w:val="center"/>
            <w:hideMark/>
          </w:tcPr>
          <w:p w14:paraId="7F9644C8" w14:textId="77777777" w:rsidR="00D616F5" w:rsidRPr="00884312" w:rsidRDefault="00D616F5" w:rsidP="00E04834">
            <w:pPr>
              <w:spacing w:after="0" w:line="240" w:lineRule="auto"/>
              <w:rPr>
                <w:rFonts w:ascii="Calibri" w:hAnsi="Calibri"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12" w:space="0" w:color="auto"/>
              <w:right w:val="single" w:sz="2" w:space="0" w:color="A6A6A6" w:themeColor="background1" w:themeShade="A6"/>
            </w:tcBorders>
            <w:shd w:val="clear" w:color="000000" w:fill="FFFFFF"/>
            <w:vAlign w:val="center"/>
            <w:hideMark/>
          </w:tcPr>
          <w:p w14:paraId="42D996AE" w14:textId="77777777" w:rsidR="00D616F5" w:rsidRPr="00884312" w:rsidRDefault="00D616F5" w:rsidP="00E04834">
            <w:pPr>
              <w:spacing w:after="0" w:line="240" w:lineRule="auto"/>
              <w:rPr>
                <w:rFonts w:ascii="Calibri" w:hAnsi="Calibri" w:cs="Times New Roman"/>
                <w:color w:val="000000"/>
                <w:lang w:eastAsia="en-GB"/>
              </w:rPr>
            </w:pPr>
            <w:r w:rsidRPr="00884312">
              <w:rPr>
                <w:rFonts w:ascii="Calibri" w:hAnsi="Calibri" w:cs="Times New Roman"/>
                <w:color w:val="000000"/>
                <w:lang w:eastAsia="en-GB"/>
              </w:rPr>
              <w:t>Economic contribution (#6.3)</w:t>
            </w:r>
          </w:p>
        </w:tc>
        <w:tc>
          <w:tcPr>
            <w:tcW w:w="491" w:type="dxa"/>
            <w:tcBorders>
              <w:top w:val="single" w:sz="2" w:space="0" w:color="A6A6A6" w:themeColor="background1" w:themeShade="A6"/>
              <w:left w:val="single" w:sz="2" w:space="0" w:color="A6A6A6" w:themeColor="background1" w:themeShade="A6"/>
              <w:bottom w:val="single" w:sz="12" w:space="0" w:color="auto"/>
              <w:right w:val="single" w:sz="2" w:space="0" w:color="A6A6A6" w:themeColor="background1" w:themeShade="A6"/>
            </w:tcBorders>
          </w:tcPr>
          <w:p w14:paraId="30766BF3" w14:textId="77777777" w:rsidR="00D616F5" w:rsidRPr="00884312" w:rsidRDefault="00D616F5" w:rsidP="00E04834">
            <w:pPr>
              <w:spacing w:after="0" w:line="240" w:lineRule="auto"/>
              <w:rPr>
                <w:rFonts w:ascii="Calibri" w:hAnsi="Calibri"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12" w:space="0" w:color="auto"/>
              <w:right w:val="single" w:sz="2" w:space="0" w:color="A6A6A6" w:themeColor="background1" w:themeShade="A6"/>
            </w:tcBorders>
            <w:shd w:val="clear" w:color="auto" w:fill="auto"/>
            <w:noWrap/>
            <w:vAlign w:val="bottom"/>
            <w:hideMark/>
          </w:tcPr>
          <w:p w14:paraId="4A1821D8" w14:textId="77777777" w:rsidR="00D616F5" w:rsidRPr="00884312" w:rsidRDefault="00D616F5" w:rsidP="00E04834">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91" w:type="dxa"/>
            <w:tcBorders>
              <w:top w:val="single" w:sz="2" w:space="0" w:color="A6A6A6" w:themeColor="background1" w:themeShade="A6"/>
              <w:left w:val="single" w:sz="2" w:space="0" w:color="A6A6A6" w:themeColor="background1" w:themeShade="A6"/>
              <w:bottom w:val="single" w:sz="12" w:space="0" w:color="auto"/>
              <w:right w:val="single" w:sz="2" w:space="0" w:color="A6A6A6" w:themeColor="background1" w:themeShade="A6"/>
            </w:tcBorders>
            <w:shd w:val="clear" w:color="auto" w:fill="auto"/>
            <w:noWrap/>
            <w:vAlign w:val="bottom"/>
            <w:hideMark/>
          </w:tcPr>
          <w:p w14:paraId="1AD729C5" w14:textId="77777777" w:rsidR="00D616F5" w:rsidRPr="00884312" w:rsidRDefault="00D616F5" w:rsidP="00E04834">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70" w:type="dxa"/>
            <w:tcBorders>
              <w:top w:val="single" w:sz="2" w:space="0" w:color="A6A6A6" w:themeColor="background1" w:themeShade="A6"/>
              <w:left w:val="single" w:sz="2" w:space="0" w:color="A6A6A6" w:themeColor="background1" w:themeShade="A6"/>
              <w:bottom w:val="single" w:sz="12" w:space="0" w:color="auto"/>
              <w:right w:val="single" w:sz="2" w:space="0" w:color="A6A6A6" w:themeColor="background1" w:themeShade="A6"/>
            </w:tcBorders>
            <w:shd w:val="clear" w:color="auto" w:fill="2D8B2A"/>
            <w:noWrap/>
            <w:vAlign w:val="bottom"/>
            <w:hideMark/>
          </w:tcPr>
          <w:p w14:paraId="4B6A3D49" w14:textId="77777777" w:rsidR="00D616F5" w:rsidRPr="00884312" w:rsidRDefault="00D616F5" w:rsidP="00E04834">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21" w:type="dxa"/>
            <w:tcBorders>
              <w:top w:val="single" w:sz="2" w:space="0" w:color="A6A6A6" w:themeColor="background1" w:themeShade="A6"/>
              <w:left w:val="single" w:sz="2" w:space="0" w:color="A6A6A6" w:themeColor="background1" w:themeShade="A6"/>
              <w:bottom w:val="single" w:sz="12" w:space="0" w:color="auto"/>
              <w:right w:val="single" w:sz="12" w:space="0" w:color="auto"/>
            </w:tcBorders>
            <w:shd w:val="clear" w:color="auto" w:fill="auto"/>
            <w:noWrap/>
            <w:vAlign w:val="bottom"/>
            <w:hideMark/>
          </w:tcPr>
          <w:p w14:paraId="45BE07BD" w14:textId="77777777" w:rsidR="00D616F5" w:rsidRPr="00884312" w:rsidRDefault="00D616F5" w:rsidP="00E04834">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r>
      <w:tr w:rsidR="00D616F5" w:rsidRPr="00F67643" w14:paraId="1A7AE148" w14:textId="77777777" w:rsidTr="00E04834">
        <w:trPr>
          <w:trHeight w:val="300"/>
        </w:trPr>
        <w:tc>
          <w:tcPr>
            <w:tcW w:w="2127" w:type="dxa"/>
            <w:vMerge w:val="restart"/>
            <w:tcBorders>
              <w:top w:val="single" w:sz="12" w:space="0" w:color="auto"/>
              <w:left w:val="single" w:sz="12" w:space="0" w:color="auto"/>
              <w:bottom w:val="single" w:sz="2" w:space="0" w:color="A6A6A6" w:themeColor="background1" w:themeShade="A6"/>
              <w:right w:val="single" w:sz="2" w:space="0" w:color="A6A6A6" w:themeColor="background1" w:themeShade="A6"/>
            </w:tcBorders>
            <w:shd w:val="clear" w:color="000000" w:fill="BFBFBF"/>
            <w:noWrap/>
            <w:vAlign w:val="center"/>
            <w:hideMark/>
          </w:tcPr>
          <w:p w14:paraId="5D180E5E" w14:textId="77777777" w:rsidR="00D616F5" w:rsidRPr="00884312" w:rsidRDefault="00D616F5" w:rsidP="00E04834">
            <w:pPr>
              <w:spacing w:after="0" w:line="240" w:lineRule="auto"/>
              <w:rPr>
                <w:rFonts w:ascii="Calibri" w:hAnsi="Calibri" w:cs="Times New Roman"/>
                <w:b/>
                <w:bCs/>
                <w:color w:val="000000"/>
                <w:lang w:eastAsia="en-GB"/>
              </w:rPr>
            </w:pPr>
            <w:r w:rsidRPr="00884312">
              <w:rPr>
                <w:rFonts w:ascii="Calibri" w:hAnsi="Calibri" w:cs="Times New Roman"/>
                <w:b/>
                <w:bCs/>
                <w:color w:val="000000"/>
                <w:lang w:eastAsia="en-GB"/>
              </w:rPr>
              <w:t>Outcomes and impact</w:t>
            </w:r>
          </w:p>
        </w:tc>
        <w:tc>
          <w:tcPr>
            <w:tcW w:w="4535" w:type="dxa"/>
            <w:gridSpan w:val="4"/>
            <w:tcBorders>
              <w:top w:val="single" w:sz="12" w:space="0" w:color="auto"/>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7EEC138C" w14:textId="77777777" w:rsidR="00D616F5" w:rsidRPr="00884312" w:rsidRDefault="00D616F5" w:rsidP="00E04834">
            <w:pPr>
              <w:spacing w:after="0" w:line="240" w:lineRule="auto"/>
              <w:rPr>
                <w:rFonts w:ascii="Calibri" w:hAnsi="Calibri" w:cs="Times New Roman"/>
                <w:color w:val="000000"/>
                <w:lang w:eastAsia="en-GB"/>
              </w:rPr>
            </w:pPr>
            <w:r w:rsidRPr="00884312">
              <w:rPr>
                <w:rFonts w:ascii="Calibri" w:hAnsi="Calibri" w:cs="Times New Roman"/>
                <w:color w:val="000000"/>
                <w:lang w:eastAsia="en-GB"/>
              </w:rPr>
              <w:t>Public debate (#7.1)</w:t>
            </w:r>
          </w:p>
        </w:tc>
        <w:tc>
          <w:tcPr>
            <w:tcW w:w="491" w:type="dxa"/>
            <w:tcBorders>
              <w:top w:val="single" w:sz="12" w:space="0" w:color="auto"/>
              <w:left w:val="single" w:sz="2" w:space="0" w:color="A6A6A6" w:themeColor="background1" w:themeShade="A6"/>
              <w:bottom w:val="single" w:sz="2" w:space="0" w:color="A6A6A6" w:themeColor="background1" w:themeShade="A6"/>
              <w:right w:val="single" w:sz="2" w:space="0" w:color="A6A6A6" w:themeColor="background1" w:themeShade="A6"/>
            </w:tcBorders>
          </w:tcPr>
          <w:p w14:paraId="41B6D52D" w14:textId="77777777" w:rsidR="00D616F5" w:rsidRPr="00884312" w:rsidRDefault="00D616F5" w:rsidP="00E04834">
            <w:pPr>
              <w:spacing w:after="0" w:line="240" w:lineRule="auto"/>
              <w:rPr>
                <w:rFonts w:ascii="Calibri" w:hAnsi="Calibri" w:cs="Times New Roman"/>
                <w:color w:val="000000"/>
                <w:lang w:eastAsia="en-GB"/>
              </w:rPr>
            </w:pPr>
          </w:p>
        </w:tc>
        <w:tc>
          <w:tcPr>
            <w:tcW w:w="532" w:type="dxa"/>
            <w:tcBorders>
              <w:top w:val="single" w:sz="12" w:space="0" w:color="auto"/>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1E1CE7CE" w14:textId="77777777" w:rsidR="00D616F5" w:rsidRPr="00884312" w:rsidRDefault="00D616F5" w:rsidP="00E04834">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91" w:type="dxa"/>
            <w:tcBorders>
              <w:top w:val="single" w:sz="12" w:space="0" w:color="auto"/>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55F5961D" w14:textId="77777777" w:rsidR="00D616F5" w:rsidRPr="00884312" w:rsidRDefault="00D616F5" w:rsidP="00E04834">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70" w:type="dxa"/>
            <w:tcBorders>
              <w:top w:val="single" w:sz="12" w:space="0" w:color="auto"/>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498CACED" w14:textId="77777777" w:rsidR="00D616F5" w:rsidRPr="00884312" w:rsidRDefault="00D616F5" w:rsidP="00E04834">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21" w:type="dxa"/>
            <w:tcBorders>
              <w:top w:val="single" w:sz="12" w:space="0" w:color="auto"/>
              <w:left w:val="single" w:sz="2" w:space="0" w:color="A6A6A6" w:themeColor="background1" w:themeShade="A6"/>
              <w:bottom w:val="single" w:sz="2" w:space="0" w:color="A6A6A6" w:themeColor="background1" w:themeShade="A6"/>
              <w:right w:val="single" w:sz="12" w:space="0" w:color="auto"/>
            </w:tcBorders>
            <w:shd w:val="clear" w:color="auto" w:fill="0076AF"/>
            <w:noWrap/>
            <w:vAlign w:val="bottom"/>
            <w:hideMark/>
          </w:tcPr>
          <w:p w14:paraId="34D2EA7F" w14:textId="77777777" w:rsidR="00D616F5" w:rsidRPr="00884312" w:rsidRDefault="00D616F5" w:rsidP="00E04834">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r>
      <w:tr w:rsidR="00D616F5" w:rsidRPr="00F67643" w14:paraId="28EF06EA" w14:textId="77777777" w:rsidTr="00E04834">
        <w:trPr>
          <w:trHeight w:val="282"/>
        </w:trPr>
        <w:tc>
          <w:tcPr>
            <w:tcW w:w="2127" w:type="dxa"/>
            <w:vMerge/>
            <w:tcBorders>
              <w:top w:val="single" w:sz="2" w:space="0" w:color="A6A6A6" w:themeColor="background1" w:themeShade="A6"/>
              <w:left w:val="single" w:sz="12" w:space="0" w:color="auto"/>
              <w:bottom w:val="single" w:sz="2" w:space="0" w:color="A6A6A6" w:themeColor="background1" w:themeShade="A6"/>
              <w:right w:val="single" w:sz="2" w:space="0" w:color="A6A6A6" w:themeColor="background1" w:themeShade="A6"/>
            </w:tcBorders>
            <w:vAlign w:val="center"/>
            <w:hideMark/>
          </w:tcPr>
          <w:p w14:paraId="77214425" w14:textId="77777777" w:rsidR="00D616F5" w:rsidRPr="00884312" w:rsidRDefault="00D616F5" w:rsidP="00E04834">
            <w:pPr>
              <w:spacing w:after="0" w:line="240" w:lineRule="auto"/>
              <w:rPr>
                <w:rFonts w:ascii="Calibri" w:hAnsi="Calibri"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52403A19" w14:textId="77777777" w:rsidR="00D616F5" w:rsidRPr="00884312" w:rsidRDefault="00D616F5" w:rsidP="00E04834">
            <w:pPr>
              <w:spacing w:after="0" w:line="240" w:lineRule="auto"/>
              <w:rPr>
                <w:rFonts w:ascii="Calibri" w:hAnsi="Calibri" w:cs="Times New Roman"/>
                <w:color w:val="000000"/>
                <w:lang w:eastAsia="en-GB"/>
              </w:rPr>
            </w:pPr>
            <w:r w:rsidRPr="00884312">
              <w:rPr>
                <w:rFonts w:ascii="Calibri" w:hAnsi="Calibri" w:cs="Times New Roman"/>
                <w:color w:val="000000"/>
                <w:lang w:eastAsia="en-GB"/>
              </w:rPr>
              <w:t>Data accessibility (#7.2)</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D9D9D9"/>
          </w:tcPr>
          <w:p w14:paraId="0501B843" w14:textId="77777777" w:rsidR="00D616F5" w:rsidRPr="00884312" w:rsidRDefault="00D616F5" w:rsidP="00E04834">
            <w:pPr>
              <w:spacing w:after="0" w:line="240" w:lineRule="auto"/>
              <w:rPr>
                <w:rFonts w:ascii="Calibri" w:hAnsi="Calibri"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D9D9D9"/>
            <w:noWrap/>
            <w:vAlign w:val="bottom"/>
            <w:hideMark/>
          </w:tcPr>
          <w:p w14:paraId="2E069A63" w14:textId="77777777" w:rsidR="00D616F5" w:rsidRPr="00884312" w:rsidRDefault="00D616F5" w:rsidP="00E04834">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D9D9D9"/>
            <w:noWrap/>
            <w:vAlign w:val="bottom"/>
            <w:hideMark/>
          </w:tcPr>
          <w:p w14:paraId="4E5D9CB5" w14:textId="77777777" w:rsidR="00D616F5" w:rsidRPr="00884312" w:rsidRDefault="00D616F5" w:rsidP="00E04834">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D9D9D9"/>
            <w:noWrap/>
            <w:vAlign w:val="bottom"/>
            <w:hideMark/>
          </w:tcPr>
          <w:p w14:paraId="7851B64C" w14:textId="77777777" w:rsidR="00D616F5" w:rsidRPr="00884312" w:rsidRDefault="00D616F5" w:rsidP="00E04834">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clear" w:color="000000" w:fill="D9D9D9"/>
            <w:noWrap/>
            <w:vAlign w:val="bottom"/>
            <w:hideMark/>
          </w:tcPr>
          <w:p w14:paraId="71CB8D0C" w14:textId="77777777" w:rsidR="00D616F5" w:rsidRPr="00884312" w:rsidRDefault="00D616F5" w:rsidP="00E04834">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r>
      <w:tr w:rsidR="00D616F5" w:rsidRPr="00F67643" w14:paraId="39B69959" w14:textId="77777777" w:rsidTr="00E04834">
        <w:trPr>
          <w:trHeight w:val="300"/>
        </w:trPr>
        <w:tc>
          <w:tcPr>
            <w:tcW w:w="2127" w:type="dxa"/>
            <w:vMerge/>
            <w:tcBorders>
              <w:top w:val="single" w:sz="2" w:space="0" w:color="A6A6A6" w:themeColor="background1" w:themeShade="A6"/>
              <w:left w:val="single" w:sz="12" w:space="0" w:color="auto"/>
              <w:bottom w:val="single" w:sz="2" w:space="0" w:color="A6A6A6" w:themeColor="background1" w:themeShade="A6"/>
              <w:right w:val="single" w:sz="2" w:space="0" w:color="A6A6A6" w:themeColor="background1" w:themeShade="A6"/>
            </w:tcBorders>
            <w:vAlign w:val="center"/>
            <w:hideMark/>
          </w:tcPr>
          <w:p w14:paraId="74E8F4BA" w14:textId="77777777" w:rsidR="00D616F5" w:rsidRPr="00884312" w:rsidRDefault="00D616F5" w:rsidP="00E04834">
            <w:pPr>
              <w:spacing w:after="0" w:line="240" w:lineRule="auto"/>
              <w:rPr>
                <w:rFonts w:ascii="Calibri" w:hAnsi="Calibri" w:cs="Times New Roman"/>
                <w:b/>
                <w:bCs/>
                <w:color w:val="000000"/>
                <w:lang w:eastAsia="en-GB"/>
              </w:rPr>
            </w:pPr>
            <w:bookmarkStart w:id="1" w:name="_Hlk501613451"/>
          </w:p>
        </w:tc>
        <w:tc>
          <w:tcPr>
            <w:tcW w:w="45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bottom"/>
            <w:hideMark/>
          </w:tcPr>
          <w:p w14:paraId="28018CD7" w14:textId="77777777" w:rsidR="00D616F5" w:rsidRPr="00884312" w:rsidRDefault="00D616F5" w:rsidP="00E04834">
            <w:pPr>
              <w:spacing w:after="0" w:line="240" w:lineRule="auto"/>
              <w:rPr>
                <w:rFonts w:ascii="Calibri" w:hAnsi="Calibri" w:cs="Times New Roman"/>
                <w:color w:val="000000"/>
                <w:lang w:eastAsia="en-GB"/>
              </w:rPr>
            </w:pPr>
            <w:r w:rsidRPr="00884312">
              <w:rPr>
                <w:rFonts w:ascii="Calibri" w:hAnsi="Calibri" w:cs="Times New Roman"/>
                <w:color w:val="000000"/>
                <w:lang w:eastAsia="en-GB"/>
              </w:rPr>
              <w:t>Follow up on recommendations (#7.3)</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tcPr>
          <w:p w14:paraId="5E84E4F4" w14:textId="77777777" w:rsidR="00D616F5" w:rsidRPr="00884312" w:rsidRDefault="00D616F5" w:rsidP="00E04834">
            <w:pPr>
              <w:spacing w:after="0" w:line="240" w:lineRule="auto"/>
              <w:rPr>
                <w:rFonts w:ascii="Calibri" w:hAnsi="Calibri"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noWrap/>
            <w:vAlign w:val="bottom"/>
            <w:hideMark/>
          </w:tcPr>
          <w:p w14:paraId="2B503E1B" w14:textId="77777777" w:rsidR="00D616F5" w:rsidRPr="00884312" w:rsidRDefault="00D616F5" w:rsidP="00E04834">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noWrap/>
            <w:vAlign w:val="bottom"/>
            <w:hideMark/>
          </w:tcPr>
          <w:p w14:paraId="406B6701" w14:textId="77777777" w:rsidR="00D616F5" w:rsidRPr="00884312" w:rsidRDefault="00D616F5" w:rsidP="00E04834">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noWrap/>
            <w:vAlign w:val="bottom"/>
            <w:hideMark/>
          </w:tcPr>
          <w:p w14:paraId="735B58FE" w14:textId="77777777" w:rsidR="00D616F5" w:rsidRPr="00884312" w:rsidRDefault="00D616F5" w:rsidP="00E04834">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2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clear" w:color="auto" w:fill="0076AF"/>
            <w:noWrap/>
            <w:vAlign w:val="bottom"/>
            <w:hideMark/>
          </w:tcPr>
          <w:p w14:paraId="1271FAFE" w14:textId="77777777" w:rsidR="00D616F5" w:rsidRPr="00884312" w:rsidRDefault="00D616F5" w:rsidP="00E04834">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r>
      <w:bookmarkEnd w:id="1"/>
      <w:tr w:rsidR="00D616F5" w:rsidRPr="00F67643" w14:paraId="2966E858" w14:textId="77777777" w:rsidTr="00E04834">
        <w:trPr>
          <w:trHeight w:val="300"/>
        </w:trPr>
        <w:tc>
          <w:tcPr>
            <w:tcW w:w="2127" w:type="dxa"/>
            <w:vMerge/>
            <w:tcBorders>
              <w:top w:val="single" w:sz="2" w:space="0" w:color="A6A6A6" w:themeColor="background1" w:themeShade="A6"/>
              <w:left w:val="single" w:sz="12" w:space="0" w:color="auto"/>
              <w:bottom w:val="single" w:sz="12" w:space="0" w:color="auto"/>
              <w:right w:val="single" w:sz="2" w:space="0" w:color="A6A6A6" w:themeColor="background1" w:themeShade="A6"/>
            </w:tcBorders>
            <w:vAlign w:val="center"/>
            <w:hideMark/>
          </w:tcPr>
          <w:p w14:paraId="2D25B237" w14:textId="77777777" w:rsidR="00D616F5" w:rsidRPr="00884312" w:rsidRDefault="00D616F5" w:rsidP="00E04834">
            <w:pPr>
              <w:spacing w:after="0" w:line="240" w:lineRule="auto"/>
              <w:rPr>
                <w:rFonts w:ascii="Calibri" w:hAnsi="Calibri" w:cs="Times New Roman"/>
                <w:b/>
                <w:bCs/>
                <w:color w:val="000000"/>
                <w:lang w:eastAsia="en-GB"/>
              </w:rPr>
            </w:pPr>
          </w:p>
        </w:tc>
        <w:tc>
          <w:tcPr>
            <w:tcW w:w="4535" w:type="dxa"/>
            <w:gridSpan w:val="4"/>
            <w:tcBorders>
              <w:top w:val="single" w:sz="2" w:space="0" w:color="A6A6A6" w:themeColor="background1" w:themeShade="A6"/>
              <w:left w:val="single" w:sz="2" w:space="0" w:color="A6A6A6" w:themeColor="background1" w:themeShade="A6"/>
              <w:bottom w:val="single" w:sz="12" w:space="0" w:color="auto"/>
              <w:right w:val="single" w:sz="2" w:space="0" w:color="A6A6A6" w:themeColor="background1" w:themeShade="A6"/>
            </w:tcBorders>
            <w:shd w:val="clear" w:color="auto" w:fill="auto"/>
            <w:noWrap/>
            <w:vAlign w:val="bottom"/>
            <w:hideMark/>
          </w:tcPr>
          <w:p w14:paraId="1A32BB61" w14:textId="77777777" w:rsidR="00D616F5" w:rsidRPr="00884312" w:rsidRDefault="00D616F5" w:rsidP="00E04834">
            <w:pPr>
              <w:spacing w:after="0" w:line="240" w:lineRule="auto"/>
              <w:rPr>
                <w:rFonts w:ascii="Calibri" w:hAnsi="Calibri" w:cs="Times New Roman"/>
                <w:color w:val="000000"/>
                <w:lang w:eastAsia="en-GB"/>
              </w:rPr>
            </w:pPr>
            <w:r w:rsidRPr="00884312">
              <w:rPr>
                <w:rFonts w:ascii="Calibri" w:hAnsi="Calibri" w:cs="Times New Roman"/>
                <w:color w:val="000000"/>
                <w:lang w:eastAsia="en-GB"/>
              </w:rPr>
              <w:t>Outcomes and impact of implementation (#7.4)</w:t>
            </w:r>
          </w:p>
        </w:tc>
        <w:tc>
          <w:tcPr>
            <w:tcW w:w="491" w:type="dxa"/>
            <w:tcBorders>
              <w:top w:val="single" w:sz="2" w:space="0" w:color="A6A6A6" w:themeColor="background1" w:themeShade="A6"/>
              <w:left w:val="single" w:sz="2" w:space="0" w:color="A6A6A6" w:themeColor="background1" w:themeShade="A6"/>
              <w:bottom w:val="single" w:sz="12" w:space="0" w:color="auto"/>
              <w:right w:val="single" w:sz="2" w:space="0" w:color="A6A6A6" w:themeColor="background1" w:themeShade="A6"/>
            </w:tcBorders>
          </w:tcPr>
          <w:p w14:paraId="274B3216" w14:textId="77777777" w:rsidR="00D616F5" w:rsidRPr="00884312" w:rsidRDefault="00D616F5" w:rsidP="00E04834">
            <w:pPr>
              <w:spacing w:after="0" w:line="240" w:lineRule="auto"/>
              <w:rPr>
                <w:rFonts w:ascii="Calibri" w:hAnsi="Calibri" w:cs="Times New Roman"/>
                <w:color w:val="000000"/>
                <w:lang w:eastAsia="en-GB"/>
              </w:rPr>
            </w:pPr>
          </w:p>
        </w:tc>
        <w:tc>
          <w:tcPr>
            <w:tcW w:w="532" w:type="dxa"/>
            <w:tcBorders>
              <w:top w:val="single" w:sz="2" w:space="0" w:color="A6A6A6" w:themeColor="background1" w:themeShade="A6"/>
              <w:left w:val="single" w:sz="2" w:space="0" w:color="A6A6A6" w:themeColor="background1" w:themeShade="A6"/>
              <w:bottom w:val="single" w:sz="12" w:space="0" w:color="auto"/>
              <w:right w:val="single" w:sz="2" w:space="0" w:color="A6A6A6" w:themeColor="background1" w:themeShade="A6"/>
            </w:tcBorders>
            <w:shd w:val="clear" w:color="auto" w:fill="auto"/>
            <w:noWrap/>
            <w:vAlign w:val="bottom"/>
            <w:hideMark/>
          </w:tcPr>
          <w:p w14:paraId="0ACD322A" w14:textId="77777777" w:rsidR="00D616F5" w:rsidRPr="00884312" w:rsidRDefault="00D616F5" w:rsidP="00E04834">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91" w:type="dxa"/>
            <w:tcBorders>
              <w:top w:val="single" w:sz="2" w:space="0" w:color="A6A6A6" w:themeColor="background1" w:themeShade="A6"/>
              <w:left w:val="single" w:sz="2" w:space="0" w:color="A6A6A6" w:themeColor="background1" w:themeShade="A6"/>
              <w:bottom w:val="single" w:sz="12" w:space="0" w:color="auto"/>
              <w:right w:val="single" w:sz="2" w:space="0" w:color="A6A6A6" w:themeColor="background1" w:themeShade="A6"/>
            </w:tcBorders>
            <w:shd w:val="clear" w:color="auto" w:fill="auto"/>
            <w:noWrap/>
            <w:vAlign w:val="bottom"/>
            <w:hideMark/>
          </w:tcPr>
          <w:p w14:paraId="7D0A2343" w14:textId="77777777" w:rsidR="00D616F5" w:rsidRPr="00884312" w:rsidRDefault="00D616F5" w:rsidP="00E04834">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70" w:type="dxa"/>
            <w:tcBorders>
              <w:top w:val="single" w:sz="2" w:space="0" w:color="A6A6A6" w:themeColor="background1" w:themeShade="A6"/>
              <w:left w:val="single" w:sz="2" w:space="0" w:color="A6A6A6" w:themeColor="background1" w:themeShade="A6"/>
              <w:bottom w:val="single" w:sz="12" w:space="0" w:color="auto"/>
              <w:right w:val="single" w:sz="2" w:space="0" w:color="A6A6A6" w:themeColor="background1" w:themeShade="A6"/>
            </w:tcBorders>
            <w:shd w:val="clear" w:color="000000" w:fill="2D8B2A"/>
            <w:noWrap/>
            <w:vAlign w:val="bottom"/>
            <w:hideMark/>
          </w:tcPr>
          <w:p w14:paraId="08F7AF6A" w14:textId="77777777" w:rsidR="00D616F5" w:rsidRPr="00884312" w:rsidRDefault="00D616F5" w:rsidP="00E04834">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c>
          <w:tcPr>
            <w:tcW w:w="421" w:type="dxa"/>
            <w:tcBorders>
              <w:top w:val="single" w:sz="2" w:space="0" w:color="A6A6A6" w:themeColor="background1" w:themeShade="A6"/>
              <w:left w:val="single" w:sz="2" w:space="0" w:color="A6A6A6" w:themeColor="background1" w:themeShade="A6"/>
              <w:bottom w:val="single" w:sz="12" w:space="0" w:color="auto"/>
              <w:right w:val="single" w:sz="12" w:space="0" w:color="auto"/>
            </w:tcBorders>
            <w:shd w:val="clear" w:color="auto" w:fill="auto"/>
            <w:noWrap/>
            <w:vAlign w:val="bottom"/>
            <w:hideMark/>
          </w:tcPr>
          <w:p w14:paraId="2111228B" w14:textId="77777777" w:rsidR="00D616F5" w:rsidRPr="00884312" w:rsidRDefault="00D616F5" w:rsidP="00E04834">
            <w:pPr>
              <w:spacing w:after="0" w:line="240" w:lineRule="auto"/>
              <w:rPr>
                <w:rFonts w:ascii="Calibri" w:hAnsi="Calibri" w:cs="Times New Roman"/>
                <w:color w:val="000000"/>
                <w:lang w:eastAsia="en-GB"/>
              </w:rPr>
            </w:pPr>
            <w:r w:rsidRPr="00884312">
              <w:rPr>
                <w:rFonts w:ascii="Calibri" w:hAnsi="Calibri" w:cs="Times New Roman"/>
                <w:color w:val="000000"/>
                <w:lang w:eastAsia="en-GB"/>
              </w:rPr>
              <w:t> </w:t>
            </w:r>
          </w:p>
        </w:tc>
      </w:tr>
    </w:tbl>
    <w:p w14:paraId="56D2F114" w14:textId="77777777" w:rsidR="00D616F5" w:rsidRDefault="00D616F5" w:rsidP="00F12713">
      <w:pPr>
        <w:spacing w:after="0" w:line="240" w:lineRule="auto"/>
        <w:rPr>
          <w:rFonts w:cstheme="minorHAnsi"/>
          <w:color w:val="000000" w:themeColor="text1"/>
          <w:lang w:eastAsia="en-GB"/>
        </w:rPr>
      </w:pPr>
    </w:p>
    <w:p w14:paraId="757772FE" w14:textId="77777777" w:rsidR="00D616F5" w:rsidRDefault="00D616F5" w:rsidP="00F12713">
      <w:pPr>
        <w:spacing w:after="0" w:line="240" w:lineRule="auto"/>
        <w:rPr>
          <w:rFonts w:cstheme="minorHAnsi"/>
          <w:color w:val="000000" w:themeColor="text1"/>
          <w:lang w:eastAsia="en-GB"/>
        </w:rPr>
      </w:pPr>
    </w:p>
    <w:p w14:paraId="7DA52E5A" w14:textId="77777777" w:rsidR="00C17CE1" w:rsidRDefault="00C17CE1" w:rsidP="00F12713">
      <w:pPr>
        <w:spacing w:after="0" w:line="240" w:lineRule="auto"/>
        <w:rPr>
          <w:rFonts w:cstheme="minorHAnsi"/>
          <w:color w:val="000000" w:themeColor="text1"/>
          <w:lang w:eastAsia="en-GB"/>
        </w:rPr>
      </w:pPr>
    </w:p>
    <w:p w14:paraId="5F98F715" w14:textId="77777777" w:rsidR="00D616F5" w:rsidRDefault="00D616F5" w:rsidP="00F12713">
      <w:pPr>
        <w:spacing w:after="0" w:line="240" w:lineRule="auto"/>
        <w:rPr>
          <w:rFonts w:cstheme="minorHAnsi"/>
          <w:color w:val="000000" w:themeColor="text1"/>
          <w:lang w:eastAsia="en-GB"/>
        </w:rPr>
      </w:pPr>
    </w:p>
    <w:p w14:paraId="44F02676" w14:textId="77777777" w:rsidR="00C17CE1" w:rsidRDefault="00C17CE1" w:rsidP="00F12713">
      <w:pPr>
        <w:spacing w:after="0" w:line="240" w:lineRule="auto"/>
        <w:rPr>
          <w:rFonts w:cstheme="minorHAnsi"/>
          <w:color w:val="000000" w:themeColor="text1"/>
          <w:lang w:eastAsia="en-GB"/>
        </w:rPr>
      </w:pPr>
    </w:p>
    <w:tbl>
      <w:tblPr>
        <w:tblW w:w="9896" w:type="dxa"/>
        <w:tblLook w:val="04A0" w:firstRow="1" w:lastRow="0" w:firstColumn="1" w:lastColumn="0" w:noHBand="0" w:noVBand="1"/>
      </w:tblPr>
      <w:tblGrid>
        <w:gridCol w:w="1050"/>
        <w:gridCol w:w="8846"/>
      </w:tblGrid>
      <w:tr w:rsidR="00C17CE1" w:rsidRPr="000F507E" w14:paraId="0CDC5770" w14:textId="77777777" w:rsidTr="00780054">
        <w:trPr>
          <w:trHeight w:val="380"/>
        </w:trPr>
        <w:tc>
          <w:tcPr>
            <w:tcW w:w="9896" w:type="dxa"/>
            <w:gridSpan w:val="2"/>
            <w:tcBorders>
              <w:top w:val="nil"/>
              <w:left w:val="nil"/>
              <w:bottom w:val="nil"/>
              <w:right w:val="nil"/>
            </w:tcBorders>
            <w:shd w:val="clear" w:color="auto" w:fill="auto"/>
            <w:noWrap/>
            <w:vAlign w:val="bottom"/>
            <w:hideMark/>
          </w:tcPr>
          <w:p w14:paraId="7BD3F148" w14:textId="77777777" w:rsidR="00C17CE1" w:rsidRPr="000F507E" w:rsidRDefault="00C17CE1" w:rsidP="00780054">
            <w:pPr>
              <w:spacing w:after="0" w:line="240" w:lineRule="auto"/>
              <w:rPr>
                <w:rFonts w:cs="Times New Roman"/>
                <w:i/>
                <w:color w:val="000000"/>
              </w:rPr>
            </w:pPr>
            <w:r w:rsidRPr="000F507E">
              <w:rPr>
                <w:rFonts w:cs="Times New Roman"/>
                <w:i/>
                <w:color w:val="000000"/>
              </w:rPr>
              <w:lastRenderedPageBreak/>
              <w:t>Legend to the assessment card</w:t>
            </w:r>
          </w:p>
        </w:tc>
      </w:tr>
      <w:tr w:rsidR="00C17CE1" w:rsidRPr="000F507E" w14:paraId="0EDB20C1" w14:textId="77777777" w:rsidTr="00780054">
        <w:trPr>
          <w:trHeight w:val="160"/>
        </w:trPr>
        <w:tc>
          <w:tcPr>
            <w:tcW w:w="1050" w:type="dxa"/>
            <w:tcBorders>
              <w:top w:val="nil"/>
              <w:left w:val="nil"/>
              <w:bottom w:val="nil"/>
              <w:right w:val="nil"/>
            </w:tcBorders>
            <w:shd w:val="clear" w:color="auto" w:fill="auto"/>
            <w:noWrap/>
            <w:vAlign w:val="bottom"/>
            <w:hideMark/>
          </w:tcPr>
          <w:p w14:paraId="7C1315F6" w14:textId="77777777" w:rsidR="00C17CE1" w:rsidRPr="000F507E" w:rsidRDefault="00C17CE1" w:rsidP="00780054">
            <w:pPr>
              <w:spacing w:after="0" w:line="240" w:lineRule="auto"/>
              <w:rPr>
                <w:rFonts w:cs="Times New Roman"/>
              </w:rPr>
            </w:pPr>
          </w:p>
        </w:tc>
        <w:tc>
          <w:tcPr>
            <w:tcW w:w="8846" w:type="dxa"/>
            <w:tcBorders>
              <w:top w:val="nil"/>
              <w:left w:val="nil"/>
              <w:bottom w:val="nil"/>
              <w:right w:val="nil"/>
            </w:tcBorders>
            <w:shd w:val="clear" w:color="auto" w:fill="auto"/>
            <w:noWrap/>
            <w:vAlign w:val="bottom"/>
            <w:hideMark/>
          </w:tcPr>
          <w:p w14:paraId="033E7A01" w14:textId="77777777" w:rsidR="00C17CE1" w:rsidRPr="000F507E" w:rsidRDefault="00C17CE1" w:rsidP="00780054">
            <w:pPr>
              <w:spacing w:after="0" w:line="240" w:lineRule="auto"/>
              <w:rPr>
                <w:rFonts w:cs="Times New Roman"/>
              </w:rPr>
            </w:pPr>
          </w:p>
        </w:tc>
      </w:tr>
      <w:tr w:rsidR="00C17CE1" w:rsidRPr="000F507E" w14:paraId="2C3E2917" w14:textId="77777777" w:rsidTr="00780054">
        <w:trPr>
          <w:trHeight w:val="600"/>
        </w:trPr>
        <w:tc>
          <w:tcPr>
            <w:tcW w:w="1050" w:type="dxa"/>
            <w:tcBorders>
              <w:top w:val="nil"/>
              <w:left w:val="nil"/>
              <w:bottom w:val="nil"/>
              <w:right w:val="nil"/>
            </w:tcBorders>
            <w:shd w:val="clear" w:color="000000" w:fill="C00000"/>
            <w:noWrap/>
            <w:vAlign w:val="bottom"/>
            <w:hideMark/>
          </w:tcPr>
          <w:p w14:paraId="07843BEC" w14:textId="77777777" w:rsidR="00C17CE1" w:rsidRPr="000F507E" w:rsidRDefault="00C17CE1" w:rsidP="00780054">
            <w:pPr>
              <w:spacing w:after="0" w:line="240" w:lineRule="auto"/>
              <w:rPr>
                <w:rFonts w:cs="Times New Roman"/>
                <w:color w:val="000000"/>
              </w:rPr>
            </w:pPr>
            <w:r w:rsidRPr="000F507E">
              <w:rPr>
                <w:rFonts w:cs="Times New Roman"/>
                <w:color w:val="000000"/>
              </w:rPr>
              <w:t> </w:t>
            </w:r>
          </w:p>
        </w:tc>
        <w:tc>
          <w:tcPr>
            <w:tcW w:w="8846" w:type="dxa"/>
            <w:tcBorders>
              <w:top w:val="nil"/>
              <w:left w:val="nil"/>
              <w:bottom w:val="single" w:sz="4" w:space="0" w:color="A6A6A6"/>
              <w:right w:val="nil"/>
            </w:tcBorders>
            <w:shd w:val="clear" w:color="auto" w:fill="auto"/>
            <w:hideMark/>
          </w:tcPr>
          <w:p w14:paraId="76FB92DD" w14:textId="77777777" w:rsidR="00C17CE1" w:rsidRPr="000F507E" w:rsidRDefault="00C17CE1" w:rsidP="00780054">
            <w:pPr>
              <w:spacing w:after="0" w:line="240" w:lineRule="auto"/>
              <w:rPr>
                <w:rFonts w:cs="Times New Roman"/>
                <w:color w:val="000000"/>
              </w:rPr>
            </w:pPr>
            <w:r w:rsidRPr="000F507E">
              <w:rPr>
                <w:rFonts w:cs="Times New Roman"/>
                <w:color w:val="000000"/>
              </w:rPr>
              <w:t>The country has made no progress in addressing the requirement.  The broader objective of the requirement is in no way fulfilled.</w:t>
            </w:r>
          </w:p>
        </w:tc>
      </w:tr>
      <w:tr w:rsidR="00C17CE1" w:rsidRPr="000F507E" w14:paraId="06B5998F" w14:textId="77777777" w:rsidTr="00780054">
        <w:trPr>
          <w:trHeight w:val="600"/>
        </w:trPr>
        <w:tc>
          <w:tcPr>
            <w:tcW w:w="1050" w:type="dxa"/>
            <w:tcBorders>
              <w:top w:val="nil"/>
              <w:left w:val="nil"/>
              <w:bottom w:val="nil"/>
              <w:right w:val="nil"/>
            </w:tcBorders>
            <w:shd w:val="clear" w:color="000000" w:fill="FAA725"/>
            <w:noWrap/>
            <w:vAlign w:val="bottom"/>
            <w:hideMark/>
          </w:tcPr>
          <w:p w14:paraId="67BB141F" w14:textId="77777777" w:rsidR="00C17CE1" w:rsidRPr="000F507E" w:rsidRDefault="00C17CE1" w:rsidP="00780054">
            <w:pPr>
              <w:spacing w:after="0" w:line="240" w:lineRule="auto"/>
              <w:rPr>
                <w:rFonts w:cs="Times New Roman"/>
                <w:color w:val="000000"/>
              </w:rPr>
            </w:pPr>
            <w:r w:rsidRPr="000F507E">
              <w:rPr>
                <w:rFonts w:cs="Times New Roman"/>
                <w:color w:val="000000"/>
              </w:rPr>
              <w:t> </w:t>
            </w:r>
          </w:p>
        </w:tc>
        <w:tc>
          <w:tcPr>
            <w:tcW w:w="8846" w:type="dxa"/>
            <w:tcBorders>
              <w:top w:val="nil"/>
              <w:left w:val="nil"/>
              <w:bottom w:val="single" w:sz="4" w:space="0" w:color="A6A6A6"/>
              <w:right w:val="nil"/>
            </w:tcBorders>
            <w:shd w:val="clear" w:color="auto" w:fill="auto"/>
            <w:hideMark/>
          </w:tcPr>
          <w:p w14:paraId="0EFFCF05" w14:textId="77777777" w:rsidR="00C17CE1" w:rsidRPr="000F507E" w:rsidRDefault="00C17CE1" w:rsidP="00780054">
            <w:pPr>
              <w:spacing w:after="0" w:line="240" w:lineRule="auto"/>
              <w:rPr>
                <w:rFonts w:cs="Times New Roman"/>
                <w:color w:val="000000"/>
              </w:rPr>
            </w:pPr>
            <w:r w:rsidRPr="000F507E">
              <w:rPr>
                <w:rFonts w:cs="Times New Roman"/>
                <w:color w:val="000000"/>
              </w:rPr>
              <w:t>The country has made inadequate progress in meeting the requirement. Significant elements of the requirement are outstanding and the broader objective of the requirement is far from being fulfilled.</w:t>
            </w:r>
          </w:p>
        </w:tc>
      </w:tr>
      <w:tr w:rsidR="00C17CE1" w:rsidRPr="000F507E" w14:paraId="44C7D0AB" w14:textId="77777777" w:rsidTr="00780054">
        <w:trPr>
          <w:trHeight w:val="612"/>
        </w:trPr>
        <w:tc>
          <w:tcPr>
            <w:tcW w:w="1050" w:type="dxa"/>
            <w:tcBorders>
              <w:top w:val="nil"/>
              <w:left w:val="nil"/>
              <w:bottom w:val="nil"/>
              <w:right w:val="nil"/>
            </w:tcBorders>
            <w:shd w:val="clear" w:color="000000" w:fill="84AE42"/>
            <w:noWrap/>
            <w:vAlign w:val="bottom"/>
            <w:hideMark/>
          </w:tcPr>
          <w:p w14:paraId="7FD0B2E6" w14:textId="77777777" w:rsidR="00C17CE1" w:rsidRPr="000F507E" w:rsidRDefault="00C17CE1" w:rsidP="00780054">
            <w:pPr>
              <w:spacing w:after="0" w:line="240" w:lineRule="auto"/>
              <w:rPr>
                <w:rFonts w:cs="Times New Roman"/>
                <w:color w:val="000000"/>
              </w:rPr>
            </w:pPr>
            <w:r w:rsidRPr="000F507E">
              <w:rPr>
                <w:rFonts w:cs="Times New Roman"/>
                <w:color w:val="000000"/>
              </w:rPr>
              <w:t> </w:t>
            </w:r>
          </w:p>
        </w:tc>
        <w:tc>
          <w:tcPr>
            <w:tcW w:w="8846" w:type="dxa"/>
            <w:tcBorders>
              <w:top w:val="nil"/>
              <w:left w:val="nil"/>
              <w:bottom w:val="single" w:sz="4" w:space="0" w:color="A6A6A6"/>
              <w:right w:val="nil"/>
            </w:tcBorders>
            <w:shd w:val="clear" w:color="auto" w:fill="auto"/>
            <w:hideMark/>
          </w:tcPr>
          <w:p w14:paraId="046C2B5A" w14:textId="77777777" w:rsidR="00C17CE1" w:rsidRPr="000F507E" w:rsidRDefault="00C17CE1" w:rsidP="00780054">
            <w:pPr>
              <w:spacing w:after="0" w:line="240" w:lineRule="auto"/>
              <w:rPr>
                <w:rFonts w:cs="Times New Roman"/>
                <w:color w:val="000000"/>
              </w:rPr>
            </w:pPr>
            <w:r w:rsidRPr="000F507E">
              <w:rPr>
                <w:rFonts w:cs="Times New Roman"/>
                <w:color w:val="000000"/>
              </w:rPr>
              <w:t xml:space="preserve">The country has made progress in meeting the requirement. Significant elements of the requirement are being implemented and the broader objective of the requirement is being fulfilled. </w:t>
            </w:r>
          </w:p>
        </w:tc>
      </w:tr>
      <w:tr w:rsidR="00C17CE1" w:rsidRPr="000F507E" w14:paraId="5B28EB83" w14:textId="77777777" w:rsidTr="00780054">
        <w:trPr>
          <w:trHeight w:val="580"/>
        </w:trPr>
        <w:tc>
          <w:tcPr>
            <w:tcW w:w="1050" w:type="dxa"/>
            <w:tcBorders>
              <w:top w:val="nil"/>
              <w:left w:val="nil"/>
              <w:bottom w:val="nil"/>
              <w:right w:val="nil"/>
            </w:tcBorders>
            <w:shd w:val="clear" w:color="000000" w:fill="227020"/>
            <w:noWrap/>
            <w:vAlign w:val="bottom"/>
            <w:hideMark/>
          </w:tcPr>
          <w:p w14:paraId="409D1A12" w14:textId="77777777" w:rsidR="00C17CE1" w:rsidRPr="000F507E" w:rsidRDefault="00C17CE1" w:rsidP="00780054">
            <w:pPr>
              <w:spacing w:after="0" w:line="240" w:lineRule="auto"/>
              <w:rPr>
                <w:rFonts w:cs="Times New Roman"/>
                <w:color w:val="000000"/>
              </w:rPr>
            </w:pPr>
            <w:r w:rsidRPr="000F507E">
              <w:rPr>
                <w:rFonts w:cs="Times New Roman"/>
                <w:color w:val="000000"/>
              </w:rPr>
              <w:t> </w:t>
            </w:r>
          </w:p>
        </w:tc>
        <w:tc>
          <w:tcPr>
            <w:tcW w:w="8846" w:type="dxa"/>
            <w:tcBorders>
              <w:top w:val="nil"/>
              <w:left w:val="nil"/>
              <w:bottom w:val="single" w:sz="4" w:space="0" w:color="A6A6A6"/>
              <w:right w:val="nil"/>
            </w:tcBorders>
            <w:shd w:val="clear" w:color="auto" w:fill="auto"/>
            <w:hideMark/>
          </w:tcPr>
          <w:p w14:paraId="65FDF83B" w14:textId="77777777" w:rsidR="00C17CE1" w:rsidRPr="000F507E" w:rsidRDefault="00C17CE1" w:rsidP="00780054">
            <w:pPr>
              <w:spacing w:after="0" w:line="240" w:lineRule="auto"/>
              <w:rPr>
                <w:rFonts w:cs="Times New Roman"/>
                <w:color w:val="000000"/>
              </w:rPr>
            </w:pPr>
            <w:r w:rsidRPr="000F507E">
              <w:rPr>
                <w:rFonts w:cs="Times New Roman"/>
                <w:color w:val="000000"/>
              </w:rPr>
              <w:t xml:space="preserve">The country is compliant with the EITI requirement. </w:t>
            </w:r>
          </w:p>
        </w:tc>
      </w:tr>
      <w:tr w:rsidR="00C17CE1" w:rsidRPr="000F507E" w14:paraId="0B2506A3" w14:textId="77777777" w:rsidTr="00780054">
        <w:trPr>
          <w:trHeight w:val="600"/>
        </w:trPr>
        <w:tc>
          <w:tcPr>
            <w:tcW w:w="1050" w:type="dxa"/>
            <w:tcBorders>
              <w:top w:val="nil"/>
              <w:left w:val="nil"/>
              <w:bottom w:val="nil"/>
              <w:right w:val="nil"/>
            </w:tcBorders>
            <w:shd w:val="clear" w:color="000000" w:fill="0076AF"/>
            <w:noWrap/>
            <w:vAlign w:val="bottom"/>
            <w:hideMark/>
          </w:tcPr>
          <w:p w14:paraId="4BDFF900" w14:textId="77777777" w:rsidR="00C17CE1" w:rsidRPr="000F507E" w:rsidRDefault="00C17CE1" w:rsidP="00780054">
            <w:pPr>
              <w:spacing w:after="0" w:line="240" w:lineRule="auto"/>
              <w:rPr>
                <w:rFonts w:cs="Times New Roman"/>
                <w:color w:val="000000"/>
              </w:rPr>
            </w:pPr>
            <w:r w:rsidRPr="000F507E">
              <w:rPr>
                <w:rFonts w:cs="Times New Roman"/>
                <w:color w:val="000000"/>
              </w:rPr>
              <w:t> </w:t>
            </w:r>
          </w:p>
        </w:tc>
        <w:tc>
          <w:tcPr>
            <w:tcW w:w="8846" w:type="dxa"/>
            <w:tcBorders>
              <w:top w:val="nil"/>
              <w:left w:val="nil"/>
              <w:bottom w:val="single" w:sz="4" w:space="0" w:color="A6A6A6"/>
              <w:right w:val="nil"/>
            </w:tcBorders>
            <w:shd w:val="clear" w:color="auto" w:fill="auto"/>
            <w:hideMark/>
          </w:tcPr>
          <w:p w14:paraId="6A604ADE" w14:textId="77777777" w:rsidR="00C17CE1" w:rsidRPr="000F507E" w:rsidRDefault="00C17CE1" w:rsidP="00780054">
            <w:pPr>
              <w:spacing w:after="0" w:line="240" w:lineRule="auto"/>
              <w:rPr>
                <w:rFonts w:cs="Times New Roman"/>
                <w:color w:val="000000"/>
              </w:rPr>
            </w:pPr>
            <w:r w:rsidRPr="000F507E">
              <w:rPr>
                <w:rFonts w:cs="Times New Roman"/>
                <w:color w:val="000000"/>
              </w:rPr>
              <w:t xml:space="preserve">The country has gone beyond the requirement. </w:t>
            </w:r>
          </w:p>
        </w:tc>
      </w:tr>
      <w:tr w:rsidR="00C17CE1" w:rsidRPr="000F507E" w14:paraId="47C096AB" w14:textId="77777777" w:rsidTr="00780054">
        <w:trPr>
          <w:trHeight w:val="600"/>
        </w:trPr>
        <w:tc>
          <w:tcPr>
            <w:tcW w:w="1050" w:type="dxa"/>
            <w:tcBorders>
              <w:top w:val="nil"/>
              <w:left w:val="nil"/>
              <w:bottom w:val="nil"/>
              <w:right w:val="nil"/>
            </w:tcBorders>
            <w:shd w:val="clear" w:color="000000" w:fill="D9D9D9"/>
            <w:noWrap/>
            <w:vAlign w:val="bottom"/>
            <w:hideMark/>
          </w:tcPr>
          <w:p w14:paraId="267C427B" w14:textId="77777777" w:rsidR="00C17CE1" w:rsidRPr="000F507E" w:rsidRDefault="00C17CE1" w:rsidP="00780054">
            <w:pPr>
              <w:spacing w:after="0" w:line="240" w:lineRule="auto"/>
              <w:jc w:val="center"/>
              <w:rPr>
                <w:rFonts w:cs="Times New Roman"/>
                <w:color w:val="000000"/>
              </w:rPr>
            </w:pPr>
            <w:r w:rsidRPr="000F507E">
              <w:rPr>
                <w:rFonts w:cs="Times New Roman"/>
                <w:color w:val="000000"/>
              </w:rPr>
              <w:t> </w:t>
            </w:r>
          </w:p>
        </w:tc>
        <w:tc>
          <w:tcPr>
            <w:tcW w:w="8846" w:type="dxa"/>
            <w:tcBorders>
              <w:top w:val="nil"/>
              <w:left w:val="nil"/>
              <w:bottom w:val="single" w:sz="4" w:space="0" w:color="A6A6A6"/>
              <w:right w:val="nil"/>
            </w:tcBorders>
            <w:shd w:val="clear" w:color="auto" w:fill="auto"/>
            <w:hideMark/>
          </w:tcPr>
          <w:p w14:paraId="080F230E" w14:textId="77777777" w:rsidR="00C17CE1" w:rsidRPr="000F507E" w:rsidRDefault="00C17CE1" w:rsidP="00780054">
            <w:pPr>
              <w:spacing w:after="0" w:line="240" w:lineRule="auto"/>
              <w:rPr>
                <w:rFonts w:cs="Times New Roman"/>
                <w:color w:val="000000"/>
              </w:rPr>
            </w:pPr>
            <w:r w:rsidRPr="000F507E">
              <w:rPr>
                <w:rFonts w:cs="Times New Roman"/>
                <w:color w:val="000000"/>
              </w:rPr>
              <w:t>This requirement is only encouraged or recommended and should not be taken into account in assessing compliance.</w:t>
            </w:r>
          </w:p>
        </w:tc>
      </w:tr>
      <w:tr w:rsidR="00C17CE1" w:rsidRPr="000F507E" w14:paraId="1C6C311F" w14:textId="77777777" w:rsidTr="00780054">
        <w:trPr>
          <w:trHeight w:val="560"/>
        </w:trPr>
        <w:tc>
          <w:tcPr>
            <w:tcW w:w="1050" w:type="dxa"/>
            <w:tcBorders>
              <w:top w:val="nil"/>
              <w:left w:val="nil"/>
              <w:bottom w:val="single" w:sz="4" w:space="0" w:color="A6A6A6" w:themeColor="background1" w:themeShade="A6"/>
              <w:right w:val="nil"/>
            </w:tcBorders>
            <w:shd w:val="diagStripe" w:color="D9D9D9" w:fill="auto"/>
            <w:noWrap/>
            <w:vAlign w:val="bottom"/>
            <w:hideMark/>
          </w:tcPr>
          <w:p w14:paraId="4260FC02" w14:textId="77777777" w:rsidR="00C17CE1" w:rsidRPr="000F507E" w:rsidRDefault="00C17CE1" w:rsidP="00780054">
            <w:pPr>
              <w:spacing w:after="0" w:line="240" w:lineRule="auto"/>
              <w:rPr>
                <w:rFonts w:cs="Times New Roman"/>
                <w:color w:val="000000"/>
              </w:rPr>
            </w:pPr>
          </w:p>
        </w:tc>
        <w:tc>
          <w:tcPr>
            <w:tcW w:w="8846" w:type="dxa"/>
            <w:tcBorders>
              <w:top w:val="nil"/>
              <w:left w:val="nil"/>
              <w:bottom w:val="single" w:sz="4" w:space="0" w:color="A6A6A6" w:themeColor="background1" w:themeShade="A6"/>
              <w:right w:val="nil"/>
            </w:tcBorders>
            <w:shd w:val="clear" w:color="auto" w:fill="auto"/>
            <w:hideMark/>
          </w:tcPr>
          <w:p w14:paraId="1DB0A30F" w14:textId="77777777" w:rsidR="00C17CE1" w:rsidRPr="000F507E" w:rsidRDefault="00C17CE1" w:rsidP="00780054">
            <w:pPr>
              <w:spacing w:after="0" w:line="240" w:lineRule="auto"/>
              <w:rPr>
                <w:rFonts w:cs="Times New Roman"/>
                <w:color w:val="000000"/>
              </w:rPr>
            </w:pPr>
            <w:r w:rsidRPr="000F507E">
              <w:rPr>
                <w:rFonts w:cs="Times New Roman"/>
                <w:color w:val="000000"/>
              </w:rPr>
              <w:t xml:space="preserve">The MSG has demonstrated that this requirement is not applicable in the country. </w:t>
            </w:r>
          </w:p>
        </w:tc>
      </w:tr>
    </w:tbl>
    <w:p w14:paraId="2AFE60CA" w14:textId="77777777" w:rsidR="00C17CE1" w:rsidRDefault="00C17CE1" w:rsidP="00F12713">
      <w:pPr>
        <w:spacing w:after="0" w:line="240" w:lineRule="auto"/>
        <w:rPr>
          <w:rFonts w:cstheme="minorHAnsi"/>
          <w:color w:val="000000" w:themeColor="text1"/>
          <w:lang w:eastAsia="en-GB"/>
        </w:rPr>
      </w:pPr>
    </w:p>
    <w:p w14:paraId="183C2573" w14:textId="6F81D548" w:rsidR="00A67544" w:rsidRPr="005625E1" w:rsidRDefault="002D2440" w:rsidP="00F12713">
      <w:pPr>
        <w:spacing w:after="0" w:line="240" w:lineRule="auto"/>
        <w:rPr>
          <w:rFonts w:cstheme="minorHAnsi"/>
          <w:b/>
          <w:color w:val="365F91" w:themeColor="accent1" w:themeShade="BF"/>
        </w:rPr>
      </w:pPr>
      <w:r w:rsidRPr="005625E1">
        <w:rPr>
          <w:rFonts w:cstheme="minorHAnsi"/>
          <w:b/>
          <w:color w:val="365F91" w:themeColor="accent1" w:themeShade="BF"/>
        </w:rPr>
        <w:br w:type="page"/>
      </w:r>
      <w:r w:rsidR="00FA28A9">
        <w:rPr>
          <w:rFonts w:cstheme="minorHAnsi"/>
          <w:b/>
          <w:color w:val="365F91" w:themeColor="accent1" w:themeShade="BF"/>
        </w:rPr>
        <w:lastRenderedPageBreak/>
        <w:t>4</w:t>
      </w:r>
      <w:r w:rsidR="00A67544" w:rsidRPr="005625E1">
        <w:rPr>
          <w:rFonts w:cstheme="minorHAnsi"/>
          <w:b/>
          <w:color w:val="365F91" w:themeColor="accent1" w:themeShade="BF"/>
        </w:rPr>
        <w:t>.</w:t>
      </w:r>
      <w:r w:rsidR="00310D77" w:rsidRPr="005625E1">
        <w:rPr>
          <w:rFonts w:cstheme="minorHAnsi"/>
          <w:b/>
          <w:color w:val="365F91" w:themeColor="accent1" w:themeShade="BF"/>
        </w:rPr>
        <w:tab/>
      </w:r>
      <w:r w:rsidR="00FD1CB7" w:rsidRPr="005625E1">
        <w:rPr>
          <w:rFonts w:cstheme="minorHAnsi"/>
          <w:b/>
          <w:color w:val="365F91" w:themeColor="accent1" w:themeShade="BF"/>
        </w:rPr>
        <w:t xml:space="preserve">DETAILED FINDINGS </w:t>
      </w:r>
    </w:p>
    <w:p w14:paraId="10C12F4D" w14:textId="77777777" w:rsidR="00824402" w:rsidRDefault="00824402" w:rsidP="00F12713">
      <w:pPr>
        <w:spacing w:after="0" w:line="240" w:lineRule="auto"/>
        <w:rPr>
          <w:rFonts w:cstheme="minorHAnsi"/>
          <w:b/>
        </w:rPr>
      </w:pPr>
    </w:p>
    <w:p w14:paraId="424483FF" w14:textId="77777777" w:rsidR="002128A6" w:rsidRDefault="002128A6" w:rsidP="001D2B22">
      <w:pPr>
        <w:spacing w:after="0" w:line="240" w:lineRule="auto"/>
        <w:jc w:val="both"/>
        <w:rPr>
          <w:rFonts w:cstheme="minorHAnsi"/>
        </w:rPr>
      </w:pPr>
      <w:r>
        <w:rPr>
          <w:rFonts w:cstheme="minorHAnsi"/>
        </w:rPr>
        <w:t>The Validator agrees with the findings of the Initial Assessment.  Therefore there are no detailed findings on disagreements to report.</w:t>
      </w:r>
    </w:p>
    <w:p w14:paraId="5408CCA0" w14:textId="77777777" w:rsidR="00A938B1" w:rsidRDefault="00A938B1" w:rsidP="00A938B1">
      <w:pPr>
        <w:spacing w:after="0" w:line="240" w:lineRule="auto"/>
        <w:rPr>
          <w:rFonts w:cstheme="minorHAnsi"/>
        </w:rPr>
      </w:pPr>
    </w:p>
    <w:p w14:paraId="709EEE9D" w14:textId="77777777" w:rsidR="00A938B1" w:rsidRPr="00A938B1" w:rsidRDefault="00A938B1" w:rsidP="00A938B1">
      <w:pPr>
        <w:spacing w:after="0" w:line="240" w:lineRule="auto"/>
        <w:rPr>
          <w:rFonts w:cstheme="minorHAnsi"/>
        </w:rPr>
      </w:pPr>
    </w:p>
    <w:p w14:paraId="53E190DE" w14:textId="4ABE9342" w:rsidR="00766D41" w:rsidRPr="005625E1" w:rsidRDefault="00FA28A9" w:rsidP="00D03129">
      <w:pPr>
        <w:spacing w:after="0" w:line="240" w:lineRule="auto"/>
        <w:ind w:left="720" w:hanging="720"/>
        <w:rPr>
          <w:rFonts w:cstheme="minorHAnsi"/>
          <w:b/>
          <w:color w:val="1F497D" w:themeColor="text2"/>
        </w:rPr>
      </w:pPr>
      <w:r>
        <w:rPr>
          <w:rFonts w:cstheme="minorHAnsi"/>
          <w:b/>
          <w:color w:val="1F497D" w:themeColor="text2"/>
        </w:rPr>
        <w:t>5</w:t>
      </w:r>
      <w:r w:rsidR="00310D77" w:rsidRPr="005625E1">
        <w:rPr>
          <w:rFonts w:cstheme="minorHAnsi"/>
          <w:b/>
          <w:color w:val="1F497D" w:themeColor="text2"/>
        </w:rPr>
        <w:t>.</w:t>
      </w:r>
      <w:r w:rsidR="00310D77" w:rsidRPr="005625E1">
        <w:rPr>
          <w:rFonts w:cstheme="minorHAnsi"/>
          <w:b/>
          <w:color w:val="1F497D" w:themeColor="text2"/>
        </w:rPr>
        <w:tab/>
      </w:r>
      <w:r w:rsidR="00766D41" w:rsidRPr="005625E1">
        <w:rPr>
          <w:rFonts w:cstheme="minorHAnsi"/>
          <w:b/>
          <w:color w:val="1F497D" w:themeColor="text2"/>
        </w:rPr>
        <w:t>RECOMMENDATIONS</w:t>
      </w:r>
      <w:r w:rsidR="00310D77" w:rsidRPr="005625E1">
        <w:rPr>
          <w:rFonts w:cstheme="minorHAnsi"/>
          <w:b/>
          <w:color w:val="1F497D" w:themeColor="text2"/>
        </w:rPr>
        <w:t xml:space="preserve"> </w:t>
      </w:r>
    </w:p>
    <w:p w14:paraId="0F7F6A38" w14:textId="77954A7A" w:rsidR="00823D46" w:rsidRDefault="00823D46" w:rsidP="00F12713">
      <w:pPr>
        <w:spacing w:after="0" w:line="240" w:lineRule="auto"/>
        <w:ind w:left="720" w:hanging="720"/>
        <w:rPr>
          <w:rFonts w:cstheme="minorHAnsi"/>
          <w:b/>
          <w:color w:val="FF0000"/>
        </w:rPr>
      </w:pPr>
    </w:p>
    <w:p w14:paraId="1E173235" w14:textId="77777777" w:rsidR="00622FEF" w:rsidRPr="002815F4" w:rsidRDefault="00622FEF" w:rsidP="00622FEF">
      <w:pPr>
        <w:pStyle w:val="ListParagraph"/>
        <w:widowControl w:val="0"/>
        <w:numPr>
          <w:ilvl w:val="0"/>
          <w:numId w:val="10"/>
        </w:numPr>
        <w:suppressAutoHyphens/>
        <w:spacing w:before="120" w:after="240" w:line="264" w:lineRule="auto"/>
        <w:ind w:left="714" w:hanging="357"/>
        <w:contextualSpacing w:val="0"/>
        <w:rPr>
          <w:rFonts w:eastAsia="Calibri"/>
        </w:rPr>
      </w:pPr>
      <w:r w:rsidRPr="002815F4">
        <w:t>The MSG may wish to review EITI Senegal’s MSG foundational decree (</w:t>
      </w:r>
      <w:proofErr w:type="spellStart"/>
      <w:r w:rsidRPr="002815F4">
        <w:t>Décret</w:t>
      </w:r>
      <w:proofErr w:type="spellEnd"/>
      <w:r w:rsidRPr="002815F4">
        <w:t xml:space="preserve"> 2013-881) to ensure that EITI Senegal’s governance rules are in line with actual practice, particularly on meeting quorum and MSG member alternates.</w:t>
      </w:r>
      <w:r w:rsidRPr="002815F4" w:rsidDel="00DE3B6E">
        <w:t xml:space="preserve"> </w:t>
      </w:r>
    </w:p>
    <w:p w14:paraId="7AEDCAFB" w14:textId="77777777" w:rsidR="00622FEF" w:rsidRPr="002815F4" w:rsidRDefault="00622FEF" w:rsidP="00622FEF">
      <w:pPr>
        <w:pStyle w:val="ListParagraph"/>
        <w:widowControl w:val="0"/>
        <w:numPr>
          <w:ilvl w:val="0"/>
          <w:numId w:val="10"/>
        </w:numPr>
        <w:suppressAutoHyphens/>
        <w:spacing w:before="120" w:after="240" w:line="264" w:lineRule="auto"/>
        <w:ind w:left="714" w:hanging="357"/>
        <w:contextualSpacing w:val="0"/>
        <w:rPr>
          <w:rFonts w:eastAsia="Calibri"/>
        </w:rPr>
      </w:pPr>
      <w:r w:rsidRPr="002815F4">
        <w:t xml:space="preserve">The industry constituency may wish </w:t>
      </w:r>
      <w:r>
        <w:t xml:space="preserve">to </w:t>
      </w:r>
      <w:r w:rsidRPr="002815F4">
        <w:t>enhance, systematise and formalise its coordination between companies involved in EITI implementation beyond those directly represented on the MSG. The industry constituency is also encouraged to formalise its procedures for nominating and replacing its MSG members (</w:t>
      </w:r>
      <w:r w:rsidRPr="002815F4">
        <w:rPr>
          <w:i/>
        </w:rPr>
        <w:t>see Requirement 1.4</w:t>
      </w:r>
      <w:r w:rsidRPr="002815F4">
        <w:t>).</w:t>
      </w:r>
      <w:r w:rsidRPr="002815F4" w:rsidDel="00DE3B6E">
        <w:t xml:space="preserve"> </w:t>
      </w:r>
    </w:p>
    <w:p w14:paraId="0F90F413" w14:textId="77777777" w:rsidR="00622FEF" w:rsidRPr="002815F4" w:rsidRDefault="00622FEF" w:rsidP="00622FEF">
      <w:pPr>
        <w:pStyle w:val="ListParagraph"/>
        <w:widowControl w:val="0"/>
        <w:numPr>
          <w:ilvl w:val="0"/>
          <w:numId w:val="10"/>
        </w:numPr>
        <w:suppressAutoHyphens/>
        <w:spacing w:before="120" w:after="240" w:line="264" w:lineRule="auto"/>
        <w:ind w:left="714" w:hanging="357"/>
        <w:contextualSpacing w:val="0"/>
        <w:rPr>
          <w:rFonts w:eastAsia="Calibri"/>
        </w:rPr>
      </w:pPr>
      <w:r w:rsidRPr="002815F4">
        <w:t>The MSG may wish to pursue its capacity building efforts targeting civil society and the press on the use of EITI data and other aspects such as contract analysis.</w:t>
      </w:r>
    </w:p>
    <w:p w14:paraId="46F03E2A" w14:textId="77777777" w:rsidR="00622FEF" w:rsidRPr="002815F4" w:rsidRDefault="00622FEF" w:rsidP="00622FEF">
      <w:pPr>
        <w:pStyle w:val="ListParagraph"/>
        <w:widowControl w:val="0"/>
        <w:numPr>
          <w:ilvl w:val="0"/>
          <w:numId w:val="10"/>
        </w:numPr>
        <w:suppressAutoHyphens/>
        <w:spacing w:before="120" w:after="240" w:line="264" w:lineRule="auto"/>
        <w:ind w:left="714" w:hanging="357"/>
        <w:contextualSpacing w:val="0"/>
        <w:rPr>
          <w:rFonts w:eastAsia="Calibri"/>
        </w:rPr>
      </w:pPr>
      <w:r w:rsidRPr="002815F4">
        <w:t xml:space="preserve">The MSG may wish to support each constituency’s codification of its own nominations and replacement procedures for MSG members. </w:t>
      </w:r>
    </w:p>
    <w:p w14:paraId="098DB31E" w14:textId="77777777" w:rsidR="00622FEF" w:rsidRPr="00622FEF" w:rsidRDefault="00622FEF" w:rsidP="00622FEF">
      <w:pPr>
        <w:pStyle w:val="ListParagraph"/>
        <w:widowControl w:val="0"/>
        <w:numPr>
          <w:ilvl w:val="0"/>
          <w:numId w:val="10"/>
        </w:numPr>
        <w:suppressAutoHyphens/>
        <w:spacing w:before="120" w:after="240" w:line="264" w:lineRule="auto"/>
        <w:ind w:left="714" w:hanging="357"/>
        <w:contextualSpacing w:val="0"/>
        <w:rPr>
          <w:rFonts w:cstheme="minorHAnsi"/>
        </w:rPr>
      </w:pPr>
      <w:r w:rsidRPr="00622FEF">
        <w:rPr>
          <w:rFonts w:cstheme="minorHAnsi"/>
        </w:rPr>
        <w:t>The MSG may wish to publish more regular updates of its work plan execution to reflect the detail with which the MSG and secretariat track implementation. This could further support the MSG’s efforts to reach out to prospective donors to support specific work plan activities.</w:t>
      </w:r>
      <w:r w:rsidRPr="00622FEF" w:rsidDel="00E80094">
        <w:rPr>
          <w:rFonts w:cstheme="minorHAnsi"/>
        </w:rPr>
        <w:t xml:space="preserve"> </w:t>
      </w:r>
    </w:p>
    <w:p w14:paraId="1C1D41EB" w14:textId="77777777" w:rsidR="00622FEF" w:rsidRPr="002815F4" w:rsidRDefault="00622FEF" w:rsidP="00622FEF">
      <w:pPr>
        <w:pStyle w:val="ListParagraph"/>
        <w:widowControl w:val="0"/>
        <w:numPr>
          <w:ilvl w:val="0"/>
          <w:numId w:val="10"/>
        </w:numPr>
        <w:suppressAutoHyphens/>
        <w:spacing w:before="120" w:after="240" w:line="264" w:lineRule="auto"/>
        <w:ind w:left="714" w:hanging="357"/>
        <w:contextualSpacing w:val="0"/>
        <w:rPr>
          <w:rFonts w:eastAsia="Calibri"/>
        </w:rPr>
      </w:pPr>
      <w:r w:rsidRPr="002815F4">
        <w:t xml:space="preserve">The government is encouraged to continue its efforts to engage a broad range of stakeholders in governance reforms in the mining, oil and gas sectors, as it has done in revisions to the Mining Code in 2016. </w:t>
      </w:r>
    </w:p>
    <w:p w14:paraId="29769ACE" w14:textId="77777777" w:rsidR="00622FEF" w:rsidRPr="00042BB0" w:rsidRDefault="00622FEF" w:rsidP="00622FEF">
      <w:pPr>
        <w:pStyle w:val="ListParagraph"/>
        <w:widowControl w:val="0"/>
        <w:numPr>
          <w:ilvl w:val="0"/>
          <w:numId w:val="10"/>
        </w:numPr>
        <w:suppressAutoHyphens/>
        <w:spacing w:before="120" w:after="240" w:line="264" w:lineRule="auto"/>
        <w:ind w:left="714" w:hanging="357"/>
        <w:contextualSpacing w:val="0"/>
        <w:rPr>
          <w:rFonts w:eastAsia="Calibri"/>
        </w:rPr>
      </w:pPr>
      <w:r>
        <w:t>T</w:t>
      </w:r>
      <w:r w:rsidRPr="00E72A69">
        <w:t>he MSG is encouraged to highlight any non-trivial deviations from the applicable legal and regulatory framework governing license transfers and awards in the allocation of licenses in the oil, gas and mining sectors in the year(s) under review. The government is encouraged to continue its efforts to standardize the technical and financial criteria for the allocation of licenses.</w:t>
      </w:r>
    </w:p>
    <w:p w14:paraId="461DA0C9" w14:textId="77777777" w:rsidR="00622FEF" w:rsidRPr="002815F4" w:rsidRDefault="00622FEF" w:rsidP="00622FEF">
      <w:pPr>
        <w:pStyle w:val="ListParagraph"/>
        <w:widowControl w:val="0"/>
        <w:numPr>
          <w:ilvl w:val="0"/>
          <w:numId w:val="10"/>
        </w:numPr>
        <w:suppressAutoHyphens/>
        <w:spacing w:before="120" w:after="240" w:line="264" w:lineRule="auto"/>
        <w:ind w:left="714" w:hanging="357"/>
        <w:contextualSpacing w:val="0"/>
        <w:rPr>
          <w:rFonts w:eastAsia="Calibri"/>
        </w:rPr>
      </w:pPr>
      <w:r w:rsidRPr="002815F4">
        <w:t>The MSG may wish to maintain a publicly available register or cadastral system(s) with timely and comprehensive information on each of the mining, oil and gas licenses, including their coordinates.</w:t>
      </w:r>
    </w:p>
    <w:p w14:paraId="79AE1196" w14:textId="77777777" w:rsidR="00622FEF" w:rsidRPr="002815F4" w:rsidRDefault="00622FEF" w:rsidP="00622FEF">
      <w:pPr>
        <w:pStyle w:val="ListParagraph"/>
        <w:widowControl w:val="0"/>
        <w:numPr>
          <w:ilvl w:val="0"/>
          <w:numId w:val="10"/>
        </w:numPr>
        <w:suppressAutoHyphens/>
        <w:spacing w:before="120" w:after="240" w:line="264" w:lineRule="auto"/>
        <w:ind w:left="714" w:hanging="357"/>
        <w:contextualSpacing w:val="0"/>
        <w:rPr>
          <w:rFonts w:eastAsia="Calibri"/>
        </w:rPr>
      </w:pPr>
      <w:bookmarkStart w:id="2" w:name="_Hlk497474546"/>
      <w:r w:rsidRPr="002815F4">
        <w:rPr>
          <w:rFonts w:eastAsia="Calibri"/>
        </w:rPr>
        <w:t xml:space="preserve">The MSG may wish to ensure that </w:t>
      </w:r>
      <w:r>
        <w:rPr>
          <w:rFonts w:eastAsia="Calibri"/>
        </w:rPr>
        <w:t>the</w:t>
      </w:r>
      <w:r w:rsidRPr="002815F4">
        <w:rPr>
          <w:rFonts w:eastAsia="Calibri"/>
        </w:rPr>
        <w:t xml:space="preserve"> legal obligations in the Transparency Code, sector legislation and actual practice in contract </w:t>
      </w:r>
      <w:r>
        <w:rPr>
          <w:rFonts w:eastAsia="Calibri"/>
        </w:rPr>
        <w:t>transparency are consistent</w:t>
      </w:r>
      <w:r w:rsidRPr="002815F4">
        <w:rPr>
          <w:rFonts w:eastAsia="Calibri"/>
        </w:rPr>
        <w:t xml:space="preserve">. </w:t>
      </w:r>
      <w:bookmarkEnd w:id="2"/>
      <w:r w:rsidRPr="002815F4">
        <w:rPr>
          <w:rFonts w:eastAsia="Calibri"/>
        </w:rPr>
        <w:t>The MSG is also encouraged to continue categorising the published contracts and training stakeholders on extracting key information and using published contracts.</w:t>
      </w:r>
    </w:p>
    <w:p w14:paraId="25E5AE24" w14:textId="77777777" w:rsidR="00622FEF" w:rsidRPr="002815F4" w:rsidRDefault="00622FEF" w:rsidP="00622FEF">
      <w:pPr>
        <w:pStyle w:val="ListParagraph"/>
        <w:widowControl w:val="0"/>
        <w:numPr>
          <w:ilvl w:val="0"/>
          <w:numId w:val="10"/>
        </w:numPr>
        <w:suppressAutoHyphens/>
        <w:spacing w:before="120" w:after="240" w:line="264" w:lineRule="auto"/>
        <w:ind w:left="714" w:hanging="357"/>
        <w:contextualSpacing w:val="0"/>
        <w:rPr>
          <w:rFonts w:eastAsia="Calibri"/>
        </w:rPr>
      </w:pPr>
      <w:r w:rsidRPr="002815F4">
        <w:rPr>
          <w:rFonts w:eastAsia="Calibri"/>
        </w:rPr>
        <w:t xml:space="preserve">The MSG may wish to pilot beneficial ownership reporting in the forthcoming EITI Report to increase awareness of beneficial ownership transparency and pilot beneficial ownership definitions and thresholds. In particular, the MSG may wish to consider the various types of control that can be exercised over a company. Senegal EITI may also wish to conduct broader </w:t>
      </w:r>
      <w:r>
        <w:rPr>
          <w:rFonts w:eastAsia="Calibri"/>
        </w:rPr>
        <w:t xml:space="preserve">industry </w:t>
      </w:r>
      <w:r w:rsidRPr="002815F4">
        <w:rPr>
          <w:rFonts w:eastAsia="Calibri"/>
        </w:rPr>
        <w:t>outreach on the objectives of beneficial ownership transparency, as well as hold conversations with government agencies on how to make such disclosures mandatory.</w:t>
      </w:r>
    </w:p>
    <w:p w14:paraId="77565E49" w14:textId="77777777" w:rsidR="00622FEF" w:rsidRPr="00042BB0" w:rsidRDefault="00622FEF" w:rsidP="00622FEF">
      <w:pPr>
        <w:pStyle w:val="ListParagraph"/>
        <w:widowControl w:val="0"/>
        <w:numPr>
          <w:ilvl w:val="0"/>
          <w:numId w:val="10"/>
        </w:numPr>
        <w:suppressAutoHyphens/>
        <w:spacing w:before="120" w:after="240" w:line="264" w:lineRule="auto"/>
        <w:ind w:left="714" w:hanging="357"/>
        <w:contextualSpacing w:val="0"/>
      </w:pPr>
      <w:r w:rsidRPr="00FF1374">
        <w:t>In line with Requirement 2.6</w:t>
      </w:r>
      <w:r w:rsidRPr="00042BB0">
        <w:t xml:space="preserve">, the MSG should clarify the statutory regulations on the financial relationship between </w:t>
      </w:r>
      <w:proofErr w:type="spellStart"/>
      <w:r w:rsidRPr="00042BB0">
        <w:t>Petrosen</w:t>
      </w:r>
      <w:proofErr w:type="spellEnd"/>
      <w:r w:rsidRPr="00042BB0">
        <w:t xml:space="preserve">, </w:t>
      </w:r>
      <w:proofErr w:type="spellStart"/>
      <w:r w:rsidRPr="00042BB0">
        <w:t>Miferso</w:t>
      </w:r>
      <w:proofErr w:type="spellEnd"/>
      <w:r w:rsidRPr="00042BB0">
        <w:t xml:space="preserve"> and the government in future EITI Reports. The government is also encouraged to </w:t>
      </w:r>
      <w:r w:rsidRPr="00042BB0">
        <w:lastRenderedPageBreak/>
        <w:t>continue equip the Hydrocarbons Department with monitoring tools to better track work plans and payments to government as the industry develops.</w:t>
      </w:r>
      <w:r w:rsidRPr="00042BB0" w:rsidDel="00253E7F">
        <w:t xml:space="preserve"> </w:t>
      </w:r>
    </w:p>
    <w:p w14:paraId="476C1419" w14:textId="77777777" w:rsidR="00622FEF" w:rsidRPr="00042BB0" w:rsidRDefault="00622FEF" w:rsidP="00622FEF">
      <w:pPr>
        <w:pStyle w:val="ListParagraph"/>
        <w:widowControl w:val="0"/>
        <w:numPr>
          <w:ilvl w:val="0"/>
          <w:numId w:val="10"/>
        </w:numPr>
        <w:suppressAutoHyphens/>
        <w:spacing w:before="120" w:after="240" w:line="264" w:lineRule="auto"/>
        <w:ind w:left="714" w:hanging="357"/>
        <w:contextualSpacing w:val="0"/>
        <w:rPr>
          <w:rFonts w:eastAsia="Calibri"/>
        </w:rPr>
      </w:pPr>
      <w:r w:rsidRPr="00042BB0">
        <w:t>In line with Requirement 3.2, the MSG should disclose production data for the fiscal year covered by the EITI Report, including total production volumes and the value of production by commodity, and, when relevant, by state/region. This could include sources of the production data and information on how the production volumes and values disclosed in the EITI Report have been calculated.</w:t>
      </w:r>
      <w:r w:rsidRPr="00042BB0" w:rsidDel="007A6719">
        <w:t xml:space="preserve"> </w:t>
      </w:r>
    </w:p>
    <w:p w14:paraId="184BED68" w14:textId="77777777" w:rsidR="00622FEF" w:rsidRPr="002815F4" w:rsidRDefault="00622FEF" w:rsidP="00622FEF">
      <w:pPr>
        <w:pStyle w:val="ListParagraph"/>
        <w:widowControl w:val="0"/>
        <w:numPr>
          <w:ilvl w:val="0"/>
          <w:numId w:val="10"/>
        </w:numPr>
        <w:suppressAutoHyphens/>
        <w:spacing w:before="120" w:after="240" w:line="264" w:lineRule="auto"/>
        <w:ind w:left="714" w:hanging="357"/>
        <w:contextualSpacing w:val="0"/>
      </w:pPr>
      <w:r w:rsidRPr="002815F4">
        <w:t>The MSG is encouraged to clarify the differences in export figures between companies’ EITI disclosures and official government data.</w:t>
      </w:r>
      <w:r w:rsidRPr="002815F4" w:rsidDel="007A6719">
        <w:t xml:space="preserve"> </w:t>
      </w:r>
    </w:p>
    <w:p w14:paraId="33DF7EF5" w14:textId="77777777" w:rsidR="00622FEF" w:rsidRPr="002815F4" w:rsidRDefault="00622FEF" w:rsidP="00622FEF">
      <w:pPr>
        <w:pStyle w:val="ListParagraph"/>
        <w:widowControl w:val="0"/>
        <w:numPr>
          <w:ilvl w:val="0"/>
          <w:numId w:val="10"/>
        </w:numPr>
        <w:suppressAutoHyphens/>
        <w:spacing w:before="120" w:after="240" w:line="264" w:lineRule="auto"/>
        <w:ind w:left="714" w:hanging="357"/>
        <w:contextualSpacing w:val="0"/>
        <w:rPr>
          <w:rFonts w:eastAsia="Calibri"/>
        </w:rPr>
      </w:pPr>
      <w:r w:rsidRPr="002815F4">
        <w:t>The MSG could ensure that future EITI Reports include publicly-accessible and audited evidence of any exceptional material payment to government from companies without contractual links to Senegal.</w:t>
      </w:r>
      <w:r w:rsidRPr="002815F4" w:rsidDel="006D4E9B">
        <w:t xml:space="preserve"> </w:t>
      </w:r>
    </w:p>
    <w:p w14:paraId="20163E1E" w14:textId="77777777" w:rsidR="00622FEF" w:rsidRPr="002815F4" w:rsidRDefault="00622FEF" w:rsidP="00622FEF">
      <w:pPr>
        <w:pStyle w:val="ListParagraph"/>
        <w:widowControl w:val="0"/>
        <w:numPr>
          <w:ilvl w:val="0"/>
          <w:numId w:val="10"/>
        </w:numPr>
        <w:suppressAutoHyphens/>
        <w:spacing w:before="120" w:after="240" w:line="264" w:lineRule="auto"/>
        <w:ind w:left="714" w:hanging="357"/>
        <w:contextualSpacing w:val="0"/>
        <w:rPr>
          <w:rFonts w:eastAsia="Calibri"/>
        </w:rPr>
      </w:pPr>
      <w:r w:rsidRPr="002815F4">
        <w:t>The MSG is encouraged to ensure that future EITI Reports provide a level of detail and transparency for any barter agreement commensurate with the disclosure and reconciliation of other payments and revenues streams.</w:t>
      </w:r>
      <w:r w:rsidRPr="002815F4" w:rsidDel="006D4E9B">
        <w:t xml:space="preserve"> </w:t>
      </w:r>
    </w:p>
    <w:p w14:paraId="1059D8D2" w14:textId="77777777" w:rsidR="00622FEF" w:rsidRPr="002815F4" w:rsidRDefault="00622FEF" w:rsidP="00622FEF">
      <w:pPr>
        <w:pStyle w:val="ListParagraph"/>
        <w:widowControl w:val="0"/>
        <w:numPr>
          <w:ilvl w:val="0"/>
          <w:numId w:val="10"/>
        </w:numPr>
        <w:suppressAutoHyphens/>
        <w:spacing w:before="120" w:after="240" w:line="264" w:lineRule="auto"/>
        <w:ind w:left="714" w:hanging="357"/>
        <w:contextualSpacing w:val="0"/>
        <w:rPr>
          <w:rFonts w:eastAsia="Calibri"/>
        </w:rPr>
      </w:pPr>
      <w:r w:rsidRPr="002815F4">
        <w:t>The MSG could ensure that future EITI Reports include explicit figures for the volumes and values of commodities transported under arrangements where the government receives transportation revenues.</w:t>
      </w:r>
      <w:r w:rsidRPr="002815F4" w:rsidDel="00DC3F6D">
        <w:t xml:space="preserve"> </w:t>
      </w:r>
    </w:p>
    <w:p w14:paraId="61DFB48C" w14:textId="77777777" w:rsidR="00622FEF" w:rsidRPr="002815F4" w:rsidRDefault="00622FEF" w:rsidP="00622FEF">
      <w:pPr>
        <w:pStyle w:val="ListParagraph"/>
        <w:widowControl w:val="0"/>
        <w:numPr>
          <w:ilvl w:val="0"/>
          <w:numId w:val="10"/>
        </w:numPr>
        <w:suppressAutoHyphens/>
        <w:spacing w:before="120" w:after="240" w:line="264" w:lineRule="auto"/>
        <w:ind w:left="714" w:hanging="357"/>
        <w:contextualSpacing w:val="0"/>
        <w:rPr>
          <w:rFonts w:eastAsia="Calibri"/>
        </w:rPr>
      </w:pPr>
      <w:r w:rsidRPr="002815F4">
        <w:t xml:space="preserve">The MSG may wish to make progress in implementing project-level EITI reporting ahead of the deadline for all EITI Reports covering fiscal periods ending on or after 31 December 2018, agreed by the EITI Board at its 36th meeting in Bogotá. </w:t>
      </w:r>
    </w:p>
    <w:p w14:paraId="5E1E4AE8" w14:textId="77777777" w:rsidR="00622FEF" w:rsidRPr="002815F4" w:rsidRDefault="00622FEF" w:rsidP="00622FEF">
      <w:pPr>
        <w:pStyle w:val="ListParagraph"/>
        <w:widowControl w:val="0"/>
        <w:numPr>
          <w:ilvl w:val="0"/>
          <w:numId w:val="10"/>
        </w:numPr>
        <w:suppressAutoHyphens/>
        <w:spacing w:before="120" w:after="240" w:line="264" w:lineRule="auto"/>
        <w:ind w:left="714" w:hanging="357"/>
        <w:contextualSpacing w:val="0"/>
      </w:pPr>
      <w:r w:rsidRPr="002815F4">
        <w:rPr>
          <w:rFonts w:eastAsia="Calibri"/>
        </w:rPr>
        <w:t>Senegal EITI is encouraged to strengthen its efforts to publish more up-to-date EITI Reports to ensure the data is more relevant and useful to public debate.</w:t>
      </w:r>
    </w:p>
    <w:p w14:paraId="4B2C7D46" w14:textId="77777777" w:rsidR="00622FEF" w:rsidRPr="002815F4" w:rsidRDefault="00622FEF" w:rsidP="00622FEF">
      <w:pPr>
        <w:pStyle w:val="ListParagraph"/>
        <w:widowControl w:val="0"/>
        <w:numPr>
          <w:ilvl w:val="0"/>
          <w:numId w:val="10"/>
        </w:numPr>
        <w:suppressAutoHyphens/>
        <w:spacing w:before="120" w:after="240" w:line="264" w:lineRule="auto"/>
        <w:ind w:left="714" w:hanging="357"/>
        <w:contextualSpacing w:val="0"/>
        <w:rPr>
          <w:rFonts w:eastAsia="Calibri"/>
        </w:rPr>
      </w:pPr>
      <w:r w:rsidRPr="002815F4">
        <w:t>The MSG may wish to publish audited financial statements of government entities collecting extractives revenues not recorded in the national budget.</w:t>
      </w:r>
      <w:r w:rsidRPr="002815F4" w:rsidDel="009757FA">
        <w:t xml:space="preserve"> </w:t>
      </w:r>
    </w:p>
    <w:p w14:paraId="04CEBBDA" w14:textId="77777777" w:rsidR="00622FEF" w:rsidRPr="002815F4" w:rsidRDefault="00622FEF" w:rsidP="00622FEF">
      <w:pPr>
        <w:pStyle w:val="ListParagraph"/>
        <w:widowControl w:val="0"/>
        <w:numPr>
          <w:ilvl w:val="0"/>
          <w:numId w:val="10"/>
        </w:numPr>
        <w:suppressAutoHyphens/>
        <w:spacing w:before="120" w:after="240" w:line="264" w:lineRule="auto"/>
        <w:ind w:left="714" w:hanging="357"/>
        <w:contextualSpacing w:val="0"/>
        <w:rPr>
          <w:rFonts w:eastAsia="Calibri"/>
        </w:rPr>
      </w:pPr>
      <w:r w:rsidRPr="002815F4">
        <w:t>Given the planned implementation of subnational transfers from 2017, the MSG is encouraged to ensure that future EITI Reports provide the formula for calculating transfers to individual subnational government, the value of transfers according to the formula and any discrepancies between budgeted and executed transfers in the year(s) under review.</w:t>
      </w:r>
      <w:r w:rsidRPr="002815F4" w:rsidDel="009757FA">
        <w:t xml:space="preserve"> </w:t>
      </w:r>
    </w:p>
    <w:p w14:paraId="0A09505F" w14:textId="77777777" w:rsidR="00622FEF" w:rsidRPr="002815F4" w:rsidRDefault="00622FEF" w:rsidP="00622FEF">
      <w:pPr>
        <w:pStyle w:val="ListParagraph"/>
        <w:widowControl w:val="0"/>
        <w:numPr>
          <w:ilvl w:val="0"/>
          <w:numId w:val="10"/>
        </w:numPr>
        <w:suppressAutoHyphens/>
        <w:spacing w:before="120" w:after="240" w:line="264" w:lineRule="auto"/>
        <w:ind w:left="714" w:hanging="357"/>
        <w:contextualSpacing w:val="0"/>
      </w:pPr>
      <w:r w:rsidRPr="002815F4">
        <w:t>The MSG may wish to includ</w:t>
      </w:r>
      <w:r>
        <w:t>e</w:t>
      </w:r>
      <w:r w:rsidRPr="002815F4">
        <w:t xml:space="preserve"> further information on production and revenue projections, commodity prices and budget scenario planning in future EITI Reports or on Senegal’s EITI website. The MSG may also wish to explore the potential of clarifying the level of tax incentives provided to extractives companies in line with stakeholder demands for more information.</w:t>
      </w:r>
    </w:p>
    <w:p w14:paraId="225D0C81" w14:textId="77777777" w:rsidR="00622FEF" w:rsidRPr="002815F4" w:rsidRDefault="00622FEF" w:rsidP="00622FEF">
      <w:pPr>
        <w:pStyle w:val="ListParagraph"/>
        <w:widowControl w:val="0"/>
        <w:numPr>
          <w:ilvl w:val="0"/>
          <w:numId w:val="10"/>
        </w:numPr>
        <w:suppressAutoHyphens/>
        <w:spacing w:before="120" w:after="240" w:line="264" w:lineRule="auto"/>
        <w:ind w:left="714" w:hanging="357"/>
        <w:contextualSpacing w:val="0"/>
        <w:rPr>
          <w:rFonts w:eastAsia="Calibri"/>
        </w:rPr>
      </w:pPr>
      <w:r w:rsidRPr="002815F4">
        <w:t xml:space="preserve">The MSG may wish to provide additional analysis of companies’ contractual social expenditure obligations in future EITI Reports, with a view to explaining and contextualising companies’ reporting of their social expenditures in the year(s) under review. </w:t>
      </w:r>
    </w:p>
    <w:p w14:paraId="66B568FC" w14:textId="77777777" w:rsidR="00622FEF" w:rsidRPr="002815F4" w:rsidRDefault="00622FEF" w:rsidP="00622FEF">
      <w:pPr>
        <w:pStyle w:val="ListParagraph"/>
        <w:widowControl w:val="0"/>
        <w:numPr>
          <w:ilvl w:val="0"/>
          <w:numId w:val="10"/>
        </w:numPr>
        <w:suppressAutoHyphens/>
        <w:spacing w:before="120" w:after="240" w:line="264" w:lineRule="auto"/>
        <w:ind w:left="714" w:hanging="357"/>
        <w:contextualSpacing w:val="0"/>
        <w:rPr>
          <w:rFonts w:eastAsia="Calibri"/>
        </w:rPr>
      </w:pPr>
      <w:r w:rsidRPr="002815F4">
        <w:t xml:space="preserve">The MSG may wish to publish the audited financial statements of </w:t>
      </w:r>
      <w:proofErr w:type="spellStart"/>
      <w:r w:rsidRPr="002815F4">
        <w:t>Miferso</w:t>
      </w:r>
      <w:proofErr w:type="spellEnd"/>
      <w:r w:rsidRPr="002815F4">
        <w:t xml:space="preserve"> and </w:t>
      </w:r>
      <w:proofErr w:type="spellStart"/>
      <w:r w:rsidRPr="002815F4">
        <w:t>Petrosen</w:t>
      </w:r>
      <w:proofErr w:type="spellEnd"/>
      <w:r w:rsidRPr="002815F4">
        <w:t>, potentially through the EITI Senegal website pending operationalisation of the SOEs’ websites.</w:t>
      </w:r>
      <w:r w:rsidRPr="002815F4" w:rsidDel="00C30EDD">
        <w:t xml:space="preserve"> </w:t>
      </w:r>
    </w:p>
    <w:p w14:paraId="58896742" w14:textId="77777777" w:rsidR="00622FEF" w:rsidRPr="002815F4" w:rsidRDefault="00622FEF" w:rsidP="00622FEF">
      <w:pPr>
        <w:pStyle w:val="ListParagraph"/>
        <w:widowControl w:val="0"/>
        <w:numPr>
          <w:ilvl w:val="0"/>
          <w:numId w:val="10"/>
        </w:numPr>
        <w:suppressAutoHyphens/>
        <w:spacing w:before="120" w:after="240" w:line="264" w:lineRule="auto"/>
        <w:ind w:left="714" w:hanging="357"/>
        <w:contextualSpacing w:val="0"/>
        <w:rPr>
          <w:rFonts w:eastAsia="Calibri"/>
        </w:rPr>
      </w:pPr>
      <w:r w:rsidRPr="002815F4">
        <w:t>The MSG is encouraged to provide additional analysis on official extractives employment data, using EITI reporting to refine official statistics.</w:t>
      </w:r>
    </w:p>
    <w:p w14:paraId="2A4B3568" w14:textId="77777777" w:rsidR="00622FEF" w:rsidRPr="002815F4" w:rsidRDefault="00622FEF" w:rsidP="00622FEF">
      <w:pPr>
        <w:pStyle w:val="ListParagraph"/>
        <w:widowControl w:val="0"/>
        <w:numPr>
          <w:ilvl w:val="0"/>
          <w:numId w:val="10"/>
        </w:numPr>
        <w:suppressAutoHyphens/>
        <w:spacing w:before="120" w:after="240" w:line="264" w:lineRule="auto"/>
        <w:ind w:left="714" w:hanging="357"/>
        <w:contextualSpacing w:val="0"/>
        <w:rPr>
          <w:rFonts w:eastAsia="Calibri"/>
        </w:rPr>
      </w:pPr>
      <w:r w:rsidRPr="002815F4">
        <w:lastRenderedPageBreak/>
        <w:t>The MSG may wish to formalis</w:t>
      </w:r>
      <w:r>
        <w:t>e</w:t>
      </w:r>
      <w:r w:rsidRPr="002815F4">
        <w:t xml:space="preserve"> government mechanisms for following up on recommendations from past EITI Reports and Validation as a means of ensuring the sustainability and continued effectiveness of follow-up channels. </w:t>
      </w:r>
    </w:p>
    <w:p w14:paraId="6B762A6D" w14:textId="72A6FECE" w:rsidR="00622FEF" w:rsidRPr="00622FEF" w:rsidRDefault="00622FEF" w:rsidP="00622FEF">
      <w:pPr>
        <w:pStyle w:val="ListParagraph"/>
        <w:widowControl w:val="0"/>
        <w:numPr>
          <w:ilvl w:val="0"/>
          <w:numId w:val="10"/>
        </w:numPr>
        <w:suppressAutoHyphens/>
        <w:spacing w:before="120" w:after="240" w:line="264" w:lineRule="auto"/>
        <w:ind w:left="714" w:hanging="357"/>
        <w:contextualSpacing w:val="0"/>
      </w:pPr>
      <w:r>
        <w:t>The MSG may wish to und</w:t>
      </w:r>
      <w:r w:rsidRPr="002815F4">
        <w:t>ertak</w:t>
      </w:r>
      <w:r>
        <w:t>e</w:t>
      </w:r>
      <w:r w:rsidRPr="002815F4">
        <w:t xml:space="preserve"> a comprehensive impact assessment, with a view to identifying tangible impacts to local communities and other stakeholders in order to determine the extent to which the EITI has contributed to improving public financial management and governance of the mining, oil and gas sectors. </w:t>
      </w:r>
      <w:r w:rsidRPr="002815F4" w:rsidDel="008F7942">
        <w:t xml:space="preserve"> </w:t>
      </w:r>
    </w:p>
    <w:p w14:paraId="35790013" w14:textId="77777777" w:rsidR="00C352FD" w:rsidRDefault="00C352FD" w:rsidP="00C352FD">
      <w:pPr>
        <w:spacing w:after="0" w:line="240" w:lineRule="auto"/>
        <w:rPr>
          <w:rFonts w:cstheme="minorHAnsi"/>
        </w:rPr>
      </w:pPr>
    </w:p>
    <w:p w14:paraId="7E04B2AA" w14:textId="77777777" w:rsidR="00C352FD" w:rsidRDefault="00C352FD" w:rsidP="00C352FD">
      <w:pPr>
        <w:spacing w:after="0" w:line="240" w:lineRule="auto"/>
        <w:rPr>
          <w:rFonts w:cstheme="minorHAnsi"/>
        </w:rPr>
      </w:pPr>
    </w:p>
    <w:p w14:paraId="7053208A" w14:textId="2CC17537" w:rsidR="000608BE" w:rsidRPr="000608BE" w:rsidRDefault="000608BE" w:rsidP="002E590F">
      <w:pPr>
        <w:widowControl w:val="0"/>
        <w:suppressAutoHyphens/>
        <w:spacing w:after="0" w:line="240" w:lineRule="auto"/>
        <w:jc w:val="center"/>
        <w:rPr>
          <w:rFonts w:cstheme="minorHAnsi"/>
        </w:rPr>
      </w:pPr>
      <w:r>
        <w:rPr>
          <w:rFonts w:cstheme="minorHAnsi"/>
        </w:rPr>
        <w:t>***</w:t>
      </w:r>
    </w:p>
    <w:sectPr w:rsidR="000608BE" w:rsidRPr="000608BE" w:rsidSect="001218DC">
      <w:footerReference w:type="even" r:id="rId12"/>
      <w:footerReference w:type="default" r:id="rId13"/>
      <w:pgSz w:w="12240" w:h="15840" w:code="1"/>
      <w:pgMar w:top="720" w:right="720" w:bottom="720" w:left="720"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3FFCB90" w15:done="0"/>
  <w15:commentEx w15:paraId="14318431" w15:done="0"/>
  <w15:commentEx w15:paraId="065659DA" w15:done="0"/>
  <w15:commentEx w15:paraId="352B0163" w15:done="0"/>
  <w15:commentEx w15:paraId="15A7205E" w15:done="0"/>
  <w15:commentEx w15:paraId="2FD4E8D2" w15:done="0"/>
  <w15:commentEx w15:paraId="117D30F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C0987E" w14:textId="77777777" w:rsidR="00651116" w:rsidRDefault="00651116" w:rsidP="00186F04">
      <w:pPr>
        <w:spacing w:after="0" w:line="240" w:lineRule="auto"/>
      </w:pPr>
      <w:r>
        <w:separator/>
      </w:r>
    </w:p>
  </w:endnote>
  <w:endnote w:type="continuationSeparator" w:id="0">
    <w:p w14:paraId="3E44C917" w14:textId="77777777" w:rsidR="00651116" w:rsidRDefault="00651116" w:rsidP="00186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F84F37" w14:textId="77777777" w:rsidR="00321499" w:rsidRDefault="00321499" w:rsidP="002C0F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131422" w14:textId="77777777" w:rsidR="00321499" w:rsidRDefault="00321499" w:rsidP="00185BF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503647" w14:textId="4E64F234" w:rsidR="00321499" w:rsidRDefault="00321499" w:rsidP="002C0F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87EF8">
      <w:rPr>
        <w:rStyle w:val="PageNumber"/>
        <w:noProof/>
      </w:rPr>
      <w:t>2</w:t>
    </w:r>
    <w:r>
      <w:rPr>
        <w:rStyle w:val="PageNumber"/>
      </w:rPr>
      <w:fldChar w:fldCharType="end"/>
    </w:r>
  </w:p>
  <w:p w14:paraId="57266DD4" w14:textId="77777777" w:rsidR="00321499" w:rsidRDefault="00321499" w:rsidP="00185BF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AFFAF3" w14:textId="77777777" w:rsidR="00651116" w:rsidRDefault="00651116" w:rsidP="00186F04">
      <w:pPr>
        <w:spacing w:after="0" w:line="240" w:lineRule="auto"/>
      </w:pPr>
      <w:r>
        <w:separator/>
      </w:r>
    </w:p>
  </w:footnote>
  <w:footnote w:type="continuationSeparator" w:id="0">
    <w:p w14:paraId="6328F878" w14:textId="77777777" w:rsidR="00651116" w:rsidRDefault="00651116" w:rsidP="00186F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2"/>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855EB6"/>
    <w:multiLevelType w:val="multilevel"/>
    <w:tmpl w:val="493A948C"/>
    <w:lvl w:ilvl="0">
      <w:start w:val="1"/>
      <w:numFmt w:val="decimal"/>
      <w:lvlText w:val="%1."/>
      <w:lvlJc w:val="left"/>
      <w:pPr>
        <w:ind w:left="360" w:hanging="360"/>
      </w:pPr>
      <w:rPr>
        <w:rFonts w:hint="default"/>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5CB5CCD"/>
    <w:multiLevelType w:val="hybridMultilevel"/>
    <w:tmpl w:val="2C1CA9AE"/>
    <w:lvl w:ilvl="0" w:tplc="22B4D65E">
      <w:start w:val="1"/>
      <w:numFmt w:val="decimal"/>
      <w:lvlText w:val="%1."/>
      <w:lvlJc w:val="left"/>
      <w:pPr>
        <w:ind w:left="360" w:hanging="360"/>
      </w:pPr>
      <w:rPr>
        <w:rFonts w:hint="default"/>
        <w:color w:val="1F497D" w:themeColor="text2"/>
      </w:rPr>
    </w:lvl>
    <w:lvl w:ilvl="1" w:tplc="0409000F">
      <w:start w:val="1"/>
      <w:numFmt w:val="decimal"/>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ADD6164"/>
    <w:multiLevelType w:val="multilevel"/>
    <w:tmpl w:val="B228248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7D45DB0"/>
    <w:multiLevelType w:val="hybridMultilevel"/>
    <w:tmpl w:val="CE9028D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5">
    <w:nsid w:val="2F7849E5"/>
    <w:multiLevelType w:val="hybridMultilevel"/>
    <w:tmpl w:val="39AE5B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93E2E17"/>
    <w:multiLevelType w:val="hybridMultilevel"/>
    <w:tmpl w:val="D3AAA440"/>
    <w:lvl w:ilvl="0" w:tplc="C4AEFD54">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4565690F"/>
    <w:multiLevelType w:val="hybridMultilevel"/>
    <w:tmpl w:val="4C388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8564306"/>
    <w:multiLevelType w:val="hybridMultilevel"/>
    <w:tmpl w:val="0046C676"/>
    <w:lvl w:ilvl="0" w:tplc="BDE81F82">
      <w:start w:val="1"/>
      <w:numFmt w:val="decimal"/>
      <w:lvlText w:val="%1.1"/>
      <w:lvlJc w:val="left"/>
      <w:pPr>
        <w:ind w:left="360" w:hanging="360"/>
      </w:pPr>
      <w:rPr>
        <w:rFonts w:hint="default"/>
      </w:rPr>
    </w:lvl>
    <w:lvl w:ilvl="1" w:tplc="0409000F">
      <w:start w:val="1"/>
      <w:numFmt w:val="decimal"/>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DCF4408"/>
    <w:multiLevelType w:val="multilevel"/>
    <w:tmpl w:val="24202D26"/>
    <w:lvl w:ilvl="0">
      <w:start w:val="1"/>
      <w:numFmt w:val="decimal"/>
      <w:lvlText w:val="%1."/>
      <w:lvlJc w:val="left"/>
      <w:pPr>
        <w:ind w:left="36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9"/>
  </w:num>
  <w:num w:numId="6">
    <w:abstractNumId w:val="1"/>
  </w:num>
  <w:num w:numId="7">
    <w:abstractNumId w:val="8"/>
  </w:num>
  <w:num w:numId="8">
    <w:abstractNumId w:val="4"/>
  </w:num>
  <w:num w:numId="9">
    <w:abstractNumId w:val="0"/>
  </w:num>
  <w:num w:numId="10">
    <w:abstractNumId w:val="6"/>
    <w:lvlOverride w:ilvl="0">
      <w:startOverride w:val="1"/>
    </w:lvlOverride>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 Bartlett">
    <w15:presenceInfo w15:providerId="AD" w15:userId="S-1-5-21-2036031588-730629661-1306914269-2900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Moves/>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E76"/>
    <w:rsid w:val="0000008D"/>
    <w:rsid w:val="00000EAA"/>
    <w:rsid w:val="000078E9"/>
    <w:rsid w:val="00010FBC"/>
    <w:rsid w:val="00012BF4"/>
    <w:rsid w:val="0001315D"/>
    <w:rsid w:val="000131DC"/>
    <w:rsid w:val="00016E7E"/>
    <w:rsid w:val="000175AE"/>
    <w:rsid w:val="00020DA4"/>
    <w:rsid w:val="000235AF"/>
    <w:rsid w:val="0002362B"/>
    <w:rsid w:val="00024230"/>
    <w:rsid w:val="000257C0"/>
    <w:rsid w:val="00026B56"/>
    <w:rsid w:val="0002747A"/>
    <w:rsid w:val="00032378"/>
    <w:rsid w:val="0003327A"/>
    <w:rsid w:val="00040C82"/>
    <w:rsid w:val="00043B92"/>
    <w:rsid w:val="000451B8"/>
    <w:rsid w:val="0004522F"/>
    <w:rsid w:val="000458E0"/>
    <w:rsid w:val="00052B74"/>
    <w:rsid w:val="00052BA4"/>
    <w:rsid w:val="00052CF8"/>
    <w:rsid w:val="00054AFD"/>
    <w:rsid w:val="00055542"/>
    <w:rsid w:val="00056339"/>
    <w:rsid w:val="000608BE"/>
    <w:rsid w:val="000625CE"/>
    <w:rsid w:val="00063632"/>
    <w:rsid w:val="000639AA"/>
    <w:rsid w:val="0006457D"/>
    <w:rsid w:val="00066680"/>
    <w:rsid w:val="00066886"/>
    <w:rsid w:val="000668A8"/>
    <w:rsid w:val="00067645"/>
    <w:rsid w:val="00072E68"/>
    <w:rsid w:val="000740A8"/>
    <w:rsid w:val="00077722"/>
    <w:rsid w:val="00080AC4"/>
    <w:rsid w:val="00084829"/>
    <w:rsid w:val="00086E78"/>
    <w:rsid w:val="0008702B"/>
    <w:rsid w:val="00091E26"/>
    <w:rsid w:val="00093566"/>
    <w:rsid w:val="000948B3"/>
    <w:rsid w:val="00096C45"/>
    <w:rsid w:val="000A0B63"/>
    <w:rsid w:val="000A0C1A"/>
    <w:rsid w:val="000A2F16"/>
    <w:rsid w:val="000A3C50"/>
    <w:rsid w:val="000A3D4E"/>
    <w:rsid w:val="000A69B8"/>
    <w:rsid w:val="000B2406"/>
    <w:rsid w:val="000B2FAB"/>
    <w:rsid w:val="000C2A95"/>
    <w:rsid w:val="000C30FD"/>
    <w:rsid w:val="000C44C2"/>
    <w:rsid w:val="000C4539"/>
    <w:rsid w:val="000C53DD"/>
    <w:rsid w:val="000C5823"/>
    <w:rsid w:val="000C6419"/>
    <w:rsid w:val="000C7450"/>
    <w:rsid w:val="000D0AE4"/>
    <w:rsid w:val="000D2C70"/>
    <w:rsid w:val="000D69DE"/>
    <w:rsid w:val="000D6AB9"/>
    <w:rsid w:val="000D7037"/>
    <w:rsid w:val="000D71C1"/>
    <w:rsid w:val="000D7CEB"/>
    <w:rsid w:val="000E1506"/>
    <w:rsid w:val="000E1BF2"/>
    <w:rsid w:val="000E2EF6"/>
    <w:rsid w:val="000E345F"/>
    <w:rsid w:val="000F3FE0"/>
    <w:rsid w:val="000F47AA"/>
    <w:rsid w:val="000F5101"/>
    <w:rsid w:val="000F5A22"/>
    <w:rsid w:val="000F6A0D"/>
    <w:rsid w:val="000F7F99"/>
    <w:rsid w:val="00100B28"/>
    <w:rsid w:val="00103020"/>
    <w:rsid w:val="00106D21"/>
    <w:rsid w:val="00106D40"/>
    <w:rsid w:val="001109C2"/>
    <w:rsid w:val="00112A19"/>
    <w:rsid w:val="00113151"/>
    <w:rsid w:val="00114464"/>
    <w:rsid w:val="00116C05"/>
    <w:rsid w:val="001212FD"/>
    <w:rsid w:val="001218DC"/>
    <w:rsid w:val="001244EB"/>
    <w:rsid w:val="00124A0A"/>
    <w:rsid w:val="00125E59"/>
    <w:rsid w:val="00131F3F"/>
    <w:rsid w:val="0013451F"/>
    <w:rsid w:val="00140F76"/>
    <w:rsid w:val="00142290"/>
    <w:rsid w:val="001427A5"/>
    <w:rsid w:val="00143D5A"/>
    <w:rsid w:val="00146EC1"/>
    <w:rsid w:val="00151499"/>
    <w:rsid w:val="00155749"/>
    <w:rsid w:val="00161877"/>
    <w:rsid w:val="00162976"/>
    <w:rsid w:val="001645A4"/>
    <w:rsid w:val="00166319"/>
    <w:rsid w:val="00171CE0"/>
    <w:rsid w:val="00172322"/>
    <w:rsid w:val="001748FF"/>
    <w:rsid w:val="00176B8D"/>
    <w:rsid w:val="0017792C"/>
    <w:rsid w:val="0018007F"/>
    <w:rsid w:val="001817EE"/>
    <w:rsid w:val="00182F37"/>
    <w:rsid w:val="0018358C"/>
    <w:rsid w:val="00184391"/>
    <w:rsid w:val="00185BF5"/>
    <w:rsid w:val="001861D5"/>
    <w:rsid w:val="0018631A"/>
    <w:rsid w:val="00186F04"/>
    <w:rsid w:val="00187EF8"/>
    <w:rsid w:val="00191216"/>
    <w:rsid w:val="001921DC"/>
    <w:rsid w:val="001946A4"/>
    <w:rsid w:val="00197D6B"/>
    <w:rsid w:val="001A132E"/>
    <w:rsid w:val="001A386F"/>
    <w:rsid w:val="001A4E34"/>
    <w:rsid w:val="001A50F7"/>
    <w:rsid w:val="001A6431"/>
    <w:rsid w:val="001B3B6F"/>
    <w:rsid w:val="001C1952"/>
    <w:rsid w:val="001C33F5"/>
    <w:rsid w:val="001C3829"/>
    <w:rsid w:val="001D2B22"/>
    <w:rsid w:val="001D3A2B"/>
    <w:rsid w:val="001D4318"/>
    <w:rsid w:val="001D68E2"/>
    <w:rsid w:val="001D759A"/>
    <w:rsid w:val="001F0A27"/>
    <w:rsid w:val="001F6B6D"/>
    <w:rsid w:val="00200EC6"/>
    <w:rsid w:val="00201632"/>
    <w:rsid w:val="00201EB8"/>
    <w:rsid w:val="00205C1B"/>
    <w:rsid w:val="00205CD3"/>
    <w:rsid w:val="00205F21"/>
    <w:rsid w:val="002109FB"/>
    <w:rsid w:val="002128A6"/>
    <w:rsid w:val="002200AD"/>
    <w:rsid w:val="0022274E"/>
    <w:rsid w:val="002234D7"/>
    <w:rsid w:val="00232B37"/>
    <w:rsid w:val="00233DB9"/>
    <w:rsid w:val="002370E4"/>
    <w:rsid w:val="00243D4F"/>
    <w:rsid w:val="00243FF7"/>
    <w:rsid w:val="00244055"/>
    <w:rsid w:val="002466C7"/>
    <w:rsid w:val="002505AD"/>
    <w:rsid w:val="0025100A"/>
    <w:rsid w:val="00252B84"/>
    <w:rsid w:val="00255687"/>
    <w:rsid w:val="00255ACF"/>
    <w:rsid w:val="00256D61"/>
    <w:rsid w:val="002576A4"/>
    <w:rsid w:val="002577E7"/>
    <w:rsid w:val="002609AC"/>
    <w:rsid w:val="00260A19"/>
    <w:rsid w:val="0026125F"/>
    <w:rsid w:val="00265099"/>
    <w:rsid w:val="002661D4"/>
    <w:rsid w:val="00266A77"/>
    <w:rsid w:val="002679BC"/>
    <w:rsid w:val="00271BC7"/>
    <w:rsid w:val="002723E4"/>
    <w:rsid w:val="00272A27"/>
    <w:rsid w:val="00273070"/>
    <w:rsid w:val="002730B2"/>
    <w:rsid w:val="00274673"/>
    <w:rsid w:val="00275241"/>
    <w:rsid w:val="002807CA"/>
    <w:rsid w:val="00280C48"/>
    <w:rsid w:val="00283F39"/>
    <w:rsid w:val="00285F1D"/>
    <w:rsid w:val="00286C7B"/>
    <w:rsid w:val="002875D7"/>
    <w:rsid w:val="00287F73"/>
    <w:rsid w:val="00291451"/>
    <w:rsid w:val="00292CAD"/>
    <w:rsid w:val="002939E2"/>
    <w:rsid w:val="00294906"/>
    <w:rsid w:val="002A10E4"/>
    <w:rsid w:val="002A3A13"/>
    <w:rsid w:val="002A3D9D"/>
    <w:rsid w:val="002A5801"/>
    <w:rsid w:val="002B2A68"/>
    <w:rsid w:val="002B3318"/>
    <w:rsid w:val="002B3865"/>
    <w:rsid w:val="002B53EF"/>
    <w:rsid w:val="002C0504"/>
    <w:rsid w:val="002C0FC7"/>
    <w:rsid w:val="002C1876"/>
    <w:rsid w:val="002C25D5"/>
    <w:rsid w:val="002C60C6"/>
    <w:rsid w:val="002C640F"/>
    <w:rsid w:val="002C67FF"/>
    <w:rsid w:val="002D1528"/>
    <w:rsid w:val="002D2440"/>
    <w:rsid w:val="002D4B3C"/>
    <w:rsid w:val="002D6BB1"/>
    <w:rsid w:val="002E4D95"/>
    <w:rsid w:val="002E590F"/>
    <w:rsid w:val="002F4158"/>
    <w:rsid w:val="002F594B"/>
    <w:rsid w:val="002F73B1"/>
    <w:rsid w:val="00303148"/>
    <w:rsid w:val="00306890"/>
    <w:rsid w:val="00307CAE"/>
    <w:rsid w:val="00307DC4"/>
    <w:rsid w:val="00310D77"/>
    <w:rsid w:val="00315CBE"/>
    <w:rsid w:val="003166B3"/>
    <w:rsid w:val="00320061"/>
    <w:rsid w:val="00321499"/>
    <w:rsid w:val="0032211D"/>
    <w:rsid w:val="0032249A"/>
    <w:rsid w:val="00325E55"/>
    <w:rsid w:val="003267A5"/>
    <w:rsid w:val="0033180A"/>
    <w:rsid w:val="00333DBB"/>
    <w:rsid w:val="00334685"/>
    <w:rsid w:val="0033525E"/>
    <w:rsid w:val="00340268"/>
    <w:rsid w:val="00344212"/>
    <w:rsid w:val="00346286"/>
    <w:rsid w:val="00351B5C"/>
    <w:rsid w:val="00354AA6"/>
    <w:rsid w:val="00362704"/>
    <w:rsid w:val="00363CA8"/>
    <w:rsid w:val="0036418F"/>
    <w:rsid w:val="00364807"/>
    <w:rsid w:val="0036521A"/>
    <w:rsid w:val="00373DD8"/>
    <w:rsid w:val="00375307"/>
    <w:rsid w:val="00376AFA"/>
    <w:rsid w:val="00377024"/>
    <w:rsid w:val="0037743F"/>
    <w:rsid w:val="00380CCB"/>
    <w:rsid w:val="00381155"/>
    <w:rsid w:val="0038180E"/>
    <w:rsid w:val="00382343"/>
    <w:rsid w:val="0038392A"/>
    <w:rsid w:val="00384CAF"/>
    <w:rsid w:val="00384E97"/>
    <w:rsid w:val="003857B3"/>
    <w:rsid w:val="00392B71"/>
    <w:rsid w:val="003934A3"/>
    <w:rsid w:val="00393AA5"/>
    <w:rsid w:val="003950DC"/>
    <w:rsid w:val="00395479"/>
    <w:rsid w:val="0039698B"/>
    <w:rsid w:val="003A26C7"/>
    <w:rsid w:val="003A4AC6"/>
    <w:rsid w:val="003A5D1F"/>
    <w:rsid w:val="003A7667"/>
    <w:rsid w:val="003B1788"/>
    <w:rsid w:val="003B48A7"/>
    <w:rsid w:val="003B5076"/>
    <w:rsid w:val="003B64A4"/>
    <w:rsid w:val="003B7FE9"/>
    <w:rsid w:val="003C0848"/>
    <w:rsid w:val="003C3DFC"/>
    <w:rsid w:val="003C4611"/>
    <w:rsid w:val="003C55B1"/>
    <w:rsid w:val="003C7904"/>
    <w:rsid w:val="003D1826"/>
    <w:rsid w:val="003D19A9"/>
    <w:rsid w:val="003D3D96"/>
    <w:rsid w:val="003D4499"/>
    <w:rsid w:val="003D4EF9"/>
    <w:rsid w:val="003E11EA"/>
    <w:rsid w:val="003E7306"/>
    <w:rsid w:val="003F1B6C"/>
    <w:rsid w:val="003F1C2B"/>
    <w:rsid w:val="003F2856"/>
    <w:rsid w:val="003F2A08"/>
    <w:rsid w:val="003F30F3"/>
    <w:rsid w:val="003F33B0"/>
    <w:rsid w:val="003F52C0"/>
    <w:rsid w:val="00400D91"/>
    <w:rsid w:val="00403081"/>
    <w:rsid w:val="00403C59"/>
    <w:rsid w:val="00403D48"/>
    <w:rsid w:val="00404575"/>
    <w:rsid w:val="00404829"/>
    <w:rsid w:val="00406FF1"/>
    <w:rsid w:val="00407054"/>
    <w:rsid w:val="004200CA"/>
    <w:rsid w:val="00420CFE"/>
    <w:rsid w:val="00422BC2"/>
    <w:rsid w:val="0042550B"/>
    <w:rsid w:val="00425EE0"/>
    <w:rsid w:val="00425F66"/>
    <w:rsid w:val="004306DD"/>
    <w:rsid w:val="00430FAA"/>
    <w:rsid w:val="00431189"/>
    <w:rsid w:val="0043214E"/>
    <w:rsid w:val="00432C81"/>
    <w:rsid w:val="00441E23"/>
    <w:rsid w:val="00447899"/>
    <w:rsid w:val="00447C69"/>
    <w:rsid w:val="004526E1"/>
    <w:rsid w:val="004561B8"/>
    <w:rsid w:val="0045757A"/>
    <w:rsid w:val="00460639"/>
    <w:rsid w:val="00460C86"/>
    <w:rsid w:val="00460EC4"/>
    <w:rsid w:val="0046105E"/>
    <w:rsid w:val="00462D99"/>
    <w:rsid w:val="00465FBB"/>
    <w:rsid w:val="004663D8"/>
    <w:rsid w:val="00466F03"/>
    <w:rsid w:val="0047251C"/>
    <w:rsid w:val="00474234"/>
    <w:rsid w:val="00474343"/>
    <w:rsid w:val="00474858"/>
    <w:rsid w:val="004752AF"/>
    <w:rsid w:val="00476A12"/>
    <w:rsid w:val="004855CE"/>
    <w:rsid w:val="004855E9"/>
    <w:rsid w:val="00486BD8"/>
    <w:rsid w:val="00487012"/>
    <w:rsid w:val="00490165"/>
    <w:rsid w:val="004911B9"/>
    <w:rsid w:val="00493D90"/>
    <w:rsid w:val="004A0786"/>
    <w:rsid w:val="004A54DF"/>
    <w:rsid w:val="004A6C81"/>
    <w:rsid w:val="004B10D1"/>
    <w:rsid w:val="004B2253"/>
    <w:rsid w:val="004B2428"/>
    <w:rsid w:val="004B3273"/>
    <w:rsid w:val="004B348A"/>
    <w:rsid w:val="004B4969"/>
    <w:rsid w:val="004B5FE7"/>
    <w:rsid w:val="004C04D7"/>
    <w:rsid w:val="004C534B"/>
    <w:rsid w:val="004C6979"/>
    <w:rsid w:val="004C6C04"/>
    <w:rsid w:val="004D5961"/>
    <w:rsid w:val="004D645B"/>
    <w:rsid w:val="004D7FC9"/>
    <w:rsid w:val="004E0BE2"/>
    <w:rsid w:val="004E6B86"/>
    <w:rsid w:val="004F0128"/>
    <w:rsid w:val="004F0B0E"/>
    <w:rsid w:val="004F2CA7"/>
    <w:rsid w:val="004F300B"/>
    <w:rsid w:val="004F42C6"/>
    <w:rsid w:val="004F7D10"/>
    <w:rsid w:val="00501794"/>
    <w:rsid w:val="00504018"/>
    <w:rsid w:val="005046F3"/>
    <w:rsid w:val="00505BAC"/>
    <w:rsid w:val="005105D2"/>
    <w:rsid w:val="00511324"/>
    <w:rsid w:val="00511804"/>
    <w:rsid w:val="00512ADD"/>
    <w:rsid w:val="005140A5"/>
    <w:rsid w:val="00516DAC"/>
    <w:rsid w:val="00517B78"/>
    <w:rsid w:val="00517FFB"/>
    <w:rsid w:val="00521EA7"/>
    <w:rsid w:val="0052678F"/>
    <w:rsid w:val="00527027"/>
    <w:rsid w:val="0053095C"/>
    <w:rsid w:val="00530F33"/>
    <w:rsid w:val="0053408A"/>
    <w:rsid w:val="005362E3"/>
    <w:rsid w:val="005379B3"/>
    <w:rsid w:val="00543342"/>
    <w:rsid w:val="005434A8"/>
    <w:rsid w:val="00546A35"/>
    <w:rsid w:val="00551A79"/>
    <w:rsid w:val="00554692"/>
    <w:rsid w:val="00554A84"/>
    <w:rsid w:val="00555FC2"/>
    <w:rsid w:val="005560CF"/>
    <w:rsid w:val="00560392"/>
    <w:rsid w:val="005625E1"/>
    <w:rsid w:val="00562D78"/>
    <w:rsid w:val="005639C7"/>
    <w:rsid w:val="00563A07"/>
    <w:rsid w:val="005676C1"/>
    <w:rsid w:val="00570CCE"/>
    <w:rsid w:val="00572CE5"/>
    <w:rsid w:val="00573AAF"/>
    <w:rsid w:val="0057439F"/>
    <w:rsid w:val="00574839"/>
    <w:rsid w:val="005749BE"/>
    <w:rsid w:val="00575789"/>
    <w:rsid w:val="005766FF"/>
    <w:rsid w:val="005767D3"/>
    <w:rsid w:val="005771D0"/>
    <w:rsid w:val="005810AD"/>
    <w:rsid w:val="00581B23"/>
    <w:rsid w:val="00583A02"/>
    <w:rsid w:val="00585073"/>
    <w:rsid w:val="005872A9"/>
    <w:rsid w:val="005900C1"/>
    <w:rsid w:val="005903F2"/>
    <w:rsid w:val="00590CD7"/>
    <w:rsid w:val="005939AC"/>
    <w:rsid w:val="00596E83"/>
    <w:rsid w:val="005A0923"/>
    <w:rsid w:val="005A0985"/>
    <w:rsid w:val="005A3EDA"/>
    <w:rsid w:val="005A45C3"/>
    <w:rsid w:val="005B7604"/>
    <w:rsid w:val="005C0DD5"/>
    <w:rsid w:val="005C3ADE"/>
    <w:rsid w:val="005C3DCD"/>
    <w:rsid w:val="005C7005"/>
    <w:rsid w:val="005D0773"/>
    <w:rsid w:val="005D0D9D"/>
    <w:rsid w:val="005D146A"/>
    <w:rsid w:val="005D4E65"/>
    <w:rsid w:val="005D64D1"/>
    <w:rsid w:val="005D74C7"/>
    <w:rsid w:val="005E1A2A"/>
    <w:rsid w:val="005E258B"/>
    <w:rsid w:val="005E2F26"/>
    <w:rsid w:val="005E6402"/>
    <w:rsid w:val="005E7CB7"/>
    <w:rsid w:val="005F391B"/>
    <w:rsid w:val="005F55FB"/>
    <w:rsid w:val="00604FF2"/>
    <w:rsid w:val="00614D35"/>
    <w:rsid w:val="0061665A"/>
    <w:rsid w:val="006227AF"/>
    <w:rsid w:val="00622FEF"/>
    <w:rsid w:val="00623492"/>
    <w:rsid w:val="00623D3C"/>
    <w:rsid w:val="00623EF8"/>
    <w:rsid w:val="006274A2"/>
    <w:rsid w:val="00627573"/>
    <w:rsid w:val="00633888"/>
    <w:rsid w:val="00635030"/>
    <w:rsid w:val="00635575"/>
    <w:rsid w:val="006369C6"/>
    <w:rsid w:val="00637542"/>
    <w:rsid w:val="00637ED8"/>
    <w:rsid w:val="00641943"/>
    <w:rsid w:val="00645AC4"/>
    <w:rsid w:val="00646249"/>
    <w:rsid w:val="00650747"/>
    <w:rsid w:val="00651116"/>
    <w:rsid w:val="006511EE"/>
    <w:rsid w:val="006528B2"/>
    <w:rsid w:val="00655133"/>
    <w:rsid w:val="00655EB3"/>
    <w:rsid w:val="00656C60"/>
    <w:rsid w:val="00656DBA"/>
    <w:rsid w:val="00663A70"/>
    <w:rsid w:val="0066559A"/>
    <w:rsid w:val="0066592A"/>
    <w:rsid w:val="0067079A"/>
    <w:rsid w:val="006745FB"/>
    <w:rsid w:val="00674996"/>
    <w:rsid w:val="00675A25"/>
    <w:rsid w:val="00682EFA"/>
    <w:rsid w:val="006834F9"/>
    <w:rsid w:val="0068487E"/>
    <w:rsid w:val="006910F3"/>
    <w:rsid w:val="00691602"/>
    <w:rsid w:val="00692422"/>
    <w:rsid w:val="006944BB"/>
    <w:rsid w:val="006951CD"/>
    <w:rsid w:val="00695C72"/>
    <w:rsid w:val="006960C7"/>
    <w:rsid w:val="006A0DF3"/>
    <w:rsid w:val="006A5849"/>
    <w:rsid w:val="006A6EE1"/>
    <w:rsid w:val="006B4CDF"/>
    <w:rsid w:val="006B52FA"/>
    <w:rsid w:val="006B688F"/>
    <w:rsid w:val="006C0CDF"/>
    <w:rsid w:val="006C43F6"/>
    <w:rsid w:val="006C56E6"/>
    <w:rsid w:val="006D5EA2"/>
    <w:rsid w:val="006D7323"/>
    <w:rsid w:val="006E04A7"/>
    <w:rsid w:val="006E0670"/>
    <w:rsid w:val="006E53C1"/>
    <w:rsid w:val="006F0D0F"/>
    <w:rsid w:val="006F0D9A"/>
    <w:rsid w:val="006F1CB2"/>
    <w:rsid w:val="006F208D"/>
    <w:rsid w:val="006F4E34"/>
    <w:rsid w:val="006F6C76"/>
    <w:rsid w:val="006F6FD1"/>
    <w:rsid w:val="00710D95"/>
    <w:rsid w:val="007122AF"/>
    <w:rsid w:val="007144B0"/>
    <w:rsid w:val="007148AA"/>
    <w:rsid w:val="007173FD"/>
    <w:rsid w:val="00717845"/>
    <w:rsid w:val="007211CC"/>
    <w:rsid w:val="00721280"/>
    <w:rsid w:val="00721C29"/>
    <w:rsid w:val="0072316D"/>
    <w:rsid w:val="00723260"/>
    <w:rsid w:val="0072571A"/>
    <w:rsid w:val="0073578D"/>
    <w:rsid w:val="00737D5D"/>
    <w:rsid w:val="00737E2E"/>
    <w:rsid w:val="00740C2D"/>
    <w:rsid w:val="007413D3"/>
    <w:rsid w:val="00742650"/>
    <w:rsid w:val="007430E1"/>
    <w:rsid w:val="0074366E"/>
    <w:rsid w:val="00744454"/>
    <w:rsid w:val="007454CA"/>
    <w:rsid w:val="00745B79"/>
    <w:rsid w:val="00750730"/>
    <w:rsid w:val="00750901"/>
    <w:rsid w:val="00754851"/>
    <w:rsid w:val="00757AF9"/>
    <w:rsid w:val="007610B9"/>
    <w:rsid w:val="00761D22"/>
    <w:rsid w:val="00766D41"/>
    <w:rsid w:val="00767209"/>
    <w:rsid w:val="00776B0E"/>
    <w:rsid w:val="00776C2D"/>
    <w:rsid w:val="00780054"/>
    <w:rsid w:val="007817D2"/>
    <w:rsid w:val="007830A7"/>
    <w:rsid w:val="00783488"/>
    <w:rsid w:val="00785F68"/>
    <w:rsid w:val="00786845"/>
    <w:rsid w:val="00787A65"/>
    <w:rsid w:val="00794895"/>
    <w:rsid w:val="00795D6F"/>
    <w:rsid w:val="007A1C92"/>
    <w:rsid w:val="007A2F0A"/>
    <w:rsid w:val="007A4AAF"/>
    <w:rsid w:val="007A5596"/>
    <w:rsid w:val="007A6A78"/>
    <w:rsid w:val="007A716C"/>
    <w:rsid w:val="007B1E7B"/>
    <w:rsid w:val="007B254D"/>
    <w:rsid w:val="007B29DA"/>
    <w:rsid w:val="007B3640"/>
    <w:rsid w:val="007B4CB8"/>
    <w:rsid w:val="007B4FD2"/>
    <w:rsid w:val="007B54EB"/>
    <w:rsid w:val="007B5B50"/>
    <w:rsid w:val="007B5F54"/>
    <w:rsid w:val="007B660A"/>
    <w:rsid w:val="007B66A0"/>
    <w:rsid w:val="007B708B"/>
    <w:rsid w:val="007B71B4"/>
    <w:rsid w:val="007B73A9"/>
    <w:rsid w:val="007C0497"/>
    <w:rsid w:val="007C05C3"/>
    <w:rsid w:val="007C3785"/>
    <w:rsid w:val="007D16DE"/>
    <w:rsid w:val="007D33F8"/>
    <w:rsid w:val="007D380E"/>
    <w:rsid w:val="007D429D"/>
    <w:rsid w:val="007D48CD"/>
    <w:rsid w:val="007E1CEC"/>
    <w:rsid w:val="007E28F0"/>
    <w:rsid w:val="007E4AE0"/>
    <w:rsid w:val="007E5B01"/>
    <w:rsid w:val="007E73F3"/>
    <w:rsid w:val="007F1C2E"/>
    <w:rsid w:val="007F2D87"/>
    <w:rsid w:val="007F318E"/>
    <w:rsid w:val="007F5E89"/>
    <w:rsid w:val="007F60D3"/>
    <w:rsid w:val="007F730B"/>
    <w:rsid w:val="00800CDD"/>
    <w:rsid w:val="00802D4A"/>
    <w:rsid w:val="00803CB3"/>
    <w:rsid w:val="0080431C"/>
    <w:rsid w:val="008116D3"/>
    <w:rsid w:val="00813694"/>
    <w:rsid w:val="00815301"/>
    <w:rsid w:val="0081641D"/>
    <w:rsid w:val="00823D46"/>
    <w:rsid w:val="00824402"/>
    <w:rsid w:val="00830F20"/>
    <w:rsid w:val="00833DCA"/>
    <w:rsid w:val="00840C7F"/>
    <w:rsid w:val="0084290B"/>
    <w:rsid w:val="00850815"/>
    <w:rsid w:val="0085150B"/>
    <w:rsid w:val="00852CC3"/>
    <w:rsid w:val="00857314"/>
    <w:rsid w:val="00860B70"/>
    <w:rsid w:val="00860D5F"/>
    <w:rsid w:val="00865D33"/>
    <w:rsid w:val="008661EA"/>
    <w:rsid w:val="00874A03"/>
    <w:rsid w:val="00874C2F"/>
    <w:rsid w:val="00874CF2"/>
    <w:rsid w:val="008761C1"/>
    <w:rsid w:val="008826A2"/>
    <w:rsid w:val="00886D03"/>
    <w:rsid w:val="00894529"/>
    <w:rsid w:val="0089655B"/>
    <w:rsid w:val="008B121A"/>
    <w:rsid w:val="008B3137"/>
    <w:rsid w:val="008B4CB1"/>
    <w:rsid w:val="008B667D"/>
    <w:rsid w:val="008B7147"/>
    <w:rsid w:val="008C1814"/>
    <w:rsid w:val="008D172E"/>
    <w:rsid w:val="008D5482"/>
    <w:rsid w:val="008D78FC"/>
    <w:rsid w:val="008D79EB"/>
    <w:rsid w:val="008E009D"/>
    <w:rsid w:val="008E0C36"/>
    <w:rsid w:val="008E0D4E"/>
    <w:rsid w:val="008E16D4"/>
    <w:rsid w:val="008E2677"/>
    <w:rsid w:val="008E410C"/>
    <w:rsid w:val="008E5EE5"/>
    <w:rsid w:val="008F07C2"/>
    <w:rsid w:val="008F1C8B"/>
    <w:rsid w:val="008F3335"/>
    <w:rsid w:val="008F4867"/>
    <w:rsid w:val="008F7C5B"/>
    <w:rsid w:val="008F7EC5"/>
    <w:rsid w:val="00902651"/>
    <w:rsid w:val="00903744"/>
    <w:rsid w:val="00903C9E"/>
    <w:rsid w:val="0090462C"/>
    <w:rsid w:val="0090474E"/>
    <w:rsid w:val="00905186"/>
    <w:rsid w:val="00905644"/>
    <w:rsid w:val="00906DA4"/>
    <w:rsid w:val="00911C86"/>
    <w:rsid w:val="009123C8"/>
    <w:rsid w:val="00912864"/>
    <w:rsid w:val="009143D5"/>
    <w:rsid w:val="009155AD"/>
    <w:rsid w:val="00915E6C"/>
    <w:rsid w:val="0091688B"/>
    <w:rsid w:val="00916ADD"/>
    <w:rsid w:val="0092137D"/>
    <w:rsid w:val="00924DC3"/>
    <w:rsid w:val="0092600C"/>
    <w:rsid w:val="00930609"/>
    <w:rsid w:val="00932E1B"/>
    <w:rsid w:val="00936119"/>
    <w:rsid w:val="00937F9D"/>
    <w:rsid w:val="0094108D"/>
    <w:rsid w:val="00941286"/>
    <w:rsid w:val="00941D2C"/>
    <w:rsid w:val="009429A2"/>
    <w:rsid w:val="00944954"/>
    <w:rsid w:val="00945CB6"/>
    <w:rsid w:val="0094655E"/>
    <w:rsid w:val="00950B14"/>
    <w:rsid w:val="0095193E"/>
    <w:rsid w:val="00951DF1"/>
    <w:rsid w:val="00954096"/>
    <w:rsid w:val="009550D1"/>
    <w:rsid w:val="009551FD"/>
    <w:rsid w:val="009574AE"/>
    <w:rsid w:val="00957574"/>
    <w:rsid w:val="00961B28"/>
    <w:rsid w:val="00962437"/>
    <w:rsid w:val="00964A41"/>
    <w:rsid w:val="0096519D"/>
    <w:rsid w:val="009677D5"/>
    <w:rsid w:val="0096785F"/>
    <w:rsid w:val="00970DFB"/>
    <w:rsid w:val="009712AD"/>
    <w:rsid w:val="00972743"/>
    <w:rsid w:val="00972E76"/>
    <w:rsid w:val="0097367B"/>
    <w:rsid w:val="00973CC9"/>
    <w:rsid w:val="009815A8"/>
    <w:rsid w:val="0098211F"/>
    <w:rsid w:val="00985885"/>
    <w:rsid w:val="00990351"/>
    <w:rsid w:val="00990CD0"/>
    <w:rsid w:val="009A03D9"/>
    <w:rsid w:val="009A2490"/>
    <w:rsid w:val="009A25AC"/>
    <w:rsid w:val="009A58DE"/>
    <w:rsid w:val="009B0699"/>
    <w:rsid w:val="009B0806"/>
    <w:rsid w:val="009B2767"/>
    <w:rsid w:val="009B2EEB"/>
    <w:rsid w:val="009B4AC8"/>
    <w:rsid w:val="009B6799"/>
    <w:rsid w:val="009B6B17"/>
    <w:rsid w:val="009B7BDA"/>
    <w:rsid w:val="009C1A8A"/>
    <w:rsid w:val="009C4089"/>
    <w:rsid w:val="009D2723"/>
    <w:rsid w:val="009D4EA9"/>
    <w:rsid w:val="009D58E6"/>
    <w:rsid w:val="009E28B1"/>
    <w:rsid w:val="009E3509"/>
    <w:rsid w:val="009E7803"/>
    <w:rsid w:val="009E780B"/>
    <w:rsid w:val="009F2700"/>
    <w:rsid w:val="00A01C92"/>
    <w:rsid w:val="00A023FA"/>
    <w:rsid w:val="00A0249F"/>
    <w:rsid w:val="00A03FEB"/>
    <w:rsid w:val="00A15B94"/>
    <w:rsid w:val="00A16606"/>
    <w:rsid w:val="00A16EDC"/>
    <w:rsid w:val="00A1799A"/>
    <w:rsid w:val="00A20847"/>
    <w:rsid w:val="00A22D21"/>
    <w:rsid w:val="00A33B07"/>
    <w:rsid w:val="00A43946"/>
    <w:rsid w:val="00A4497F"/>
    <w:rsid w:val="00A4629A"/>
    <w:rsid w:val="00A464D8"/>
    <w:rsid w:val="00A46E39"/>
    <w:rsid w:val="00A47026"/>
    <w:rsid w:val="00A531BC"/>
    <w:rsid w:val="00A54825"/>
    <w:rsid w:val="00A57147"/>
    <w:rsid w:val="00A57487"/>
    <w:rsid w:val="00A57C07"/>
    <w:rsid w:val="00A60A4A"/>
    <w:rsid w:val="00A65255"/>
    <w:rsid w:val="00A669F4"/>
    <w:rsid w:val="00A67544"/>
    <w:rsid w:val="00A70C93"/>
    <w:rsid w:val="00A75E93"/>
    <w:rsid w:val="00A81804"/>
    <w:rsid w:val="00A8404C"/>
    <w:rsid w:val="00A85227"/>
    <w:rsid w:val="00A87823"/>
    <w:rsid w:val="00A912CB"/>
    <w:rsid w:val="00A938B1"/>
    <w:rsid w:val="00A9393E"/>
    <w:rsid w:val="00A939F1"/>
    <w:rsid w:val="00A944D6"/>
    <w:rsid w:val="00A952F9"/>
    <w:rsid w:val="00A957F0"/>
    <w:rsid w:val="00A97B13"/>
    <w:rsid w:val="00AA1BCE"/>
    <w:rsid w:val="00AA281B"/>
    <w:rsid w:val="00AA2F8F"/>
    <w:rsid w:val="00AA444B"/>
    <w:rsid w:val="00AA7231"/>
    <w:rsid w:val="00AA7251"/>
    <w:rsid w:val="00AA7FD3"/>
    <w:rsid w:val="00AB1681"/>
    <w:rsid w:val="00AB16B3"/>
    <w:rsid w:val="00AB36FC"/>
    <w:rsid w:val="00AB786F"/>
    <w:rsid w:val="00AC0C73"/>
    <w:rsid w:val="00AC2FD8"/>
    <w:rsid w:val="00AC3332"/>
    <w:rsid w:val="00AD33EE"/>
    <w:rsid w:val="00AD497F"/>
    <w:rsid w:val="00AD49F8"/>
    <w:rsid w:val="00AD50B4"/>
    <w:rsid w:val="00AD598E"/>
    <w:rsid w:val="00AD6DE8"/>
    <w:rsid w:val="00AE2020"/>
    <w:rsid w:val="00AE4128"/>
    <w:rsid w:val="00AE5306"/>
    <w:rsid w:val="00AE5B93"/>
    <w:rsid w:val="00AF0430"/>
    <w:rsid w:val="00AF0859"/>
    <w:rsid w:val="00AF0CDD"/>
    <w:rsid w:val="00AF0EE1"/>
    <w:rsid w:val="00AF138C"/>
    <w:rsid w:val="00AF1E33"/>
    <w:rsid w:val="00AF28C9"/>
    <w:rsid w:val="00AF37FB"/>
    <w:rsid w:val="00AF5426"/>
    <w:rsid w:val="00AF635C"/>
    <w:rsid w:val="00B02336"/>
    <w:rsid w:val="00B0367E"/>
    <w:rsid w:val="00B04870"/>
    <w:rsid w:val="00B048C2"/>
    <w:rsid w:val="00B05CC1"/>
    <w:rsid w:val="00B06A77"/>
    <w:rsid w:val="00B06EE0"/>
    <w:rsid w:val="00B07586"/>
    <w:rsid w:val="00B07992"/>
    <w:rsid w:val="00B10E6F"/>
    <w:rsid w:val="00B147B0"/>
    <w:rsid w:val="00B2079E"/>
    <w:rsid w:val="00B225AF"/>
    <w:rsid w:val="00B22E6C"/>
    <w:rsid w:val="00B25E68"/>
    <w:rsid w:val="00B271CD"/>
    <w:rsid w:val="00B27E27"/>
    <w:rsid w:val="00B30EAD"/>
    <w:rsid w:val="00B32036"/>
    <w:rsid w:val="00B3300F"/>
    <w:rsid w:val="00B35B22"/>
    <w:rsid w:val="00B37F39"/>
    <w:rsid w:val="00B4521C"/>
    <w:rsid w:val="00B47BC9"/>
    <w:rsid w:val="00B50E85"/>
    <w:rsid w:val="00B511F6"/>
    <w:rsid w:val="00B526CB"/>
    <w:rsid w:val="00B53590"/>
    <w:rsid w:val="00B55D5A"/>
    <w:rsid w:val="00B6008D"/>
    <w:rsid w:val="00B64094"/>
    <w:rsid w:val="00B642BA"/>
    <w:rsid w:val="00B64DC6"/>
    <w:rsid w:val="00B65E3A"/>
    <w:rsid w:val="00B669A2"/>
    <w:rsid w:val="00B66D69"/>
    <w:rsid w:val="00B6700F"/>
    <w:rsid w:val="00B70FFE"/>
    <w:rsid w:val="00B743A5"/>
    <w:rsid w:val="00B770F5"/>
    <w:rsid w:val="00B773B0"/>
    <w:rsid w:val="00B83776"/>
    <w:rsid w:val="00B83C18"/>
    <w:rsid w:val="00B85D9C"/>
    <w:rsid w:val="00B86B02"/>
    <w:rsid w:val="00B87CB6"/>
    <w:rsid w:val="00B87D76"/>
    <w:rsid w:val="00B926B1"/>
    <w:rsid w:val="00B93554"/>
    <w:rsid w:val="00B94F8A"/>
    <w:rsid w:val="00B951FB"/>
    <w:rsid w:val="00B95C7F"/>
    <w:rsid w:val="00BA0AF7"/>
    <w:rsid w:val="00BA150D"/>
    <w:rsid w:val="00BA18AA"/>
    <w:rsid w:val="00BA284A"/>
    <w:rsid w:val="00BA54EA"/>
    <w:rsid w:val="00BA5A94"/>
    <w:rsid w:val="00BA6C85"/>
    <w:rsid w:val="00BB2777"/>
    <w:rsid w:val="00BB2A2B"/>
    <w:rsid w:val="00BB49C2"/>
    <w:rsid w:val="00BB7037"/>
    <w:rsid w:val="00BB7947"/>
    <w:rsid w:val="00BC4E7C"/>
    <w:rsid w:val="00BC5DCC"/>
    <w:rsid w:val="00BD0C3E"/>
    <w:rsid w:val="00BD30FB"/>
    <w:rsid w:val="00BD3D13"/>
    <w:rsid w:val="00BD4C4D"/>
    <w:rsid w:val="00BD540C"/>
    <w:rsid w:val="00BD64DA"/>
    <w:rsid w:val="00BE13C1"/>
    <w:rsid w:val="00BE1E8C"/>
    <w:rsid w:val="00BE26BA"/>
    <w:rsid w:val="00BE2F8E"/>
    <w:rsid w:val="00BE48E7"/>
    <w:rsid w:val="00BE648E"/>
    <w:rsid w:val="00BF08C5"/>
    <w:rsid w:val="00BF54B8"/>
    <w:rsid w:val="00BF5F28"/>
    <w:rsid w:val="00BF67DB"/>
    <w:rsid w:val="00C01E3B"/>
    <w:rsid w:val="00C02D6F"/>
    <w:rsid w:val="00C02F53"/>
    <w:rsid w:val="00C06DBF"/>
    <w:rsid w:val="00C119F7"/>
    <w:rsid w:val="00C11D94"/>
    <w:rsid w:val="00C13980"/>
    <w:rsid w:val="00C14716"/>
    <w:rsid w:val="00C160F1"/>
    <w:rsid w:val="00C164CE"/>
    <w:rsid w:val="00C16FCE"/>
    <w:rsid w:val="00C177F7"/>
    <w:rsid w:val="00C17CE1"/>
    <w:rsid w:val="00C20462"/>
    <w:rsid w:val="00C22E7B"/>
    <w:rsid w:val="00C23A0D"/>
    <w:rsid w:val="00C249A5"/>
    <w:rsid w:val="00C26E45"/>
    <w:rsid w:val="00C26FC9"/>
    <w:rsid w:val="00C3170E"/>
    <w:rsid w:val="00C33101"/>
    <w:rsid w:val="00C352FD"/>
    <w:rsid w:val="00C367FB"/>
    <w:rsid w:val="00C36A0B"/>
    <w:rsid w:val="00C37244"/>
    <w:rsid w:val="00C40879"/>
    <w:rsid w:val="00C41CFE"/>
    <w:rsid w:val="00C42FE9"/>
    <w:rsid w:val="00C430F5"/>
    <w:rsid w:val="00C46DD8"/>
    <w:rsid w:val="00C50EFF"/>
    <w:rsid w:val="00C51917"/>
    <w:rsid w:val="00C5288D"/>
    <w:rsid w:val="00C53725"/>
    <w:rsid w:val="00C5438D"/>
    <w:rsid w:val="00C555A1"/>
    <w:rsid w:val="00C612C8"/>
    <w:rsid w:val="00C61C1E"/>
    <w:rsid w:val="00C631BE"/>
    <w:rsid w:val="00C655F8"/>
    <w:rsid w:val="00C70A72"/>
    <w:rsid w:val="00C70F86"/>
    <w:rsid w:val="00C71C1F"/>
    <w:rsid w:val="00C74BA7"/>
    <w:rsid w:val="00C75489"/>
    <w:rsid w:val="00C76470"/>
    <w:rsid w:val="00C7693B"/>
    <w:rsid w:val="00C77D00"/>
    <w:rsid w:val="00C82944"/>
    <w:rsid w:val="00C86FAB"/>
    <w:rsid w:val="00C9094A"/>
    <w:rsid w:val="00C9238C"/>
    <w:rsid w:val="00C95705"/>
    <w:rsid w:val="00C95CC0"/>
    <w:rsid w:val="00C96469"/>
    <w:rsid w:val="00C974D4"/>
    <w:rsid w:val="00C975D6"/>
    <w:rsid w:val="00CA0614"/>
    <w:rsid w:val="00CA0880"/>
    <w:rsid w:val="00CA10D3"/>
    <w:rsid w:val="00CA2804"/>
    <w:rsid w:val="00CA2E58"/>
    <w:rsid w:val="00CA33DF"/>
    <w:rsid w:val="00CA393E"/>
    <w:rsid w:val="00CA7E4C"/>
    <w:rsid w:val="00CB1604"/>
    <w:rsid w:val="00CB1A95"/>
    <w:rsid w:val="00CB1B31"/>
    <w:rsid w:val="00CB1CE2"/>
    <w:rsid w:val="00CB1EB3"/>
    <w:rsid w:val="00CB24F7"/>
    <w:rsid w:val="00CB43A3"/>
    <w:rsid w:val="00CB523B"/>
    <w:rsid w:val="00CB5568"/>
    <w:rsid w:val="00CB7EBF"/>
    <w:rsid w:val="00CB7F7E"/>
    <w:rsid w:val="00CC098D"/>
    <w:rsid w:val="00CC0B3C"/>
    <w:rsid w:val="00CC0B9A"/>
    <w:rsid w:val="00CC23A6"/>
    <w:rsid w:val="00CC3E54"/>
    <w:rsid w:val="00CD0CD0"/>
    <w:rsid w:val="00CD1382"/>
    <w:rsid w:val="00CD1743"/>
    <w:rsid w:val="00CD5202"/>
    <w:rsid w:val="00CD5789"/>
    <w:rsid w:val="00CD6D28"/>
    <w:rsid w:val="00CE0025"/>
    <w:rsid w:val="00CE24D1"/>
    <w:rsid w:val="00CE27AD"/>
    <w:rsid w:val="00CE3B4B"/>
    <w:rsid w:val="00CE41AA"/>
    <w:rsid w:val="00CE4E79"/>
    <w:rsid w:val="00CE5083"/>
    <w:rsid w:val="00CF0693"/>
    <w:rsid w:val="00CF192B"/>
    <w:rsid w:val="00CF5BE1"/>
    <w:rsid w:val="00CF603F"/>
    <w:rsid w:val="00CF7153"/>
    <w:rsid w:val="00D02565"/>
    <w:rsid w:val="00D025CC"/>
    <w:rsid w:val="00D03129"/>
    <w:rsid w:val="00D041FD"/>
    <w:rsid w:val="00D04A3E"/>
    <w:rsid w:val="00D05445"/>
    <w:rsid w:val="00D06B92"/>
    <w:rsid w:val="00D11B86"/>
    <w:rsid w:val="00D137EB"/>
    <w:rsid w:val="00D13AC7"/>
    <w:rsid w:val="00D14477"/>
    <w:rsid w:val="00D17081"/>
    <w:rsid w:val="00D178DA"/>
    <w:rsid w:val="00D22315"/>
    <w:rsid w:val="00D236F9"/>
    <w:rsid w:val="00D2433A"/>
    <w:rsid w:val="00D25C6A"/>
    <w:rsid w:val="00D25F46"/>
    <w:rsid w:val="00D2606A"/>
    <w:rsid w:val="00D269D9"/>
    <w:rsid w:val="00D26CA7"/>
    <w:rsid w:val="00D27F80"/>
    <w:rsid w:val="00D320DC"/>
    <w:rsid w:val="00D35781"/>
    <w:rsid w:val="00D3638F"/>
    <w:rsid w:val="00D364FF"/>
    <w:rsid w:val="00D368F1"/>
    <w:rsid w:val="00D452EA"/>
    <w:rsid w:val="00D50AE7"/>
    <w:rsid w:val="00D50BDC"/>
    <w:rsid w:val="00D52429"/>
    <w:rsid w:val="00D52F3D"/>
    <w:rsid w:val="00D53A58"/>
    <w:rsid w:val="00D53CD7"/>
    <w:rsid w:val="00D616F5"/>
    <w:rsid w:val="00D649C2"/>
    <w:rsid w:val="00D6561D"/>
    <w:rsid w:val="00D67D3D"/>
    <w:rsid w:val="00D70416"/>
    <w:rsid w:val="00D71923"/>
    <w:rsid w:val="00D71DE6"/>
    <w:rsid w:val="00D72004"/>
    <w:rsid w:val="00D73BF2"/>
    <w:rsid w:val="00D73FA1"/>
    <w:rsid w:val="00D745BC"/>
    <w:rsid w:val="00D74EE2"/>
    <w:rsid w:val="00D75C59"/>
    <w:rsid w:val="00D7634C"/>
    <w:rsid w:val="00D7787C"/>
    <w:rsid w:val="00D8040D"/>
    <w:rsid w:val="00D8152E"/>
    <w:rsid w:val="00D81D8C"/>
    <w:rsid w:val="00D8221A"/>
    <w:rsid w:val="00D82592"/>
    <w:rsid w:val="00D86219"/>
    <w:rsid w:val="00D86BD4"/>
    <w:rsid w:val="00D879EC"/>
    <w:rsid w:val="00D90A87"/>
    <w:rsid w:val="00D90CCC"/>
    <w:rsid w:val="00D91249"/>
    <w:rsid w:val="00D9137C"/>
    <w:rsid w:val="00D93DAD"/>
    <w:rsid w:val="00D96975"/>
    <w:rsid w:val="00DA06A3"/>
    <w:rsid w:val="00DA2313"/>
    <w:rsid w:val="00DA2638"/>
    <w:rsid w:val="00DA29C1"/>
    <w:rsid w:val="00DB02A0"/>
    <w:rsid w:val="00DB1B3C"/>
    <w:rsid w:val="00DB2D43"/>
    <w:rsid w:val="00DB64C4"/>
    <w:rsid w:val="00DC0654"/>
    <w:rsid w:val="00DC259D"/>
    <w:rsid w:val="00DC3DA9"/>
    <w:rsid w:val="00DC3E7F"/>
    <w:rsid w:val="00DC52D4"/>
    <w:rsid w:val="00DC6A43"/>
    <w:rsid w:val="00DC7B11"/>
    <w:rsid w:val="00DD1148"/>
    <w:rsid w:val="00DD1288"/>
    <w:rsid w:val="00DD3B1D"/>
    <w:rsid w:val="00DE02EF"/>
    <w:rsid w:val="00DE2352"/>
    <w:rsid w:val="00DE39AE"/>
    <w:rsid w:val="00DE717E"/>
    <w:rsid w:val="00DF67D8"/>
    <w:rsid w:val="00E00C09"/>
    <w:rsid w:val="00E01D93"/>
    <w:rsid w:val="00E02483"/>
    <w:rsid w:val="00E02578"/>
    <w:rsid w:val="00E0443E"/>
    <w:rsid w:val="00E04945"/>
    <w:rsid w:val="00E04B67"/>
    <w:rsid w:val="00E12E22"/>
    <w:rsid w:val="00E13D2F"/>
    <w:rsid w:val="00E13FB3"/>
    <w:rsid w:val="00E14F3A"/>
    <w:rsid w:val="00E15BF1"/>
    <w:rsid w:val="00E1659F"/>
    <w:rsid w:val="00E170CA"/>
    <w:rsid w:val="00E20152"/>
    <w:rsid w:val="00E2183D"/>
    <w:rsid w:val="00E234B8"/>
    <w:rsid w:val="00E24E40"/>
    <w:rsid w:val="00E30020"/>
    <w:rsid w:val="00E3661A"/>
    <w:rsid w:val="00E41B1C"/>
    <w:rsid w:val="00E42A35"/>
    <w:rsid w:val="00E44584"/>
    <w:rsid w:val="00E450EA"/>
    <w:rsid w:val="00E45BDC"/>
    <w:rsid w:val="00E46A1D"/>
    <w:rsid w:val="00E5022A"/>
    <w:rsid w:val="00E50E51"/>
    <w:rsid w:val="00E5126C"/>
    <w:rsid w:val="00E51B6C"/>
    <w:rsid w:val="00E53F90"/>
    <w:rsid w:val="00E5478B"/>
    <w:rsid w:val="00E56189"/>
    <w:rsid w:val="00E5696D"/>
    <w:rsid w:val="00E57AA1"/>
    <w:rsid w:val="00E60A76"/>
    <w:rsid w:val="00E64B40"/>
    <w:rsid w:val="00E70F1E"/>
    <w:rsid w:val="00E719C0"/>
    <w:rsid w:val="00E72FF0"/>
    <w:rsid w:val="00E73729"/>
    <w:rsid w:val="00E746A6"/>
    <w:rsid w:val="00E75A5A"/>
    <w:rsid w:val="00E7775B"/>
    <w:rsid w:val="00E87345"/>
    <w:rsid w:val="00E878C8"/>
    <w:rsid w:val="00E90261"/>
    <w:rsid w:val="00E91F3B"/>
    <w:rsid w:val="00E93401"/>
    <w:rsid w:val="00EA0A4A"/>
    <w:rsid w:val="00EA1766"/>
    <w:rsid w:val="00EA5353"/>
    <w:rsid w:val="00EA54F0"/>
    <w:rsid w:val="00EA5D98"/>
    <w:rsid w:val="00EA66E7"/>
    <w:rsid w:val="00EA675E"/>
    <w:rsid w:val="00EA7355"/>
    <w:rsid w:val="00EB0774"/>
    <w:rsid w:val="00EB1B1F"/>
    <w:rsid w:val="00EB2F0D"/>
    <w:rsid w:val="00EB4F71"/>
    <w:rsid w:val="00EB52DB"/>
    <w:rsid w:val="00EB57D2"/>
    <w:rsid w:val="00EB5DF7"/>
    <w:rsid w:val="00EB73CC"/>
    <w:rsid w:val="00EB7959"/>
    <w:rsid w:val="00EC16A4"/>
    <w:rsid w:val="00EC1F22"/>
    <w:rsid w:val="00EC46A9"/>
    <w:rsid w:val="00EC6E28"/>
    <w:rsid w:val="00ED01A9"/>
    <w:rsid w:val="00ED148E"/>
    <w:rsid w:val="00ED40FA"/>
    <w:rsid w:val="00ED6D37"/>
    <w:rsid w:val="00EE0BD4"/>
    <w:rsid w:val="00EE5583"/>
    <w:rsid w:val="00EF4766"/>
    <w:rsid w:val="00EF52FF"/>
    <w:rsid w:val="00F050ED"/>
    <w:rsid w:val="00F064B2"/>
    <w:rsid w:val="00F07874"/>
    <w:rsid w:val="00F11C2A"/>
    <w:rsid w:val="00F11FEE"/>
    <w:rsid w:val="00F1219F"/>
    <w:rsid w:val="00F12713"/>
    <w:rsid w:val="00F150D5"/>
    <w:rsid w:val="00F213BB"/>
    <w:rsid w:val="00F22E21"/>
    <w:rsid w:val="00F262E1"/>
    <w:rsid w:val="00F30774"/>
    <w:rsid w:val="00F30B12"/>
    <w:rsid w:val="00F31641"/>
    <w:rsid w:val="00F323F2"/>
    <w:rsid w:val="00F32BDF"/>
    <w:rsid w:val="00F32F2C"/>
    <w:rsid w:val="00F36A52"/>
    <w:rsid w:val="00F40780"/>
    <w:rsid w:val="00F42594"/>
    <w:rsid w:val="00F43817"/>
    <w:rsid w:val="00F44191"/>
    <w:rsid w:val="00F44B57"/>
    <w:rsid w:val="00F457CD"/>
    <w:rsid w:val="00F45B39"/>
    <w:rsid w:val="00F46036"/>
    <w:rsid w:val="00F46CC4"/>
    <w:rsid w:val="00F46FD4"/>
    <w:rsid w:val="00F51BD2"/>
    <w:rsid w:val="00F548E3"/>
    <w:rsid w:val="00F55B2D"/>
    <w:rsid w:val="00F5609A"/>
    <w:rsid w:val="00F56317"/>
    <w:rsid w:val="00F56B11"/>
    <w:rsid w:val="00F57F2D"/>
    <w:rsid w:val="00F6021B"/>
    <w:rsid w:val="00F60377"/>
    <w:rsid w:val="00F6041B"/>
    <w:rsid w:val="00F62BD3"/>
    <w:rsid w:val="00F64E37"/>
    <w:rsid w:val="00F64F77"/>
    <w:rsid w:val="00F72095"/>
    <w:rsid w:val="00F74025"/>
    <w:rsid w:val="00F8091C"/>
    <w:rsid w:val="00F80B03"/>
    <w:rsid w:val="00F81BB5"/>
    <w:rsid w:val="00F83E54"/>
    <w:rsid w:val="00F84E81"/>
    <w:rsid w:val="00F90C9A"/>
    <w:rsid w:val="00F92B2D"/>
    <w:rsid w:val="00F93002"/>
    <w:rsid w:val="00F94B5B"/>
    <w:rsid w:val="00F965D5"/>
    <w:rsid w:val="00F9782F"/>
    <w:rsid w:val="00F97A43"/>
    <w:rsid w:val="00FA1714"/>
    <w:rsid w:val="00FA20FE"/>
    <w:rsid w:val="00FA28A9"/>
    <w:rsid w:val="00FA5182"/>
    <w:rsid w:val="00FA6245"/>
    <w:rsid w:val="00FB4B0F"/>
    <w:rsid w:val="00FC40BF"/>
    <w:rsid w:val="00FC4788"/>
    <w:rsid w:val="00FC6653"/>
    <w:rsid w:val="00FD1109"/>
    <w:rsid w:val="00FD1CB7"/>
    <w:rsid w:val="00FD23A8"/>
    <w:rsid w:val="00FD3C97"/>
    <w:rsid w:val="00FD41DA"/>
    <w:rsid w:val="00FD628C"/>
    <w:rsid w:val="00FD740D"/>
    <w:rsid w:val="00FD7E25"/>
    <w:rsid w:val="00FE182A"/>
    <w:rsid w:val="00FE2354"/>
    <w:rsid w:val="00FE3065"/>
    <w:rsid w:val="00FE54D1"/>
    <w:rsid w:val="00FE7B06"/>
    <w:rsid w:val="00FF0E9A"/>
    <w:rsid w:val="00FF1F75"/>
    <w:rsid w:val="00FF315F"/>
    <w:rsid w:val="00FF3D86"/>
    <w:rsid w:val="00FF4EF5"/>
    <w:rsid w:val="00FF60F3"/>
    <w:rsid w:val="00FF6345"/>
    <w:rsid w:val="00FF6F68"/>
    <w:rsid w:val="00FF72B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FE6E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C30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aliases w:val="Footnote"/>
    <w:basedOn w:val="Normal"/>
    <w:next w:val="Normal"/>
    <w:link w:val="Heading6Char"/>
    <w:autoRedefine/>
    <w:uiPriority w:val="99"/>
    <w:qFormat/>
    <w:rsid w:val="001D759A"/>
    <w:pPr>
      <w:keepNext/>
      <w:keepLines/>
      <w:widowControl w:val="0"/>
      <w:tabs>
        <w:tab w:val="num" w:pos="0"/>
      </w:tabs>
      <w:suppressAutoHyphens/>
      <w:spacing w:after="0" w:line="240" w:lineRule="auto"/>
      <w:contextualSpacing/>
      <w:outlineLvl w:val="5"/>
    </w:pPr>
    <w:rPr>
      <w:rFonts w:ascii="Calibri" w:eastAsia="Times New Roman" w:hAnsi="Calibri" w:cs="Times New Roman"/>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56339"/>
    <w:pPr>
      <w:ind w:left="720"/>
      <w:contextualSpacing/>
    </w:pPr>
  </w:style>
  <w:style w:type="character" w:styleId="CommentReference">
    <w:name w:val="annotation reference"/>
    <w:basedOn w:val="DefaultParagraphFont"/>
    <w:uiPriority w:val="99"/>
    <w:semiHidden/>
    <w:unhideWhenUsed/>
    <w:rsid w:val="00056339"/>
    <w:rPr>
      <w:sz w:val="16"/>
      <w:szCs w:val="16"/>
    </w:rPr>
  </w:style>
  <w:style w:type="paragraph" w:styleId="CommentText">
    <w:name w:val="annotation text"/>
    <w:basedOn w:val="Normal"/>
    <w:link w:val="CommentTextChar"/>
    <w:uiPriority w:val="99"/>
    <w:semiHidden/>
    <w:unhideWhenUsed/>
    <w:rsid w:val="00056339"/>
    <w:pPr>
      <w:spacing w:line="240" w:lineRule="auto"/>
    </w:pPr>
    <w:rPr>
      <w:sz w:val="20"/>
      <w:szCs w:val="20"/>
    </w:rPr>
  </w:style>
  <w:style w:type="character" w:customStyle="1" w:styleId="CommentTextChar">
    <w:name w:val="Comment Text Char"/>
    <w:basedOn w:val="DefaultParagraphFont"/>
    <w:link w:val="CommentText"/>
    <w:uiPriority w:val="99"/>
    <w:semiHidden/>
    <w:rsid w:val="00056339"/>
    <w:rPr>
      <w:sz w:val="20"/>
      <w:szCs w:val="20"/>
    </w:rPr>
  </w:style>
  <w:style w:type="paragraph" w:styleId="CommentSubject">
    <w:name w:val="annotation subject"/>
    <w:basedOn w:val="CommentText"/>
    <w:next w:val="CommentText"/>
    <w:link w:val="CommentSubjectChar"/>
    <w:uiPriority w:val="99"/>
    <w:semiHidden/>
    <w:unhideWhenUsed/>
    <w:rsid w:val="00056339"/>
    <w:rPr>
      <w:b/>
      <w:bCs/>
    </w:rPr>
  </w:style>
  <w:style w:type="character" w:customStyle="1" w:styleId="CommentSubjectChar">
    <w:name w:val="Comment Subject Char"/>
    <w:basedOn w:val="CommentTextChar"/>
    <w:link w:val="CommentSubject"/>
    <w:uiPriority w:val="99"/>
    <w:semiHidden/>
    <w:rsid w:val="00056339"/>
    <w:rPr>
      <w:b/>
      <w:bCs/>
      <w:sz w:val="20"/>
      <w:szCs w:val="20"/>
    </w:rPr>
  </w:style>
  <w:style w:type="paragraph" w:styleId="BalloonText">
    <w:name w:val="Balloon Text"/>
    <w:basedOn w:val="Normal"/>
    <w:link w:val="BalloonTextChar"/>
    <w:uiPriority w:val="99"/>
    <w:semiHidden/>
    <w:unhideWhenUsed/>
    <w:rsid w:val="000563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339"/>
    <w:rPr>
      <w:rFonts w:ascii="Segoe UI" w:hAnsi="Segoe UI" w:cs="Segoe UI"/>
      <w:sz w:val="18"/>
      <w:szCs w:val="18"/>
    </w:rPr>
  </w:style>
  <w:style w:type="table" w:styleId="TableGrid">
    <w:name w:val="Table Grid"/>
    <w:basedOn w:val="TableNormal"/>
    <w:uiPriority w:val="59"/>
    <w:rsid w:val="00447C69"/>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3554"/>
    <w:rPr>
      <w:color w:val="0000FF" w:themeColor="hyperlink"/>
      <w:u w:val="single"/>
    </w:rPr>
  </w:style>
  <w:style w:type="paragraph" w:styleId="Header">
    <w:name w:val="header"/>
    <w:basedOn w:val="Normal"/>
    <w:link w:val="HeaderChar"/>
    <w:uiPriority w:val="99"/>
    <w:unhideWhenUsed/>
    <w:rsid w:val="00186F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6F04"/>
  </w:style>
  <w:style w:type="paragraph" w:styleId="Footer">
    <w:name w:val="footer"/>
    <w:basedOn w:val="Normal"/>
    <w:link w:val="FooterChar"/>
    <w:uiPriority w:val="99"/>
    <w:unhideWhenUsed/>
    <w:rsid w:val="00186F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6F04"/>
  </w:style>
  <w:style w:type="character" w:customStyle="1" w:styleId="Heading6Char">
    <w:name w:val="Heading 6 Char"/>
    <w:aliases w:val="Footnote Char"/>
    <w:basedOn w:val="DefaultParagraphFont"/>
    <w:link w:val="Heading6"/>
    <w:uiPriority w:val="99"/>
    <w:rsid w:val="001D759A"/>
    <w:rPr>
      <w:rFonts w:ascii="Calibri" w:eastAsia="Times New Roman" w:hAnsi="Calibri" w:cs="Times New Roman"/>
      <w:iCs/>
      <w:sz w:val="18"/>
    </w:rPr>
  </w:style>
  <w:style w:type="character" w:styleId="FootnoteReference">
    <w:name w:val="footnote reference"/>
    <w:basedOn w:val="DefaultParagraphFont"/>
    <w:uiPriority w:val="99"/>
    <w:rsid w:val="001D759A"/>
    <w:rPr>
      <w:rFonts w:cs="Times New Roman"/>
      <w:vertAlign w:val="superscript"/>
    </w:rPr>
  </w:style>
  <w:style w:type="paragraph" w:styleId="FootnoteText">
    <w:name w:val="footnote text"/>
    <w:basedOn w:val="Normal"/>
    <w:link w:val="FootnoteTextChar1"/>
    <w:uiPriority w:val="99"/>
    <w:rsid w:val="00E75A5A"/>
    <w:pPr>
      <w:widowControl w:val="0"/>
      <w:suppressAutoHyphens/>
      <w:spacing w:after="120"/>
    </w:pPr>
    <w:rPr>
      <w:rFonts w:ascii="Times New Roman" w:eastAsia="Times New Roman" w:hAnsi="Times New Roman" w:cs="Calibri"/>
      <w:sz w:val="20"/>
      <w:szCs w:val="20"/>
    </w:rPr>
  </w:style>
  <w:style w:type="character" w:customStyle="1" w:styleId="FootnoteTextChar">
    <w:name w:val="Footnote Text Char"/>
    <w:basedOn w:val="DefaultParagraphFont"/>
    <w:uiPriority w:val="99"/>
    <w:semiHidden/>
    <w:rsid w:val="00E75A5A"/>
    <w:rPr>
      <w:sz w:val="20"/>
      <w:szCs w:val="20"/>
    </w:rPr>
  </w:style>
  <w:style w:type="character" w:customStyle="1" w:styleId="FootnoteTextChar1">
    <w:name w:val="Footnote Text Char1"/>
    <w:basedOn w:val="DefaultParagraphFont"/>
    <w:link w:val="FootnoteText"/>
    <w:uiPriority w:val="99"/>
    <w:rsid w:val="00E75A5A"/>
    <w:rPr>
      <w:rFonts w:ascii="Times New Roman" w:eastAsia="Times New Roman" w:hAnsi="Times New Roman" w:cs="Calibri"/>
      <w:sz w:val="20"/>
      <w:szCs w:val="20"/>
    </w:rPr>
  </w:style>
  <w:style w:type="paragraph" w:styleId="Revision">
    <w:name w:val="Revision"/>
    <w:hidden/>
    <w:uiPriority w:val="99"/>
    <w:semiHidden/>
    <w:rsid w:val="00460639"/>
    <w:pPr>
      <w:spacing w:after="0" w:line="240" w:lineRule="auto"/>
    </w:pPr>
  </w:style>
  <w:style w:type="character" w:customStyle="1" w:styleId="Heading1Char">
    <w:name w:val="Heading 1 Char"/>
    <w:basedOn w:val="DefaultParagraphFont"/>
    <w:link w:val="Heading1"/>
    <w:uiPriority w:val="9"/>
    <w:rsid w:val="000C30FD"/>
    <w:rPr>
      <w:rFonts w:asciiTheme="majorHAnsi" w:eastAsiaTheme="majorEastAsia" w:hAnsiTheme="majorHAnsi" w:cstheme="majorBidi"/>
      <w:b/>
      <w:bCs/>
      <w:color w:val="365F91" w:themeColor="accent1" w:themeShade="BF"/>
      <w:sz w:val="28"/>
      <w:szCs w:val="28"/>
    </w:rPr>
  </w:style>
  <w:style w:type="character" w:styleId="PageNumber">
    <w:name w:val="page number"/>
    <w:basedOn w:val="DefaultParagraphFont"/>
    <w:uiPriority w:val="99"/>
    <w:semiHidden/>
    <w:unhideWhenUsed/>
    <w:rsid w:val="003B64A4"/>
  </w:style>
  <w:style w:type="character" w:customStyle="1" w:styleId="ListParagraphChar">
    <w:name w:val="List Paragraph Char"/>
    <w:link w:val="ListParagraph"/>
    <w:uiPriority w:val="34"/>
    <w:rsid w:val="001427A5"/>
  </w:style>
  <w:style w:type="paragraph" w:styleId="NoSpacing">
    <w:name w:val="No Spacing"/>
    <w:uiPriority w:val="1"/>
    <w:qFormat/>
    <w:rsid w:val="00FA6245"/>
    <w:pPr>
      <w:widowControl w:val="0"/>
      <w:suppressAutoHyphens/>
      <w:spacing w:after="0" w:line="240" w:lineRule="auto"/>
    </w:pPr>
    <w:rPr>
      <w:rFonts w:ascii="Calibri" w:eastAsia="Times New Roman" w:hAnsi="Calibri" w:cs="Calibri"/>
      <w:lang w:val="en-US"/>
    </w:rPr>
  </w:style>
  <w:style w:type="character" w:customStyle="1" w:styleId="shorttext">
    <w:name w:val="short_text"/>
    <w:basedOn w:val="DefaultParagraphFont"/>
    <w:rsid w:val="003B48A7"/>
  </w:style>
  <w:style w:type="paragraph" w:customStyle="1" w:styleId="m-9122321016640388389p1">
    <w:name w:val="m_-9122321016640388389p1"/>
    <w:basedOn w:val="Normal"/>
    <w:rsid w:val="003F30F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m-9122321016640388389s1">
    <w:name w:val="m_-9122321016640388389s1"/>
    <w:basedOn w:val="DefaultParagraphFont"/>
    <w:rsid w:val="003F30F3"/>
  </w:style>
  <w:style w:type="paragraph" w:customStyle="1" w:styleId="story-body-text">
    <w:name w:val="story-body-text"/>
    <w:basedOn w:val="Normal"/>
    <w:rsid w:val="00D72004"/>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C30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aliases w:val="Footnote"/>
    <w:basedOn w:val="Normal"/>
    <w:next w:val="Normal"/>
    <w:link w:val="Heading6Char"/>
    <w:autoRedefine/>
    <w:uiPriority w:val="99"/>
    <w:qFormat/>
    <w:rsid w:val="001D759A"/>
    <w:pPr>
      <w:keepNext/>
      <w:keepLines/>
      <w:widowControl w:val="0"/>
      <w:tabs>
        <w:tab w:val="num" w:pos="0"/>
      </w:tabs>
      <w:suppressAutoHyphens/>
      <w:spacing w:after="0" w:line="240" w:lineRule="auto"/>
      <w:contextualSpacing/>
      <w:outlineLvl w:val="5"/>
    </w:pPr>
    <w:rPr>
      <w:rFonts w:ascii="Calibri" w:eastAsia="Times New Roman" w:hAnsi="Calibri" w:cs="Times New Roman"/>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56339"/>
    <w:pPr>
      <w:ind w:left="720"/>
      <w:contextualSpacing/>
    </w:pPr>
  </w:style>
  <w:style w:type="character" w:styleId="CommentReference">
    <w:name w:val="annotation reference"/>
    <w:basedOn w:val="DefaultParagraphFont"/>
    <w:uiPriority w:val="99"/>
    <w:semiHidden/>
    <w:unhideWhenUsed/>
    <w:rsid w:val="00056339"/>
    <w:rPr>
      <w:sz w:val="16"/>
      <w:szCs w:val="16"/>
    </w:rPr>
  </w:style>
  <w:style w:type="paragraph" w:styleId="CommentText">
    <w:name w:val="annotation text"/>
    <w:basedOn w:val="Normal"/>
    <w:link w:val="CommentTextChar"/>
    <w:uiPriority w:val="99"/>
    <w:semiHidden/>
    <w:unhideWhenUsed/>
    <w:rsid w:val="00056339"/>
    <w:pPr>
      <w:spacing w:line="240" w:lineRule="auto"/>
    </w:pPr>
    <w:rPr>
      <w:sz w:val="20"/>
      <w:szCs w:val="20"/>
    </w:rPr>
  </w:style>
  <w:style w:type="character" w:customStyle="1" w:styleId="CommentTextChar">
    <w:name w:val="Comment Text Char"/>
    <w:basedOn w:val="DefaultParagraphFont"/>
    <w:link w:val="CommentText"/>
    <w:uiPriority w:val="99"/>
    <w:semiHidden/>
    <w:rsid w:val="00056339"/>
    <w:rPr>
      <w:sz w:val="20"/>
      <w:szCs w:val="20"/>
    </w:rPr>
  </w:style>
  <w:style w:type="paragraph" w:styleId="CommentSubject">
    <w:name w:val="annotation subject"/>
    <w:basedOn w:val="CommentText"/>
    <w:next w:val="CommentText"/>
    <w:link w:val="CommentSubjectChar"/>
    <w:uiPriority w:val="99"/>
    <w:semiHidden/>
    <w:unhideWhenUsed/>
    <w:rsid w:val="00056339"/>
    <w:rPr>
      <w:b/>
      <w:bCs/>
    </w:rPr>
  </w:style>
  <w:style w:type="character" w:customStyle="1" w:styleId="CommentSubjectChar">
    <w:name w:val="Comment Subject Char"/>
    <w:basedOn w:val="CommentTextChar"/>
    <w:link w:val="CommentSubject"/>
    <w:uiPriority w:val="99"/>
    <w:semiHidden/>
    <w:rsid w:val="00056339"/>
    <w:rPr>
      <w:b/>
      <w:bCs/>
      <w:sz w:val="20"/>
      <w:szCs w:val="20"/>
    </w:rPr>
  </w:style>
  <w:style w:type="paragraph" w:styleId="BalloonText">
    <w:name w:val="Balloon Text"/>
    <w:basedOn w:val="Normal"/>
    <w:link w:val="BalloonTextChar"/>
    <w:uiPriority w:val="99"/>
    <w:semiHidden/>
    <w:unhideWhenUsed/>
    <w:rsid w:val="000563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339"/>
    <w:rPr>
      <w:rFonts w:ascii="Segoe UI" w:hAnsi="Segoe UI" w:cs="Segoe UI"/>
      <w:sz w:val="18"/>
      <w:szCs w:val="18"/>
    </w:rPr>
  </w:style>
  <w:style w:type="table" w:styleId="TableGrid">
    <w:name w:val="Table Grid"/>
    <w:basedOn w:val="TableNormal"/>
    <w:uiPriority w:val="59"/>
    <w:rsid w:val="00447C69"/>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3554"/>
    <w:rPr>
      <w:color w:val="0000FF" w:themeColor="hyperlink"/>
      <w:u w:val="single"/>
    </w:rPr>
  </w:style>
  <w:style w:type="paragraph" w:styleId="Header">
    <w:name w:val="header"/>
    <w:basedOn w:val="Normal"/>
    <w:link w:val="HeaderChar"/>
    <w:uiPriority w:val="99"/>
    <w:unhideWhenUsed/>
    <w:rsid w:val="00186F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6F04"/>
  </w:style>
  <w:style w:type="paragraph" w:styleId="Footer">
    <w:name w:val="footer"/>
    <w:basedOn w:val="Normal"/>
    <w:link w:val="FooterChar"/>
    <w:uiPriority w:val="99"/>
    <w:unhideWhenUsed/>
    <w:rsid w:val="00186F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6F04"/>
  </w:style>
  <w:style w:type="character" w:customStyle="1" w:styleId="Heading6Char">
    <w:name w:val="Heading 6 Char"/>
    <w:aliases w:val="Footnote Char"/>
    <w:basedOn w:val="DefaultParagraphFont"/>
    <w:link w:val="Heading6"/>
    <w:uiPriority w:val="99"/>
    <w:rsid w:val="001D759A"/>
    <w:rPr>
      <w:rFonts w:ascii="Calibri" w:eastAsia="Times New Roman" w:hAnsi="Calibri" w:cs="Times New Roman"/>
      <w:iCs/>
      <w:sz w:val="18"/>
    </w:rPr>
  </w:style>
  <w:style w:type="character" w:styleId="FootnoteReference">
    <w:name w:val="footnote reference"/>
    <w:basedOn w:val="DefaultParagraphFont"/>
    <w:uiPriority w:val="99"/>
    <w:rsid w:val="001D759A"/>
    <w:rPr>
      <w:rFonts w:cs="Times New Roman"/>
      <w:vertAlign w:val="superscript"/>
    </w:rPr>
  </w:style>
  <w:style w:type="paragraph" w:styleId="FootnoteText">
    <w:name w:val="footnote text"/>
    <w:basedOn w:val="Normal"/>
    <w:link w:val="FootnoteTextChar1"/>
    <w:uiPriority w:val="99"/>
    <w:rsid w:val="00E75A5A"/>
    <w:pPr>
      <w:widowControl w:val="0"/>
      <w:suppressAutoHyphens/>
      <w:spacing w:after="120"/>
    </w:pPr>
    <w:rPr>
      <w:rFonts w:ascii="Times New Roman" w:eastAsia="Times New Roman" w:hAnsi="Times New Roman" w:cs="Calibri"/>
      <w:sz w:val="20"/>
      <w:szCs w:val="20"/>
    </w:rPr>
  </w:style>
  <w:style w:type="character" w:customStyle="1" w:styleId="FootnoteTextChar">
    <w:name w:val="Footnote Text Char"/>
    <w:basedOn w:val="DefaultParagraphFont"/>
    <w:uiPriority w:val="99"/>
    <w:semiHidden/>
    <w:rsid w:val="00E75A5A"/>
    <w:rPr>
      <w:sz w:val="20"/>
      <w:szCs w:val="20"/>
    </w:rPr>
  </w:style>
  <w:style w:type="character" w:customStyle="1" w:styleId="FootnoteTextChar1">
    <w:name w:val="Footnote Text Char1"/>
    <w:basedOn w:val="DefaultParagraphFont"/>
    <w:link w:val="FootnoteText"/>
    <w:uiPriority w:val="99"/>
    <w:rsid w:val="00E75A5A"/>
    <w:rPr>
      <w:rFonts w:ascii="Times New Roman" w:eastAsia="Times New Roman" w:hAnsi="Times New Roman" w:cs="Calibri"/>
      <w:sz w:val="20"/>
      <w:szCs w:val="20"/>
    </w:rPr>
  </w:style>
  <w:style w:type="paragraph" w:styleId="Revision">
    <w:name w:val="Revision"/>
    <w:hidden/>
    <w:uiPriority w:val="99"/>
    <w:semiHidden/>
    <w:rsid w:val="00460639"/>
    <w:pPr>
      <w:spacing w:after="0" w:line="240" w:lineRule="auto"/>
    </w:pPr>
  </w:style>
  <w:style w:type="character" w:customStyle="1" w:styleId="Heading1Char">
    <w:name w:val="Heading 1 Char"/>
    <w:basedOn w:val="DefaultParagraphFont"/>
    <w:link w:val="Heading1"/>
    <w:uiPriority w:val="9"/>
    <w:rsid w:val="000C30FD"/>
    <w:rPr>
      <w:rFonts w:asciiTheme="majorHAnsi" w:eastAsiaTheme="majorEastAsia" w:hAnsiTheme="majorHAnsi" w:cstheme="majorBidi"/>
      <w:b/>
      <w:bCs/>
      <w:color w:val="365F91" w:themeColor="accent1" w:themeShade="BF"/>
      <w:sz w:val="28"/>
      <w:szCs w:val="28"/>
    </w:rPr>
  </w:style>
  <w:style w:type="character" w:styleId="PageNumber">
    <w:name w:val="page number"/>
    <w:basedOn w:val="DefaultParagraphFont"/>
    <w:uiPriority w:val="99"/>
    <w:semiHidden/>
    <w:unhideWhenUsed/>
    <w:rsid w:val="003B64A4"/>
  </w:style>
  <w:style w:type="character" w:customStyle="1" w:styleId="ListParagraphChar">
    <w:name w:val="List Paragraph Char"/>
    <w:link w:val="ListParagraph"/>
    <w:uiPriority w:val="34"/>
    <w:rsid w:val="001427A5"/>
  </w:style>
  <w:style w:type="paragraph" w:styleId="NoSpacing">
    <w:name w:val="No Spacing"/>
    <w:uiPriority w:val="1"/>
    <w:qFormat/>
    <w:rsid w:val="00FA6245"/>
    <w:pPr>
      <w:widowControl w:val="0"/>
      <w:suppressAutoHyphens/>
      <w:spacing w:after="0" w:line="240" w:lineRule="auto"/>
    </w:pPr>
    <w:rPr>
      <w:rFonts w:ascii="Calibri" w:eastAsia="Times New Roman" w:hAnsi="Calibri" w:cs="Calibri"/>
      <w:lang w:val="en-US"/>
    </w:rPr>
  </w:style>
  <w:style w:type="character" w:customStyle="1" w:styleId="shorttext">
    <w:name w:val="short_text"/>
    <w:basedOn w:val="DefaultParagraphFont"/>
    <w:rsid w:val="003B48A7"/>
  </w:style>
  <w:style w:type="paragraph" w:customStyle="1" w:styleId="m-9122321016640388389p1">
    <w:name w:val="m_-9122321016640388389p1"/>
    <w:basedOn w:val="Normal"/>
    <w:rsid w:val="003F30F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m-9122321016640388389s1">
    <w:name w:val="m_-9122321016640388389s1"/>
    <w:basedOn w:val="DefaultParagraphFont"/>
    <w:rsid w:val="003F30F3"/>
  </w:style>
  <w:style w:type="paragraph" w:customStyle="1" w:styleId="story-body-text">
    <w:name w:val="story-body-text"/>
    <w:basedOn w:val="Normal"/>
    <w:rsid w:val="00D72004"/>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9234">
      <w:bodyDiv w:val="1"/>
      <w:marLeft w:val="0"/>
      <w:marRight w:val="0"/>
      <w:marTop w:val="0"/>
      <w:marBottom w:val="0"/>
      <w:divBdr>
        <w:top w:val="none" w:sz="0" w:space="0" w:color="auto"/>
        <w:left w:val="none" w:sz="0" w:space="0" w:color="auto"/>
        <w:bottom w:val="none" w:sz="0" w:space="0" w:color="auto"/>
        <w:right w:val="none" w:sz="0" w:space="0" w:color="auto"/>
      </w:divBdr>
    </w:div>
    <w:div w:id="22176336">
      <w:bodyDiv w:val="1"/>
      <w:marLeft w:val="0"/>
      <w:marRight w:val="0"/>
      <w:marTop w:val="0"/>
      <w:marBottom w:val="0"/>
      <w:divBdr>
        <w:top w:val="none" w:sz="0" w:space="0" w:color="auto"/>
        <w:left w:val="none" w:sz="0" w:space="0" w:color="auto"/>
        <w:bottom w:val="none" w:sz="0" w:space="0" w:color="auto"/>
        <w:right w:val="none" w:sz="0" w:space="0" w:color="auto"/>
      </w:divBdr>
    </w:div>
    <w:div w:id="36514742">
      <w:bodyDiv w:val="1"/>
      <w:marLeft w:val="0"/>
      <w:marRight w:val="0"/>
      <w:marTop w:val="0"/>
      <w:marBottom w:val="0"/>
      <w:divBdr>
        <w:top w:val="none" w:sz="0" w:space="0" w:color="auto"/>
        <w:left w:val="none" w:sz="0" w:space="0" w:color="auto"/>
        <w:bottom w:val="none" w:sz="0" w:space="0" w:color="auto"/>
        <w:right w:val="none" w:sz="0" w:space="0" w:color="auto"/>
      </w:divBdr>
    </w:div>
    <w:div w:id="168328353">
      <w:bodyDiv w:val="1"/>
      <w:marLeft w:val="0"/>
      <w:marRight w:val="0"/>
      <w:marTop w:val="0"/>
      <w:marBottom w:val="0"/>
      <w:divBdr>
        <w:top w:val="none" w:sz="0" w:space="0" w:color="auto"/>
        <w:left w:val="none" w:sz="0" w:space="0" w:color="auto"/>
        <w:bottom w:val="none" w:sz="0" w:space="0" w:color="auto"/>
        <w:right w:val="none" w:sz="0" w:space="0" w:color="auto"/>
      </w:divBdr>
    </w:div>
    <w:div w:id="195584596">
      <w:bodyDiv w:val="1"/>
      <w:marLeft w:val="0"/>
      <w:marRight w:val="0"/>
      <w:marTop w:val="0"/>
      <w:marBottom w:val="0"/>
      <w:divBdr>
        <w:top w:val="none" w:sz="0" w:space="0" w:color="auto"/>
        <w:left w:val="none" w:sz="0" w:space="0" w:color="auto"/>
        <w:bottom w:val="none" w:sz="0" w:space="0" w:color="auto"/>
        <w:right w:val="none" w:sz="0" w:space="0" w:color="auto"/>
      </w:divBdr>
    </w:div>
    <w:div w:id="206989505">
      <w:bodyDiv w:val="1"/>
      <w:marLeft w:val="0"/>
      <w:marRight w:val="0"/>
      <w:marTop w:val="0"/>
      <w:marBottom w:val="0"/>
      <w:divBdr>
        <w:top w:val="none" w:sz="0" w:space="0" w:color="auto"/>
        <w:left w:val="none" w:sz="0" w:space="0" w:color="auto"/>
        <w:bottom w:val="none" w:sz="0" w:space="0" w:color="auto"/>
        <w:right w:val="none" w:sz="0" w:space="0" w:color="auto"/>
      </w:divBdr>
    </w:div>
    <w:div w:id="286204864">
      <w:bodyDiv w:val="1"/>
      <w:marLeft w:val="0"/>
      <w:marRight w:val="0"/>
      <w:marTop w:val="0"/>
      <w:marBottom w:val="0"/>
      <w:divBdr>
        <w:top w:val="none" w:sz="0" w:space="0" w:color="auto"/>
        <w:left w:val="none" w:sz="0" w:space="0" w:color="auto"/>
        <w:bottom w:val="none" w:sz="0" w:space="0" w:color="auto"/>
        <w:right w:val="none" w:sz="0" w:space="0" w:color="auto"/>
      </w:divBdr>
    </w:div>
    <w:div w:id="437875059">
      <w:bodyDiv w:val="1"/>
      <w:marLeft w:val="0"/>
      <w:marRight w:val="0"/>
      <w:marTop w:val="0"/>
      <w:marBottom w:val="0"/>
      <w:divBdr>
        <w:top w:val="none" w:sz="0" w:space="0" w:color="auto"/>
        <w:left w:val="none" w:sz="0" w:space="0" w:color="auto"/>
        <w:bottom w:val="none" w:sz="0" w:space="0" w:color="auto"/>
        <w:right w:val="none" w:sz="0" w:space="0" w:color="auto"/>
      </w:divBdr>
    </w:div>
    <w:div w:id="467629010">
      <w:bodyDiv w:val="1"/>
      <w:marLeft w:val="0"/>
      <w:marRight w:val="0"/>
      <w:marTop w:val="0"/>
      <w:marBottom w:val="0"/>
      <w:divBdr>
        <w:top w:val="none" w:sz="0" w:space="0" w:color="auto"/>
        <w:left w:val="none" w:sz="0" w:space="0" w:color="auto"/>
        <w:bottom w:val="none" w:sz="0" w:space="0" w:color="auto"/>
        <w:right w:val="none" w:sz="0" w:space="0" w:color="auto"/>
      </w:divBdr>
    </w:div>
    <w:div w:id="498471303">
      <w:bodyDiv w:val="1"/>
      <w:marLeft w:val="0"/>
      <w:marRight w:val="0"/>
      <w:marTop w:val="0"/>
      <w:marBottom w:val="0"/>
      <w:divBdr>
        <w:top w:val="none" w:sz="0" w:space="0" w:color="auto"/>
        <w:left w:val="none" w:sz="0" w:space="0" w:color="auto"/>
        <w:bottom w:val="none" w:sz="0" w:space="0" w:color="auto"/>
        <w:right w:val="none" w:sz="0" w:space="0" w:color="auto"/>
      </w:divBdr>
      <w:divsChild>
        <w:div w:id="2010522873">
          <w:marLeft w:val="0"/>
          <w:marRight w:val="0"/>
          <w:marTop w:val="0"/>
          <w:marBottom w:val="0"/>
          <w:divBdr>
            <w:top w:val="none" w:sz="0" w:space="0" w:color="auto"/>
            <w:left w:val="none" w:sz="0" w:space="0" w:color="auto"/>
            <w:bottom w:val="none" w:sz="0" w:space="0" w:color="auto"/>
            <w:right w:val="none" w:sz="0" w:space="0" w:color="auto"/>
          </w:divBdr>
        </w:div>
        <w:div w:id="2093579666">
          <w:marLeft w:val="0"/>
          <w:marRight w:val="0"/>
          <w:marTop w:val="0"/>
          <w:marBottom w:val="0"/>
          <w:divBdr>
            <w:top w:val="none" w:sz="0" w:space="0" w:color="auto"/>
            <w:left w:val="none" w:sz="0" w:space="0" w:color="auto"/>
            <w:bottom w:val="none" w:sz="0" w:space="0" w:color="auto"/>
            <w:right w:val="none" w:sz="0" w:space="0" w:color="auto"/>
          </w:divBdr>
        </w:div>
        <w:div w:id="117799375">
          <w:marLeft w:val="0"/>
          <w:marRight w:val="0"/>
          <w:marTop w:val="0"/>
          <w:marBottom w:val="0"/>
          <w:divBdr>
            <w:top w:val="none" w:sz="0" w:space="0" w:color="auto"/>
            <w:left w:val="none" w:sz="0" w:space="0" w:color="auto"/>
            <w:bottom w:val="none" w:sz="0" w:space="0" w:color="auto"/>
            <w:right w:val="none" w:sz="0" w:space="0" w:color="auto"/>
          </w:divBdr>
        </w:div>
      </w:divsChild>
    </w:div>
    <w:div w:id="507212817">
      <w:bodyDiv w:val="1"/>
      <w:marLeft w:val="0"/>
      <w:marRight w:val="0"/>
      <w:marTop w:val="0"/>
      <w:marBottom w:val="0"/>
      <w:divBdr>
        <w:top w:val="none" w:sz="0" w:space="0" w:color="auto"/>
        <w:left w:val="none" w:sz="0" w:space="0" w:color="auto"/>
        <w:bottom w:val="none" w:sz="0" w:space="0" w:color="auto"/>
        <w:right w:val="none" w:sz="0" w:space="0" w:color="auto"/>
      </w:divBdr>
    </w:div>
    <w:div w:id="545531217">
      <w:bodyDiv w:val="1"/>
      <w:marLeft w:val="0"/>
      <w:marRight w:val="0"/>
      <w:marTop w:val="0"/>
      <w:marBottom w:val="0"/>
      <w:divBdr>
        <w:top w:val="none" w:sz="0" w:space="0" w:color="auto"/>
        <w:left w:val="none" w:sz="0" w:space="0" w:color="auto"/>
        <w:bottom w:val="none" w:sz="0" w:space="0" w:color="auto"/>
        <w:right w:val="none" w:sz="0" w:space="0" w:color="auto"/>
      </w:divBdr>
      <w:divsChild>
        <w:div w:id="637107203">
          <w:marLeft w:val="0"/>
          <w:marRight w:val="0"/>
          <w:marTop w:val="0"/>
          <w:marBottom w:val="0"/>
          <w:divBdr>
            <w:top w:val="none" w:sz="0" w:space="0" w:color="auto"/>
            <w:left w:val="none" w:sz="0" w:space="0" w:color="auto"/>
            <w:bottom w:val="none" w:sz="0" w:space="0" w:color="auto"/>
            <w:right w:val="none" w:sz="0" w:space="0" w:color="auto"/>
          </w:divBdr>
          <w:divsChild>
            <w:div w:id="1154568565">
              <w:marLeft w:val="0"/>
              <w:marRight w:val="0"/>
              <w:marTop w:val="0"/>
              <w:marBottom w:val="0"/>
              <w:divBdr>
                <w:top w:val="none" w:sz="0" w:space="0" w:color="auto"/>
                <w:left w:val="none" w:sz="0" w:space="0" w:color="auto"/>
                <w:bottom w:val="none" w:sz="0" w:space="0" w:color="auto"/>
                <w:right w:val="none" w:sz="0" w:space="0" w:color="auto"/>
              </w:divBdr>
            </w:div>
          </w:divsChild>
        </w:div>
        <w:div w:id="881400547">
          <w:marLeft w:val="0"/>
          <w:marRight w:val="0"/>
          <w:marTop w:val="0"/>
          <w:marBottom w:val="0"/>
          <w:divBdr>
            <w:top w:val="none" w:sz="0" w:space="0" w:color="auto"/>
            <w:left w:val="none" w:sz="0" w:space="0" w:color="auto"/>
            <w:bottom w:val="none" w:sz="0" w:space="0" w:color="auto"/>
            <w:right w:val="none" w:sz="0" w:space="0" w:color="auto"/>
          </w:divBdr>
        </w:div>
        <w:div w:id="316157516">
          <w:marLeft w:val="0"/>
          <w:marRight w:val="0"/>
          <w:marTop w:val="0"/>
          <w:marBottom w:val="0"/>
          <w:divBdr>
            <w:top w:val="none" w:sz="0" w:space="0" w:color="auto"/>
            <w:left w:val="none" w:sz="0" w:space="0" w:color="auto"/>
            <w:bottom w:val="none" w:sz="0" w:space="0" w:color="auto"/>
            <w:right w:val="none" w:sz="0" w:space="0" w:color="auto"/>
          </w:divBdr>
        </w:div>
      </w:divsChild>
    </w:div>
    <w:div w:id="569461676">
      <w:bodyDiv w:val="1"/>
      <w:marLeft w:val="0"/>
      <w:marRight w:val="0"/>
      <w:marTop w:val="0"/>
      <w:marBottom w:val="0"/>
      <w:divBdr>
        <w:top w:val="none" w:sz="0" w:space="0" w:color="auto"/>
        <w:left w:val="none" w:sz="0" w:space="0" w:color="auto"/>
        <w:bottom w:val="none" w:sz="0" w:space="0" w:color="auto"/>
        <w:right w:val="none" w:sz="0" w:space="0" w:color="auto"/>
      </w:divBdr>
    </w:div>
    <w:div w:id="577790470">
      <w:bodyDiv w:val="1"/>
      <w:marLeft w:val="0"/>
      <w:marRight w:val="0"/>
      <w:marTop w:val="0"/>
      <w:marBottom w:val="0"/>
      <w:divBdr>
        <w:top w:val="none" w:sz="0" w:space="0" w:color="auto"/>
        <w:left w:val="none" w:sz="0" w:space="0" w:color="auto"/>
        <w:bottom w:val="none" w:sz="0" w:space="0" w:color="auto"/>
        <w:right w:val="none" w:sz="0" w:space="0" w:color="auto"/>
      </w:divBdr>
    </w:div>
    <w:div w:id="588586863">
      <w:bodyDiv w:val="1"/>
      <w:marLeft w:val="0"/>
      <w:marRight w:val="0"/>
      <w:marTop w:val="0"/>
      <w:marBottom w:val="0"/>
      <w:divBdr>
        <w:top w:val="none" w:sz="0" w:space="0" w:color="auto"/>
        <w:left w:val="none" w:sz="0" w:space="0" w:color="auto"/>
        <w:bottom w:val="none" w:sz="0" w:space="0" w:color="auto"/>
        <w:right w:val="none" w:sz="0" w:space="0" w:color="auto"/>
      </w:divBdr>
    </w:div>
    <w:div w:id="600796831">
      <w:bodyDiv w:val="1"/>
      <w:marLeft w:val="0"/>
      <w:marRight w:val="0"/>
      <w:marTop w:val="0"/>
      <w:marBottom w:val="0"/>
      <w:divBdr>
        <w:top w:val="none" w:sz="0" w:space="0" w:color="auto"/>
        <w:left w:val="none" w:sz="0" w:space="0" w:color="auto"/>
        <w:bottom w:val="none" w:sz="0" w:space="0" w:color="auto"/>
        <w:right w:val="none" w:sz="0" w:space="0" w:color="auto"/>
      </w:divBdr>
    </w:div>
    <w:div w:id="646132157">
      <w:bodyDiv w:val="1"/>
      <w:marLeft w:val="0"/>
      <w:marRight w:val="0"/>
      <w:marTop w:val="0"/>
      <w:marBottom w:val="0"/>
      <w:divBdr>
        <w:top w:val="none" w:sz="0" w:space="0" w:color="auto"/>
        <w:left w:val="none" w:sz="0" w:space="0" w:color="auto"/>
        <w:bottom w:val="none" w:sz="0" w:space="0" w:color="auto"/>
        <w:right w:val="none" w:sz="0" w:space="0" w:color="auto"/>
      </w:divBdr>
    </w:div>
    <w:div w:id="650059167">
      <w:bodyDiv w:val="1"/>
      <w:marLeft w:val="0"/>
      <w:marRight w:val="0"/>
      <w:marTop w:val="0"/>
      <w:marBottom w:val="0"/>
      <w:divBdr>
        <w:top w:val="none" w:sz="0" w:space="0" w:color="auto"/>
        <w:left w:val="none" w:sz="0" w:space="0" w:color="auto"/>
        <w:bottom w:val="none" w:sz="0" w:space="0" w:color="auto"/>
        <w:right w:val="none" w:sz="0" w:space="0" w:color="auto"/>
      </w:divBdr>
    </w:div>
    <w:div w:id="659887875">
      <w:bodyDiv w:val="1"/>
      <w:marLeft w:val="0"/>
      <w:marRight w:val="0"/>
      <w:marTop w:val="0"/>
      <w:marBottom w:val="0"/>
      <w:divBdr>
        <w:top w:val="none" w:sz="0" w:space="0" w:color="auto"/>
        <w:left w:val="none" w:sz="0" w:space="0" w:color="auto"/>
        <w:bottom w:val="none" w:sz="0" w:space="0" w:color="auto"/>
        <w:right w:val="none" w:sz="0" w:space="0" w:color="auto"/>
      </w:divBdr>
    </w:div>
    <w:div w:id="668482189">
      <w:bodyDiv w:val="1"/>
      <w:marLeft w:val="0"/>
      <w:marRight w:val="0"/>
      <w:marTop w:val="0"/>
      <w:marBottom w:val="0"/>
      <w:divBdr>
        <w:top w:val="none" w:sz="0" w:space="0" w:color="auto"/>
        <w:left w:val="none" w:sz="0" w:space="0" w:color="auto"/>
        <w:bottom w:val="none" w:sz="0" w:space="0" w:color="auto"/>
        <w:right w:val="none" w:sz="0" w:space="0" w:color="auto"/>
      </w:divBdr>
    </w:div>
    <w:div w:id="720133656">
      <w:bodyDiv w:val="1"/>
      <w:marLeft w:val="0"/>
      <w:marRight w:val="0"/>
      <w:marTop w:val="0"/>
      <w:marBottom w:val="0"/>
      <w:divBdr>
        <w:top w:val="none" w:sz="0" w:space="0" w:color="auto"/>
        <w:left w:val="none" w:sz="0" w:space="0" w:color="auto"/>
        <w:bottom w:val="none" w:sz="0" w:space="0" w:color="auto"/>
        <w:right w:val="none" w:sz="0" w:space="0" w:color="auto"/>
      </w:divBdr>
    </w:div>
    <w:div w:id="776369541">
      <w:bodyDiv w:val="1"/>
      <w:marLeft w:val="0"/>
      <w:marRight w:val="0"/>
      <w:marTop w:val="0"/>
      <w:marBottom w:val="0"/>
      <w:divBdr>
        <w:top w:val="none" w:sz="0" w:space="0" w:color="auto"/>
        <w:left w:val="none" w:sz="0" w:space="0" w:color="auto"/>
        <w:bottom w:val="none" w:sz="0" w:space="0" w:color="auto"/>
        <w:right w:val="none" w:sz="0" w:space="0" w:color="auto"/>
      </w:divBdr>
    </w:div>
    <w:div w:id="798839205">
      <w:bodyDiv w:val="1"/>
      <w:marLeft w:val="0"/>
      <w:marRight w:val="0"/>
      <w:marTop w:val="0"/>
      <w:marBottom w:val="0"/>
      <w:divBdr>
        <w:top w:val="none" w:sz="0" w:space="0" w:color="auto"/>
        <w:left w:val="none" w:sz="0" w:space="0" w:color="auto"/>
        <w:bottom w:val="none" w:sz="0" w:space="0" w:color="auto"/>
        <w:right w:val="none" w:sz="0" w:space="0" w:color="auto"/>
      </w:divBdr>
    </w:div>
    <w:div w:id="827526315">
      <w:bodyDiv w:val="1"/>
      <w:marLeft w:val="0"/>
      <w:marRight w:val="0"/>
      <w:marTop w:val="0"/>
      <w:marBottom w:val="0"/>
      <w:divBdr>
        <w:top w:val="none" w:sz="0" w:space="0" w:color="auto"/>
        <w:left w:val="none" w:sz="0" w:space="0" w:color="auto"/>
        <w:bottom w:val="none" w:sz="0" w:space="0" w:color="auto"/>
        <w:right w:val="none" w:sz="0" w:space="0" w:color="auto"/>
      </w:divBdr>
    </w:div>
    <w:div w:id="931085301">
      <w:bodyDiv w:val="1"/>
      <w:marLeft w:val="0"/>
      <w:marRight w:val="0"/>
      <w:marTop w:val="0"/>
      <w:marBottom w:val="0"/>
      <w:divBdr>
        <w:top w:val="none" w:sz="0" w:space="0" w:color="auto"/>
        <w:left w:val="none" w:sz="0" w:space="0" w:color="auto"/>
        <w:bottom w:val="none" w:sz="0" w:space="0" w:color="auto"/>
        <w:right w:val="none" w:sz="0" w:space="0" w:color="auto"/>
      </w:divBdr>
    </w:div>
    <w:div w:id="974067848">
      <w:bodyDiv w:val="1"/>
      <w:marLeft w:val="0"/>
      <w:marRight w:val="0"/>
      <w:marTop w:val="0"/>
      <w:marBottom w:val="0"/>
      <w:divBdr>
        <w:top w:val="none" w:sz="0" w:space="0" w:color="auto"/>
        <w:left w:val="none" w:sz="0" w:space="0" w:color="auto"/>
        <w:bottom w:val="none" w:sz="0" w:space="0" w:color="auto"/>
        <w:right w:val="none" w:sz="0" w:space="0" w:color="auto"/>
      </w:divBdr>
    </w:div>
    <w:div w:id="1051423701">
      <w:bodyDiv w:val="1"/>
      <w:marLeft w:val="0"/>
      <w:marRight w:val="0"/>
      <w:marTop w:val="0"/>
      <w:marBottom w:val="0"/>
      <w:divBdr>
        <w:top w:val="none" w:sz="0" w:space="0" w:color="auto"/>
        <w:left w:val="none" w:sz="0" w:space="0" w:color="auto"/>
        <w:bottom w:val="none" w:sz="0" w:space="0" w:color="auto"/>
        <w:right w:val="none" w:sz="0" w:space="0" w:color="auto"/>
      </w:divBdr>
    </w:div>
    <w:div w:id="1056126720">
      <w:bodyDiv w:val="1"/>
      <w:marLeft w:val="0"/>
      <w:marRight w:val="0"/>
      <w:marTop w:val="0"/>
      <w:marBottom w:val="0"/>
      <w:divBdr>
        <w:top w:val="none" w:sz="0" w:space="0" w:color="auto"/>
        <w:left w:val="none" w:sz="0" w:space="0" w:color="auto"/>
        <w:bottom w:val="none" w:sz="0" w:space="0" w:color="auto"/>
        <w:right w:val="none" w:sz="0" w:space="0" w:color="auto"/>
      </w:divBdr>
    </w:div>
    <w:div w:id="1094059106">
      <w:bodyDiv w:val="1"/>
      <w:marLeft w:val="0"/>
      <w:marRight w:val="0"/>
      <w:marTop w:val="0"/>
      <w:marBottom w:val="0"/>
      <w:divBdr>
        <w:top w:val="none" w:sz="0" w:space="0" w:color="auto"/>
        <w:left w:val="none" w:sz="0" w:space="0" w:color="auto"/>
        <w:bottom w:val="none" w:sz="0" w:space="0" w:color="auto"/>
        <w:right w:val="none" w:sz="0" w:space="0" w:color="auto"/>
      </w:divBdr>
    </w:div>
    <w:div w:id="1096561134">
      <w:bodyDiv w:val="1"/>
      <w:marLeft w:val="0"/>
      <w:marRight w:val="0"/>
      <w:marTop w:val="0"/>
      <w:marBottom w:val="0"/>
      <w:divBdr>
        <w:top w:val="none" w:sz="0" w:space="0" w:color="auto"/>
        <w:left w:val="none" w:sz="0" w:space="0" w:color="auto"/>
        <w:bottom w:val="none" w:sz="0" w:space="0" w:color="auto"/>
        <w:right w:val="none" w:sz="0" w:space="0" w:color="auto"/>
      </w:divBdr>
    </w:div>
    <w:div w:id="1208642598">
      <w:bodyDiv w:val="1"/>
      <w:marLeft w:val="0"/>
      <w:marRight w:val="0"/>
      <w:marTop w:val="0"/>
      <w:marBottom w:val="0"/>
      <w:divBdr>
        <w:top w:val="none" w:sz="0" w:space="0" w:color="auto"/>
        <w:left w:val="none" w:sz="0" w:space="0" w:color="auto"/>
        <w:bottom w:val="none" w:sz="0" w:space="0" w:color="auto"/>
        <w:right w:val="none" w:sz="0" w:space="0" w:color="auto"/>
      </w:divBdr>
    </w:div>
    <w:div w:id="1238704987">
      <w:bodyDiv w:val="1"/>
      <w:marLeft w:val="0"/>
      <w:marRight w:val="0"/>
      <w:marTop w:val="0"/>
      <w:marBottom w:val="0"/>
      <w:divBdr>
        <w:top w:val="none" w:sz="0" w:space="0" w:color="auto"/>
        <w:left w:val="none" w:sz="0" w:space="0" w:color="auto"/>
        <w:bottom w:val="none" w:sz="0" w:space="0" w:color="auto"/>
        <w:right w:val="none" w:sz="0" w:space="0" w:color="auto"/>
      </w:divBdr>
    </w:div>
    <w:div w:id="1272516533">
      <w:bodyDiv w:val="1"/>
      <w:marLeft w:val="0"/>
      <w:marRight w:val="0"/>
      <w:marTop w:val="0"/>
      <w:marBottom w:val="0"/>
      <w:divBdr>
        <w:top w:val="none" w:sz="0" w:space="0" w:color="auto"/>
        <w:left w:val="none" w:sz="0" w:space="0" w:color="auto"/>
        <w:bottom w:val="none" w:sz="0" w:space="0" w:color="auto"/>
        <w:right w:val="none" w:sz="0" w:space="0" w:color="auto"/>
      </w:divBdr>
    </w:div>
    <w:div w:id="1289169869">
      <w:bodyDiv w:val="1"/>
      <w:marLeft w:val="0"/>
      <w:marRight w:val="0"/>
      <w:marTop w:val="0"/>
      <w:marBottom w:val="0"/>
      <w:divBdr>
        <w:top w:val="none" w:sz="0" w:space="0" w:color="auto"/>
        <w:left w:val="none" w:sz="0" w:space="0" w:color="auto"/>
        <w:bottom w:val="none" w:sz="0" w:space="0" w:color="auto"/>
        <w:right w:val="none" w:sz="0" w:space="0" w:color="auto"/>
      </w:divBdr>
    </w:div>
    <w:div w:id="1313173291">
      <w:bodyDiv w:val="1"/>
      <w:marLeft w:val="0"/>
      <w:marRight w:val="0"/>
      <w:marTop w:val="0"/>
      <w:marBottom w:val="0"/>
      <w:divBdr>
        <w:top w:val="none" w:sz="0" w:space="0" w:color="auto"/>
        <w:left w:val="none" w:sz="0" w:space="0" w:color="auto"/>
        <w:bottom w:val="none" w:sz="0" w:space="0" w:color="auto"/>
        <w:right w:val="none" w:sz="0" w:space="0" w:color="auto"/>
      </w:divBdr>
    </w:div>
    <w:div w:id="1483810027">
      <w:bodyDiv w:val="1"/>
      <w:marLeft w:val="0"/>
      <w:marRight w:val="0"/>
      <w:marTop w:val="0"/>
      <w:marBottom w:val="0"/>
      <w:divBdr>
        <w:top w:val="none" w:sz="0" w:space="0" w:color="auto"/>
        <w:left w:val="none" w:sz="0" w:space="0" w:color="auto"/>
        <w:bottom w:val="none" w:sz="0" w:space="0" w:color="auto"/>
        <w:right w:val="none" w:sz="0" w:space="0" w:color="auto"/>
      </w:divBdr>
    </w:div>
    <w:div w:id="1516534570">
      <w:bodyDiv w:val="1"/>
      <w:marLeft w:val="0"/>
      <w:marRight w:val="0"/>
      <w:marTop w:val="0"/>
      <w:marBottom w:val="0"/>
      <w:divBdr>
        <w:top w:val="none" w:sz="0" w:space="0" w:color="auto"/>
        <w:left w:val="none" w:sz="0" w:space="0" w:color="auto"/>
        <w:bottom w:val="none" w:sz="0" w:space="0" w:color="auto"/>
        <w:right w:val="none" w:sz="0" w:space="0" w:color="auto"/>
      </w:divBdr>
    </w:div>
    <w:div w:id="1516924361">
      <w:bodyDiv w:val="1"/>
      <w:marLeft w:val="0"/>
      <w:marRight w:val="0"/>
      <w:marTop w:val="0"/>
      <w:marBottom w:val="0"/>
      <w:divBdr>
        <w:top w:val="none" w:sz="0" w:space="0" w:color="auto"/>
        <w:left w:val="none" w:sz="0" w:space="0" w:color="auto"/>
        <w:bottom w:val="none" w:sz="0" w:space="0" w:color="auto"/>
        <w:right w:val="none" w:sz="0" w:space="0" w:color="auto"/>
      </w:divBdr>
    </w:div>
    <w:div w:id="1548227209">
      <w:bodyDiv w:val="1"/>
      <w:marLeft w:val="0"/>
      <w:marRight w:val="0"/>
      <w:marTop w:val="0"/>
      <w:marBottom w:val="0"/>
      <w:divBdr>
        <w:top w:val="none" w:sz="0" w:space="0" w:color="auto"/>
        <w:left w:val="none" w:sz="0" w:space="0" w:color="auto"/>
        <w:bottom w:val="none" w:sz="0" w:space="0" w:color="auto"/>
        <w:right w:val="none" w:sz="0" w:space="0" w:color="auto"/>
      </w:divBdr>
    </w:div>
    <w:div w:id="1772969192">
      <w:bodyDiv w:val="1"/>
      <w:marLeft w:val="0"/>
      <w:marRight w:val="0"/>
      <w:marTop w:val="0"/>
      <w:marBottom w:val="0"/>
      <w:divBdr>
        <w:top w:val="none" w:sz="0" w:space="0" w:color="auto"/>
        <w:left w:val="none" w:sz="0" w:space="0" w:color="auto"/>
        <w:bottom w:val="none" w:sz="0" w:space="0" w:color="auto"/>
        <w:right w:val="none" w:sz="0" w:space="0" w:color="auto"/>
      </w:divBdr>
    </w:div>
    <w:div w:id="1809082600">
      <w:bodyDiv w:val="1"/>
      <w:marLeft w:val="0"/>
      <w:marRight w:val="0"/>
      <w:marTop w:val="0"/>
      <w:marBottom w:val="0"/>
      <w:divBdr>
        <w:top w:val="none" w:sz="0" w:space="0" w:color="auto"/>
        <w:left w:val="none" w:sz="0" w:space="0" w:color="auto"/>
        <w:bottom w:val="none" w:sz="0" w:space="0" w:color="auto"/>
        <w:right w:val="none" w:sz="0" w:space="0" w:color="auto"/>
      </w:divBdr>
    </w:div>
    <w:div w:id="1848858553">
      <w:bodyDiv w:val="1"/>
      <w:marLeft w:val="0"/>
      <w:marRight w:val="0"/>
      <w:marTop w:val="0"/>
      <w:marBottom w:val="0"/>
      <w:divBdr>
        <w:top w:val="none" w:sz="0" w:space="0" w:color="auto"/>
        <w:left w:val="none" w:sz="0" w:space="0" w:color="auto"/>
        <w:bottom w:val="none" w:sz="0" w:space="0" w:color="auto"/>
        <w:right w:val="none" w:sz="0" w:space="0" w:color="auto"/>
      </w:divBdr>
    </w:div>
    <w:div w:id="1885214717">
      <w:bodyDiv w:val="1"/>
      <w:marLeft w:val="0"/>
      <w:marRight w:val="0"/>
      <w:marTop w:val="0"/>
      <w:marBottom w:val="0"/>
      <w:divBdr>
        <w:top w:val="none" w:sz="0" w:space="0" w:color="auto"/>
        <w:left w:val="none" w:sz="0" w:space="0" w:color="auto"/>
        <w:bottom w:val="none" w:sz="0" w:space="0" w:color="auto"/>
        <w:right w:val="none" w:sz="0" w:space="0" w:color="auto"/>
      </w:divBdr>
    </w:div>
    <w:div w:id="1917085243">
      <w:bodyDiv w:val="1"/>
      <w:marLeft w:val="0"/>
      <w:marRight w:val="0"/>
      <w:marTop w:val="0"/>
      <w:marBottom w:val="0"/>
      <w:divBdr>
        <w:top w:val="none" w:sz="0" w:space="0" w:color="auto"/>
        <w:left w:val="none" w:sz="0" w:space="0" w:color="auto"/>
        <w:bottom w:val="none" w:sz="0" w:space="0" w:color="auto"/>
        <w:right w:val="none" w:sz="0" w:space="0" w:color="auto"/>
      </w:divBdr>
    </w:div>
    <w:div w:id="2030718790">
      <w:bodyDiv w:val="1"/>
      <w:marLeft w:val="0"/>
      <w:marRight w:val="0"/>
      <w:marTop w:val="0"/>
      <w:marBottom w:val="0"/>
      <w:divBdr>
        <w:top w:val="none" w:sz="0" w:space="0" w:color="auto"/>
        <w:left w:val="none" w:sz="0" w:space="0" w:color="auto"/>
        <w:bottom w:val="none" w:sz="0" w:space="0" w:color="auto"/>
        <w:right w:val="none" w:sz="0" w:space="0" w:color="auto"/>
      </w:divBdr>
    </w:div>
    <w:div w:id="204972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928DFE6F9FA0458EC72BF47C020C99" ma:contentTypeVersion="11" ma:contentTypeDescription="Create a new document." ma:contentTypeScope="" ma:versionID="843ba65275aa8a310832559b2131d811">
  <xsd:schema xmlns:xsd="http://www.w3.org/2001/XMLSchema" xmlns:xs="http://www.w3.org/2001/XMLSchema" xmlns:p="http://schemas.microsoft.com/office/2006/metadata/properties" xmlns:ns2="fe1be84b-5555-4586-833a-5a852e6d5db1" xmlns:ns3="e07afb9b-2630-43d5-bd62-0fadd2859872" targetNamespace="http://schemas.microsoft.com/office/2006/metadata/properties" ma:root="true" ma:fieldsID="d14233ac1c3a8edd040667b428f04c7a" ns2:_="" ns3:_="">
    <xsd:import namespace="fe1be84b-5555-4586-833a-5a852e6d5db1"/>
    <xsd:import namespace="e07afb9b-2630-43d5-bd62-0fadd2859872"/>
    <xsd:element name="properties">
      <xsd:complexType>
        <xsd:sequence>
          <xsd:element name="documentManagement">
            <xsd:complexType>
              <xsd:all>
                <xsd:element ref="ns2:i1f74559e927451cb5a2d4526771989a" minOccurs="0"/>
                <xsd:element ref="ns3:TaxCatchAll" minOccurs="0"/>
                <xsd:element ref="ns2:kc25dfba31e04acfa2d1f3e5bdded51b" minOccurs="0"/>
                <xsd:element ref="ns2:l81973ec77864883838d440605ab8d35" minOccurs="0"/>
                <xsd:element ref="ns2:obd9ef9f3c684e9a9da6ccdc9e5fbd0b" minOccurs="0"/>
                <xsd:element ref="ns2:a7528c1ebb0c4b898cee9a2a6afc0e3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1be84b-5555-4586-833a-5a852e6d5db1" elementFormDefault="qualified">
    <xsd:import namespace="http://schemas.microsoft.com/office/2006/documentManagement/types"/>
    <xsd:import namespace="http://schemas.microsoft.com/office/infopath/2007/PartnerControls"/>
    <xsd:element name="i1f74559e927451cb5a2d4526771989a" ma:index="9" nillable="true" ma:taxonomy="true" ma:internalName="i1f74559e927451cb5a2d4526771989a" ma:taxonomyFieldName="ASICountry" ma:displayName="Country" ma:default="" ma:fieldId="{21f74559-e927-451c-b5a2-d4526771989a}" ma:taxonomyMulti="true" ma:sspId="4efea2de-e659-42ff-98f6-07632ba82af8" ma:termSetId="3207412d-4322-4740-9717-12090f8fba2a" ma:anchorId="00000000-0000-0000-0000-000000000000" ma:open="false" ma:isKeyword="false">
      <xsd:complexType>
        <xsd:sequence>
          <xsd:element ref="pc:Terms" minOccurs="0" maxOccurs="1"/>
        </xsd:sequence>
      </xsd:complexType>
    </xsd:element>
    <xsd:element name="kc25dfba31e04acfa2d1f3e5bdded51b" ma:index="12" nillable="true" ma:taxonomy="true" ma:internalName="kc25dfba31e04acfa2d1f3e5bdded51b" ma:taxonomyFieldName="ASITheme" ma:displayName="Theme" ma:default="" ma:fieldId="{4c25dfba-31e0-4acf-a2d1-f3e5bdded51b}" ma:sspId="4efea2de-e659-42ff-98f6-07632ba82af8" ma:termSetId="f98b2f7e-83d8-40ad-988d-7b304b2782f3" ma:anchorId="00000000-0000-0000-0000-000000000000" ma:open="false" ma:isKeyword="false">
      <xsd:complexType>
        <xsd:sequence>
          <xsd:element ref="pc:Terms" minOccurs="0" maxOccurs="1"/>
        </xsd:sequence>
      </xsd:complexType>
    </xsd:element>
    <xsd:element name="l81973ec77864883838d440605ab8d35" ma:index="14" nillable="true" ma:taxonomy="true" ma:internalName="l81973ec77864883838d440605ab8d35" ma:taxonomyFieldName="ASITeam2" ma:displayName="Team" ma:default="" ma:fieldId="{581973ec-7786-4883-838d-440605ab8d35}" ma:sspId="4efea2de-e659-42ff-98f6-07632ba82af8" ma:termSetId="2dd7c965-73b0-4d41-9d98-f15950ab550d" ma:anchorId="00000000-0000-0000-0000-000000000000" ma:open="false" ma:isKeyword="false">
      <xsd:complexType>
        <xsd:sequence>
          <xsd:element ref="pc:Terms" minOccurs="0" maxOccurs="1"/>
        </xsd:sequence>
      </xsd:complexType>
    </xsd:element>
    <xsd:element name="obd9ef9f3c684e9a9da6ccdc9e5fbd0b" ma:index="16" nillable="true" ma:taxonomy="true" ma:internalName="obd9ef9f3c684e9a9da6ccdc9e5fbd0b" ma:taxonomyFieldName="ASIDocumentType" ma:displayName="Document Type" ma:default="" ma:fieldId="{8bd9ef9f-3c68-4e9a-9da6-ccdc9e5fbd0b}" ma:sspId="4efea2de-e659-42ff-98f6-07632ba82af8" ma:termSetId="2147d493-387a-423f-8bbd-449af99a639a" ma:anchorId="00000000-0000-0000-0000-000000000000" ma:open="true" ma:isKeyword="false">
      <xsd:complexType>
        <xsd:sequence>
          <xsd:element ref="pc:Terms" minOccurs="0" maxOccurs="1"/>
        </xsd:sequence>
      </xsd:complexType>
    </xsd:element>
    <xsd:element name="a7528c1ebb0c4b898cee9a2a6afc0e32" ma:index="18" nillable="true" ma:taxonomy="true" ma:internalName="a7528c1ebb0c4b898cee9a2a6afc0e32" ma:taxonomyFieldName="asiClient" ma:displayName="Client" ma:default="" ma:fieldId="{a7528c1e-bb0c-4b89-8cee-9a2a6afc0e32}" ma:sspId="4efea2de-e659-42ff-98f6-07632ba82af8" ma:termSetId="036d344f-3447-4e5b-9560-df02524d4cbb"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07afb9b-2630-43d5-bd62-0fadd2859872"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00cff6d4-69b5-4e8b-b1fe-55d53c513ef3}" ma:internalName="TaxCatchAll" ma:showField="CatchAllData" ma:web="fe1be84b-5555-4586-833a-5a852e6d5d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07afb9b-2630-43d5-bd62-0fadd2859872">
      <Value>42</Value>
    </TaxCatchAll>
    <obd9ef9f3c684e9a9da6ccdc9e5fbd0b xmlns="fe1be84b-5555-4586-833a-5a852e6d5db1">
      <Terms xmlns="http://schemas.microsoft.com/office/infopath/2007/PartnerControls"/>
    </obd9ef9f3c684e9a9da6ccdc9e5fbd0b>
    <a7528c1ebb0c4b898cee9a2a6afc0e32 xmlns="fe1be84b-5555-4586-833a-5a852e6d5db1">
      <Terms xmlns="http://schemas.microsoft.com/office/infopath/2007/PartnerControls"/>
    </a7528c1ebb0c4b898cee9a2a6afc0e32>
    <kc25dfba31e04acfa2d1f3e5bdded51b xmlns="fe1be84b-5555-4586-833a-5a852e6d5db1">
      <Terms xmlns="http://schemas.microsoft.com/office/infopath/2007/PartnerControls"/>
    </kc25dfba31e04acfa2d1f3e5bdded51b>
    <i1f74559e927451cb5a2d4526771989a xmlns="fe1be84b-5555-4586-833a-5a852e6d5db1">
      <Terms xmlns="http://schemas.microsoft.com/office/infopath/2007/PartnerControls"/>
    </i1f74559e927451cb5a2d4526771989a>
    <l81973ec77864883838d440605ab8d35 xmlns="fe1be84b-5555-4586-833a-5a852e6d5db1">
      <Terms xmlns="http://schemas.microsoft.com/office/infopath/2007/PartnerControls">
        <TermInfo xmlns="http://schemas.microsoft.com/office/infopath/2007/PartnerControls">
          <TermName xmlns="http://schemas.microsoft.com/office/infopath/2007/PartnerControls">ZA03 - Extractives Industry Governance</TermName>
          <TermId xmlns="http://schemas.microsoft.com/office/infopath/2007/PartnerControls">b014c8ac-f5f9-4d17-af49-4cfcf4f3db5e</TermId>
        </TermInfo>
      </Terms>
    </l81973ec77864883838d440605ab8d35>
  </documentManagement>
</p:properties>
</file>

<file path=customXml/item4.xml><?xml version="1.0" encoding="utf-8"?>
<b:Sources xmlns:b="http://schemas.openxmlformats.org/officeDocument/2006/bibliography" xmlns="http://schemas.openxmlformats.org/officeDocument/2006/bibliography" SelectedStyle="/APA.XSL" StyleName="APA">
  <b:Source>
    <b:Tag>PHE1642</b:Tag>
    <b:SourceType>InternetSite</b:SourceType>
    <b:Guid>{E8E924D0-C9BB-D84E-9CFD-8C05DEEE256F}</b:Guid>
    <b:Author>
      <b:Author>
        <b:Corporate>PH-EITI</b:Corporate>
      </b:Author>
    </b:Author>
    <b:Title>PH-EITI Presentation to the 63rd Annual National Mine Safety and Environment Conference Minerals Industry Symposium</b:Title>
    <b:Year>2016</b:Year>
    <b:URL>unpublished, provided the PH-EITI Secretariat</b:URL>
    <b:Month>November</b:Month>
    <b:Day>17</b:Day>
    <b:YearAccessed>2017</b:YearAccessed>
    <b:MonthAccessed>February</b:MonthAccessed>
    <b:RefOrder>1</b:RefOrder>
  </b:Source>
  <b:Source>
    <b:Tag>Bus16</b:Tag>
    <b:SourceType>InternetSite</b:SourceType>
    <b:Guid>{CC3ADAC9-7692-234A-9035-C65F1E25CBF6}</b:Guid>
    <b:Author>
      <b:Author>
        <b:Corporate>BusinessWorld</b:Corporate>
      </b:Author>
    </b:Author>
    <b:Title>PHL sees oil, gas potential as EITI efforts lauded</b:Title>
    <b:URL>http://www.bworldonline.com/content.php?section=Economy&amp;title=phl-sees-oil-gas-potential-as-eiti-efforts-lauded&amp;id=123663</b:URL>
    <b:Year>2016</b:Year>
    <b:Month>February</b:Month>
    <b:Day>26</b:Day>
    <b:YearAccessed>2017</b:YearAccessed>
    <b:MonthAccessed>February</b:MonthAccessed>
    <b:RefOrder>2</b:RefOrder>
  </b:Source>
  <b:Source>
    <b:Tag>Min161</b:Tag>
    <b:SourceType>InternetSite</b:SourceType>
    <b:Guid>{E852BD1C-4913-F046-A42C-1310A47013CD}</b:Guid>
    <b:Author>
      <b:Author>
        <b:Corporate>Mines and Geosciences Bureau</b:Corporate>
      </b:Author>
    </b:Author>
    <b:Title>Mineral Resource Inventory</b:Title>
    <b:URL>http://www.mgb.gov.ph/2015-05-13-01-44-56/2015-05-13-01-47-51#</b:URL>
    <b:Year>2016</b:Year>
    <b:YearAccessed>2016</b:YearAccessed>
    <b:MonthAccessed>October</b:MonthAccessed>
    <b:RefOrder>3</b:RefOrder>
  </b:Source>
  <b:Source>
    <b:Tag>PHE156</b:Tag>
    <b:SourceType>DocumentFromInternetSite</b:SourceType>
    <b:Guid>{B6460EE1-35AF-7546-83B5-07FBDDF8FE7E}</b:Guid>
    <b:Author>
      <b:Author>
        <b:Corporate>PH-EITI</b:Corporate>
      </b:Author>
    </b:Author>
    <b:Title>The 2nd PH-EITI Country Report (FY2013) - Executive Summary</b:Title>
    <b:URL>http://ph-eiti.org/document/EITI-Report/Second-Country-Report/Executive%20Summary_2015.pdf</b:URL>
    <b:Year>2015</b:Year>
    <b:Month>December</b:Month>
    <b:YearAccessed>2016</b:YearAccessed>
    <b:MonthAccessed>September</b:MonthAccessed>
    <b:RefOrder>4</b:RefOrder>
  </b:Source>
  <b:Source>
    <b:Tag>Reu16</b:Tag>
    <b:SourceType>DocumentFromInternetSite</b:SourceType>
    <b:Guid>{BDD6010E-B972-354A-8F58-0E1CAD3ABAB3}</b:Guid>
    <b:Author>
      <b:Author>
        <b:Corporate>Reuters</b:Corporate>
      </b:Author>
    </b:Author>
    <b:Title>The Philippines Will Suspend More Mines Over Environmental Violations</b:Title>
    <b:Year>2016</b:Year>
    <b:URL>http://fortune.com/2016/09/05/philippines-mines-suspend/</b:URL>
    <b:Month>September</b:Month>
    <b:Day>5</b:Day>
    <b:YearAccessed>2016</b:YearAccessed>
    <b:MonthAccessed>September</b:MonthAccessed>
    <b:RefOrder>5</b:RefOrder>
  </b:Source>
  <b:Source>
    <b:Tag>EIT162</b:Tag>
    <b:SourceType>InternetSite</b:SourceType>
    <b:Guid>{4E21543C-9CAF-134D-A132-629099C36A65}</b:Guid>
    <b:Author>
      <b:Author>
        <b:Corporate>EITI</b:Corporate>
      </b:Author>
    </b:Author>
    <b:Title>Philippines country page</b:Title>
    <b:URL>https://eiti.org/implementing_country/2</b:URL>
    <b:YearAccessed>2016</b:YearAccessed>
    <b:MonthAccessed>November</b:MonthAccessed>
    <b:Year>2016</b:Year>
    <b:RefOrder>6</b:RefOrder>
  </b:Source>
  <b:Source>
    <b:Tag>Amn14</b:Tag>
    <b:SourceType>InternetSite</b:SourceType>
    <b:Guid>{A8BB2ED3-04AC-5344-BA02-BA0C57E60C3F}</b:Guid>
    <b:Author>
      <b:Author>
        <b:Corporate>Amnesty International</b:Corporate>
      </b:Author>
    </b:Author>
    <b:Title>MINING AND HUMAN RIGHTS IN SENEGAL ClosIng the gAps In pRoteCtIon</b:Title>
    <b:URL>file:///Users/alexgordy/Downloads/afr490022014en.pdf</b:URL>
    <b:Year>2014</b:Year>
    <b:YearAccessed>2017</b:YearAccessed>
    <b:MonthAccessed>July</b:MonthAccessed>
    <b:RefOrder>17</b:RefOrder>
  </b:Source>
  <b:Source>
    <b:Tag>Wor162</b:Tag>
    <b:SourceType>InternetSite</b:SourceType>
    <b:Guid>{4C839B83-7B91-8946-8E50-FABEDF1AE8E1}</b:Guid>
    <b:Author>
      <b:Author>
        <b:Corporate>World Bank</b:Corporate>
      </b:Author>
    </b:Author>
    <b:Title>PROJECT PAPER ON A PROPOSED GRANT IN THE AMOUNT OF (US$ 0.30 MILLION EQUIVALENT) TO REPUBLIC OF SENEGAL FOR A SENEGAL SUPPORT TO EXTRACTIVE INDUSTRIES TRANSPARENCY INITIATIVE COMPLIANCE PROCESS PROJECT</b:Title>
    <b:URL>http://documents.worldbank.org/curated/en/373311474563720646/pdf/PP1924-PJPR-OUO-9-Project-Paper-has-been-approved-P160022.pdf</b:URL>
    <b:Year>2016</b:Year>
    <b:Month>May</b:Month>
    <b:YearAccessed>2017</b:YearAccessed>
    <b:MonthAccessed>July</b:MonthAccessed>
    <b:RefOrder>18</b:RefOrder>
  </b:Source>
  <b:Source>
    <b:Tag>USG161</b:Tag>
    <b:SourceType>InternetSite</b:SourceType>
    <b:Guid>{E3A53EB5-680E-1743-AD56-09432D7953E0}</b:Guid>
    <b:Author>
      <b:Author>
        <b:Corporate>USGS</b:Corporate>
      </b:Author>
    </b:Author>
    <b:Title>The MIneral Industry of Senegal 2013 </b:Title>
    <b:URL>https://minerals.usgs.gov/minerals/pubs/country/2013/myb3-2013-sg.pdf</b:URL>
    <b:Year>2016</b:Year>
    <b:Month>March</b:Month>
    <b:YearAccessed>2017</b:YearAccessed>
    <b:MonthAccessed>July</b:MonthAccessed>
    <b:RefOrder>19</b:RefOrder>
  </b:Source>
  <b:Source>
    <b:Tag>Laz171</b:Tag>
    <b:SourceType>InternetSite</b:SourceType>
    <b:Guid>{E63FE176-A633-094A-B7DA-8AC8B379EEB4}</b:Guid>
    <b:Author>
      <b:Author>
        <b:Corporate>Lazard Asset Management </b:Corporate>
      </b:Author>
    </b:Author>
    <b:Title>Senegal country note</b:Title>
    <b:URL>http://www.lazardassetmanagement.co.uk/institutional-investor/docs/sp0/9720/EmergingMarketsSovereign-Senegal_en.pdf?pagename=Emerging+Markets+Sovereign+Outlook</b:URL>
    <b:Year>2017</b:Year>
    <b:Month>February</b:Month>
    <b:YearAccessed>2017</b:YearAccessed>
    <b:MonthAccessed>July</b:MonthAccessed>
    <b:RefOrder>20</b:RefOrder>
  </b:Source>
  <b:Source>
    <b:Tag>Rep171</b:Tag>
    <b:SourceType>InternetSite</b:SourceType>
    <b:Guid>{E59DBC60-585B-544C-BB97-ACA849278C7A}</b:Guid>
    <b:Author>
      <b:Author>
        <b:Corporate>Republic of Senegal</b:Corporate>
      </b:Author>
    </b:Author>
    <b:Title>2017 Eurobond Prospectus</b:Title>
    <b:URL>http://ise.ie/debt_documents/Final%20Prospectus_df8fa04a-3e08-4b19-b380-a12f441623d0.PDF</b:URL>
    <b:Year>2017</b:Year>
    <b:YearAccessed>2017</b:YearAccessed>
    <b:MonthAccessed>July</b:MonthAccessed>
    <b:RefOrder>7</b:RefOrder>
  </b:Source>
  <b:Source>
    <b:Tag>Cai15</b:Tag>
    <b:SourceType>InternetSite</b:SourceType>
    <b:Guid>{0900D5F6-B888-7142-AE9F-88290B86F012}</b:Guid>
    <b:Author>
      <b:Author>
        <b:Corporate>Cairn Energy</b:Corporate>
      </b:Author>
    </b:Author>
    <b:Title>Cairn au Senegal</b:Title>
    <b:URL>https://www.cairnenergy.com/files/pdf/senegal/cairn_in_senegal_2015_fr.pdf</b:URL>
    <b:Year>2015</b:Year>
    <b:YearAccessed>2017</b:YearAccessed>
    <b:MonthAccessed>July</b:MonthAccessed>
    <b:RefOrder>21</b:RefOrder>
  </b:Source>
  <b:Source>
    <b:Tag>Fin16</b:Tag>
    <b:SourceType>InternetSite</b:SourceType>
    <b:Guid>{BE6D5807-A481-004F-9E9C-894A907A00E7}</b:Guid>
    <b:Author>
      <b:Author>
        <b:Corporate>Financial Times</b:Corporate>
      </b:Author>
    </b:Author>
    <b:Title>Cairn Energy boosted by Senegal discovery</b:Title>
    <b:URL>https://www.ft.com/content/729f4f7e-418d-3f78-a38f-15072054bf98</b:URL>
    <b:Year>2016</b:Year>
    <b:Month>August</b:Month>
    <b:YearAccessed>2017</b:YearAccessed>
    <b:MonthAccessed>July</b:MonthAccessed>
    <b:RefOrder>22</b:RefOrder>
  </b:Source>
  <b:Source>
    <b:Tag>IDA17</b:Tag>
    <b:SourceType>InternetSite</b:SourceType>
    <b:Guid>{921A1127-7294-E34F-9935-C6064A9DFBB6}</b:Guid>
    <b:Author>
      <b:Author>
        <b:Corporate>IDA Africa Watch</b:Corporate>
      </b:Author>
    </b:Author>
    <b:Title>WHAT WILL OIL AND GAS MEAN FOR SENEGAL?</b:Title>
    <b:URL>https://www.ida.org/idamedia/Corporate/Files/Publications/AfricaWatch/africawatch-June-8-2017-vol15.ashx</b:URL>
    <b:Year>2017</b:Year>
    <b:Month>June</b:Month>
    <b:YearAccessed>2017</b:YearAccessed>
    <b:MonthAccessed>JULY</b:MonthAccessed>
    <b:RefOrder>23</b:RefOrder>
  </b:Source>
  <b:Source>
    <b:Tag>FAR17</b:Tag>
    <b:SourceType>InternetSite</b:SourceType>
    <b:Guid>{E957F4AF-1CE5-5147-87C2-E65ECB0BFE6F}</b:Guid>
    <b:Author>
      <b:Author>
        <b:Corporate>FAR Ltd</b:Corporate>
      </b:Author>
    </b:Author>
    <b:Title>Senegal Prospective Resource Increase</b:Title>
    <b:URL>http://far.live.irmau.com/irm/PDF/2236_0/SenegalProspectiveResourceIncrease</b:URL>
    <b:Year>2017</b:Year>
    <b:Month>February</b:Month>
    <b:YearAccessed>2017</b:YearAccessed>
    <b:MonthAccessed>July</b:MonthAccessed>
    <b:RefOrder>24</b:RefOrder>
  </b:Source>
  <b:Source>
    <b:Tag>Fin162</b:Tag>
    <b:SourceType>InternetSite</b:SourceType>
    <b:Guid>{5C360EE6-3701-2F4C-891B-539AAAE9A963}</b:Guid>
    <b:Author>
      <b:Author>
        <b:Corporate>Financial Times</b:Corporate>
      </b:Author>
    </b:Author>
    <b:Title>Oil and gas discoveries fuel Senegalese fears  </b:Title>
    <b:URL>https://www.ft.com/content/065ba414-bbce-11e6-8b45-b8b81dd5d080</b:URL>
    <b:Year>2016</b:Year>
    <b:Month>December</b:Month>
    <b:YearAccessed>2017</b:YearAccessed>
    <b:MonthAccessed>July</b:MonthAccessed>
    <b:RefOrder>25</b:RefOrder>
  </b:Source>
</b:Sources>
</file>

<file path=customXml/itemProps1.xml><?xml version="1.0" encoding="utf-8"?>
<ds:datastoreItem xmlns:ds="http://schemas.openxmlformats.org/officeDocument/2006/customXml" ds:itemID="{D4F61C7A-F072-4045-AE47-8F00A5E31A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1be84b-5555-4586-833a-5a852e6d5db1"/>
    <ds:schemaRef ds:uri="e07afb9b-2630-43d5-bd62-0fadd28598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6D8E8B-9601-4758-82C5-25B3D8B46AE7}">
  <ds:schemaRefs>
    <ds:schemaRef ds:uri="http://schemas.microsoft.com/sharepoint/v3/contenttype/forms"/>
  </ds:schemaRefs>
</ds:datastoreItem>
</file>

<file path=customXml/itemProps3.xml><?xml version="1.0" encoding="utf-8"?>
<ds:datastoreItem xmlns:ds="http://schemas.openxmlformats.org/officeDocument/2006/customXml" ds:itemID="{6E8D3F26-4123-41DF-B8AA-E92CA5781520}">
  <ds:schemaRefs>
    <ds:schemaRef ds:uri="http://purl.org/dc/dcmitype/"/>
    <ds:schemaRef ds:uri="http://purl.org/dc/terms/"/>
    <ds:schemaRef ds:uri="http://schemas.microsoft.com/office/2006/metadata/properties"/>
    <ds:schemaRef ds:uri="fe1be84b-5555-4586-833a-5a852e6d5db1"/>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http://www.w3.org/XML/1998/namespace"/>
    <ds:schemaRef ds:uri="e07afb9b-2630-43d5-bd62-0fadd2859872"/>
  </ds:schemaRefs>
</ds:datastoreItem>
</file>

<file path=customXml/itemProps4.xml><?xml version="1.0" encoding="utf-8"?>
<ds:datastoreItem xmlns:ds="http://schemas.openxmlformats.org/officeDocument/2006/customXml" ds:itemID="{46D2CFEB-1B04-47F9-8D5E-4AAA718C0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3085</Words>
  <Characters>17590</Characters>
  <Application>Microsoft Office Word</Application>
  <DocSecurity>4</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Irwin</dc:creator>
  <cp:lastModifiedBy>Antoniya Mihaylova</cp:lastModifiedBy>
  <cp:revision>2</cp:revision>
  <dcterms:created xsi:type="dcterms:W3CDTF">2018-01-09T10:30:00Z</dcterms:created>
  <dcterms:modified xsi:type="dcterms:W3CDTF">2018-01-09T10:30:00Z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0x010100A7928DFE6F9FA0458EC72BF47C020C99</vt:lpwstr>
  </property>
  <property fmtid="{D5CDD505-2E9C-101B-9397-08002B2CF9AE}" pid="3" name="ASICountry">
    <vt:lpwstr/>
  </property>
  <property fmtid="{D5CDD505-2E9C-101B-9397-08002B2CF9AE}" pid="4" name="ASIDocumentType">
    <vt:lpwstr/>
  </property>
  <property fmtid="{D5CDD505-2E9C-101B-9397-08002B2CF9AE}" pid="5" name="asiClient">
    <vt:lpwstr/>
  </property>
  <property fmtid="{D5CDD505-2E9C-101B-9397-08002B2CF9AE}" pid="6" name="ASITeam2">
    <vt:lpwstr>42;#ZA03 - Extractives Industry Governance|b014c8ac-f5f9-4d17-af49-4cfcf4f3db5e</vt:lpwstr>
  </property>
  <property fmtid="{D5CDD505-2E9C-101B-9397-08002B2CF9AE}" pid="7" name="ASITheme">
    <vt:lpwstr/>
  </property>
</Properties>
</file>