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A89D8C1" w14:textId="77777777" w:rsidR="00291DD2" w:rsidRPr="005F45A7" w:rsidRDefault="00683288" w:rsidP="00683288">
      <w:pPr>
        <w:pStyle w:val="Header"/>
        <w:rPr>
          <w:rFonts w:asciiTheme="majorHAnsi" w:hAnsiTheme="majorHAnsi"/>
        </w:rPr>
      </w:pPr>
      <w:r w:rsidRPr="005F45A7">
        <w:rPr>
          <w:rFonts w:asciiTheme="majorHAnsi" w:hAnsiTheme="majorHAnsi"/>
          <w:noProof/>
          <w:lang w:val="en-AU" w:eastAsia="en-AU"/>
        </w:rPr>
        <mc:AlternateContent>
          <mc:Choice Requires="wps">
            <w:drawing>
              <wp:anchor distT="0" distB="0" distL="114300" distR="114300" simplePos="0" relativeHeight="251658241" behindDoc="1" locked="0" layoutInCell="1" allowOverlap="1" wp14:anchorId="1FB28C21" wp14:editId="7DDE5D89">
                <wp:simplePos x="0" y="0"/>
                <wp:positionH relativeFrom="column">
                  <wp:posOffset>-958215</wp:posOffset>
                </wp:positionH>
                <wp:positionV relativeFrom="paragraph">
                  <wp:posOffset>371451</wp:posOffset>
                </wp:positionV>
                <wp:extent cx="8307705" cy="352425"/>
                <wp:effectExtent l="0" t="0" r="234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352425"/>
                        </a:xfrm>
                        <a:prstGeom prst="rect">
                          <a:avLst/>
                        </a:prstGeom>
                        <a:solidFill>
                          <a:srgbClr val="000000"/>
                        </a:solidFill>
                        <a:ln w="9525">
                          <a:solidFill>
                            <a:srgbClr val="000000"/>
                          </a:solidFill>
                          <a:miter lim="800000"/>
                          <a:headEnd/>
                          <a:tailEnd/>
                        </a:ln>
                      </wps:spPr>
                      <wps:txbx>
                        <w:txbxContent>
                          <w:p w14:paraId="3B35B95A" w14:textId="77777777" w:rsidR="00B2419F" w:rsidRDefault="00B2419F" w:rsidP="001D7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8C21" id="Rectangle 6" o:spid="_x0000_s1026" style="position:absolute;margin-left:-75.45pt;margin-top:29.25pt;width:654.1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" fillcolor="black">
                <v:textbox>
                  <w:txbxContent>
                    <w:p w14:paraId="3B35B95A" w14:textId="77777777" w:rsidR="00B2419F" w:rsidRDefault="00B2419F" w:rsidP="001D7DBC"/>
                  </w:txbxContent>
                </v:textbox>
              </v:rect>
            </w:pict>
          </mc:Fallback>
        </mc:AlternateContent>
      </w:r>
      <w:r w:rsidR="00BB080D" w:rsidRPr="005F45A7">
        <w:rPr>
          <w:rFonts w:asciiTheme="majorHAnsi" w:hAnsiTheme="majorHAnsi"/>
          <w:noProof/>
          <w:lang w:val="en-AU" w:eastAsia="en-AU"/>
        </w:rPr>
        <w:drawing>
          <wp:anchor distT="0" distB="0" distL="114935" distR="114935" simplePos="0" relativeHeight="251658242" behindDoc="1" locked="0" layoutInCell="1" allowOverlap="1" wp14:anchorId="378BC429" wp14:editId="07F13A88">
            <wp:simplePos x="0" y="0"/>
            <wp:positionH relativeFrom="page">
              <wp:posOffset>720090</wp:posOffset>
            </wp:positionH>
            <wp:positionV relativeFrom="page">
              <wp:posOffset>360045</wp:posOffset>
            </wp:positionV>
            <wp:extent cx="2466340" cy="5041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C007EEC" w14:textId="6A4AB403" w:rsidR="001D7DBC" w:rsidRPr="005F45A7" w:rsidRDefault="00B2419F" w:rsidP="00B63D32">
      <w:pPr>
        <w:tabs>
          <w:tab w:val="left" w:pos="720"/>
          <w:tab w:val="left" w:pos="2535"/>
          <w:tab w:val="right" w:pos="9356"/>
        </w:tabs>
        <w:spacing w:after="120"/>
        <w:rPr>
          <w:rFonts w:asciiTheme="majorHAnsi" w:hAnsiTheme="majorHAnsi"/>
          <w:color w:val="FFFFFF"/>
          <w:sz w:val="36"/>
          <w:szCs w:val="36"/>
        </w:rPr>
      </w:pPr>
      <w:r w:rsidRPr="005F45A7">
        <w:rPr>
          <w:rFonts w:asciiTheme="majorHAnsi" w:hAnsiTheme="majorHAnsi"/>
          <w:noProof/>
          <w:color w:val="FABF8F" w:themeColor="accent6" w:themeTint="99"/>
          <w:lang w:val="en-AU" w:eastAsia="en-AU"/>
        </w:rPr>
        <w:drawing>
          <wp:anchor distT="0" distB="0" distL="114935" distR="114935" simplePos="0" relativeHeight="251658752" behindDoc="1" locked="0" layoutInCell="1" allowOverlap="1" wp14:anchorId="4C5F1A85" wp14:editId="2A47FB76">
            <wp:simplePos x="0" y="0"/>
            <wp:positionH relativeFrom="column">
              <wp:posOffset>-1380048</wp:posOffset>
            </wp:positionH>
            <wp:positionV relativeFrom="paragraph">
              <wp:posOffset>306098</wp:posOffset>
            </wp:positionV>
            <wp:extent cx="8517890" cy="413467"/>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8715" cy="41496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F45A7">
        <w:rPr>
          <w:rFonts w:asciiTheme="majorHAnsi" w:hAnsiTheme="majorHAnsi"/>
          <w:bCs/>
          <w:color w:val="FFFFFF" w:themeColor="background1"/>
          <w:sz w:val="36"/>
          <w:szCs w:val="36"/>
          <w:lang w:eastAsia="nb-NO"/>
        </w:rPr>
        <w:t>Board Paper</w:t>
      </w:r>
      <w:r w:rsidRPr="005F45A7">
        <w:rPr>
          <w:rFonts w:asciiTheme="majorHAnsi" w:hAnsiTheme="majorHAnsi"/>
          <w:color w:val="FFFFFF" w:themeColor="background1"/>
          <w:lang w:eastAsia="en-GB"/>
        </w:rPr>
        <w:t xml:space="preserve"> </w:t>
      </w:r>
      <w:r w:rsidR="0038223E" w:rsidRPr="005F45A7">
        <w:rPr>
          <w:rFonts w:asciiTheme="majorHAnsi" w:hAnsiTheme="majorHAnsi"/>
          <w:color w:val="FFFFFF" w:themeColor="background1"/>
          <w:sz w:val="36"/>
          <w:szCs w:val="36"/>
          <w:lang w:eastAsia="en-GB"/>
        </w:rPr>
        <w:t>36-</w:t>
      </w:r>
      <w:r w:rsidR="006A4520">
        <w:rPr>
          <w:rFonts w:asciiTheme="majorHAnsi" w:hAnsiTheme="majorHAnsi"/>
          <w:color w:val="FFFFFF" w:themeColor="background1"/>
          <w:sz w:val="36"/>
          <w:szCs w:val="36"/>
          <w:lang w:eastAsia="en-GB"/>
        </w:rPr>
        <w:t>5</w:t>
      </w:r>
      <w:r w:rsidR="0038223E" w:rsidRPr="005F45A7">
        <w:rPr>
          <w:rFonts w:asciiTheme="majorHAnsi" w:hAnsiTheme="majorHAnsi"/>
          <w:color w:val="FFFFFF" w:themeColor="background1"/>
          <w:sz w:val="36"/>
          <w:szCs w:val="36"/>
          <w:lang w:eastAsia="en-GB"/>
        </w:rPr>
        <w:t>-</w:t>
      </w:r>
      <w:r w:rsidR="006A4520">
        <w:rPr>
          <w:rFonts w:asciiTheme="majorHAnsi" w:hAnsiTheme="majorHAnsi"/>
          <w:color w:val="FFFFFF" w:themeColor="background1"/>
          <w:sz w:val="36"/>
          <w:szCs w:val="36"/>
          <w:lang w:eastAsia="en-GB"/>
        </w:rPr>
        <w:t>G</w:t>
      </w:r>
      <w:r w:rsidR="00710F46" w:rsidRPr="005F45A7">
        <w:rPr>
          <w:rFonts w:asciiTheme="majorHAnsi" w:hAnsiTheme="majorHAnsi"/>
          <w:color w:val="FFFFFF" w:themeColor="background1"/>
          <w:lang w:eastAsia="en-GB"/>
        </w:rPr>
        <w:tab/>
      </w:r>
      <w:r w:rsidR="004A7035" w:rsidRPr="005F45A7">
        <w:rPr>
          <w:rFonts w:asciiTheme="majorHAnsi" w:hAnsiTheme="majorHAnsi"/>
          <w:color w:val="FFFFFF" w:themeColor="background1"/>
          <w:sz w:val="36"/>
          <w:szCs w:val="36"/>
          <w:lang w:eastAsia="en-GB"/>
        </w:rPr>
        <w:t>Bogota, 8-9 March 2017</w:t>
      </w:r>
    </w:p>
    <w:p w14:paraId="4322BF36" w14:textId="4EE8BBA5" w:rsidR="00291DD2" w:rsidRPr="005F45A7" w:rsidRDefault="00B2419F" w:rsidP="00C27C6B">
      <w:pPr>
        <w:tabs>
          <w:tab w:val="left" w:pos="720"/>
          <w:tab w:val="left" w:pos="2535"/>
          <w:tab w:val="right" w:pos="9356"/>
        </w:tabs>
        <w:rPr>
          <w:rFonts w:asciiTheme="majorHAnsi" w:hAnsiTheme="majorHAnsi"/>
          <w:color w:val="FFFFFF"/>
          <w:sz w:val="28"/>
          <w:szCs w:val="28"/>
        </w:rPr>
      </w:pPr>
      <w:r w:rsidRPr="005F45A7">
        <w:rPr>
          <w:rFonts w:asciiTheme="majorHAnsi" w:hAnsiTheme="majorHAnsi"/>
          <w:bCs/>
          <w:sz w:val="32"/>
          <w:szCs w:val="36"/>
          <w:lang w:eastAsia="nb-NO"/>
        </w:rPr>
        <w:t xml:space="preserve">Submitted by: </w:t>
      </w:r>
      <w:r w:rsidR="008D041A" w:rsidRPr="005F45A7">
        <w:rPr>
          <w:rFonts w:asciiTheme="majorHAnsi" w:hAnsiTheme="majorHAnsi"/>
          <w:bCs/>
          <w:sz w:val="32"/>
          <w:szCs w:val="36"/>
          <w:lang w:eastAsia="nb-NO"/>
        </w:rPr>
        <w:t>Validation</w:t>
      </w:r>
      <w:r w:rsidRPr="005F45A7">
        <w:rPr>
          <w:rFonts w:asciiTheme="majorHAnsi" w:hAnsiTheme="majorHAnsi"/>
          <w:bCs/>
          <w:sz w:val="32"/>
          <w:szCs w:val="36"/>
          <w:lang w:eastAsia="nb-NO"/>
        </w:rPr>
        <w:t xml:space="preserve"> Committee</w:t>
      </w:r>
      <w:r w:rsidR="00233552" w:rsidRPr="005F45A7">
        <w:rPr>
          <w:rFonts w:asciiTheme="majorHAnsi" w:hAnsiTheme="majorHAnsi"/>
          <w:bCs/>
          <w:sz w:val="32"/>
          <w:szCs w:val="36"/>
          <w:lang w:eastAsia="nb-NO"/>
        </w:rPr>
        <w:t xml:space="preserve"> </w:t>
      </w:r>
      <w:r w:rsidR="00233552" w:rsidRPr="005F45A7">
        <w:rPr>
          <w:rFonts w:asciiTheme="majorHAnsi" w:hAnsiTheme="majorHAnsi"/>
          <w:bCs/>
          <w:sz w:val="32"/>
          <w:szCs w:val="36"/>
          <w:lang w:eastAsia="nb-NO"/>
        </w:rPr>
        <w:tab/>
        <w:t>on</w:t>
      </w:r>
      <w:r w:rsidR="00233552" w:rsidRPr="00E506AE">
        <w:rPr>
          <w:rFonts w:asciiTheme="majorHAnsi" w:hAnsiTheme="majorHAnsi"/>
          <w:bCs/>
          <w:sz w:val="32"/>
          <w:szCs w:val="36"/>
          <w:lang w:eastAsia="nb-NO"/>
        </w:rPr>
        <w:t xml:space="preserve">: </w:t>
      </w:r>
      <w:r w:rsidR="00E506AE" w:rsidRPr="002B5D32">
        <w:rPr>
          <w:rFonts w:asciiTheme="majorHAnsi" w:hAnsiTheme="majorHAnsi"/>
          <w:bCs/>
          <w:sz w:val="32"/>
          <w:szCs w:val="36"/>
          <w:lang w:eastAsia="nb-NO"/>
        </w:rPr>
        <w:t xml:space="preserve">22 </w:t>
      </w:r>
      <w:r w:rsidR="00805634" w:rsidRPr="002B5D32">
        <w:rPr>
          <w:rFonts w:asciiTheme="majorHAnsi" w:hAnsiTheme="majorHAnsi"/>
          <w:bCs/>
          <w:sz w:val="32"/>
          <w:szCs w:val="36"/>
          <w:lang w:eastAsia="nb-NO"/>
        </w:rPr>
        <w:t>February</w:t>
      </w:r>
      <w:r w:rsidR="00790739" w:rsidRPr="002B5D32">
        <w:rPr>
          <w:rFonts w:asciiTheme="majorHAnsi" w:hAnsiTheme="majorHAnsi"/>
          <w:bCs/>
          <w:sz w:val="32"/>
          <w:szCs w:val="36"/>
          <w:lang w:eastAsia="nb-NO"/>
        </w:rPr>
        <w:t xml:space="preserve"> 201</w:t>
      </w:r>
      <w:r w:rsidR="008D041A" w:rsidRPr="002B5D32">
        <w:rPr>
          <w:rFonts w:asciiTheme="majorHAnsi" w:hAnsiTheme="majorHAnsi"/>
          <w:bCs/>
          <w:sz w:val="32"/>
          <w:szCs w:val="36"/>
          <w:lang w:eastAsia="nb-NO"/>
        </w:rPr>
        <w:t>7</w:t>
      </w:r>
    </w:p>
    <w:p w14:paraId="270E622C" w14:textId="76115E62" w:rsidR="00412E5F" w:rsidRPr="005F45A7" w:rsidRDefault="00985788" w:rsidP="000A3554">
      <w:pPr>
        <w:pStyle w:val="Titletitlepage"/>
        <w:rPr>
          <w:bCs/>
          <w:sz w:val="36"/>
          <w:szCs w:val="36"/>
          <w:lang w:eastAsia="nb-NO"/>
        </w:rPr>
      </w:pPr>
      <w:r w:rsidRPr="005F45A7">
        <w:rPr>
          <w:sz w:val="48"/>
        </w:rPr>
        <w:br/>
      </w:r>
      <w:r w:rsidR="0022743C" w:rsidRPr="005F45A7">
        <w:t>Solomon Islands Validation</w:t>
      </w:r>
    </w:p>
    <w:p w14:paraId="6082A45B" w14:textId="6E8C70C9" w:rsidR="00FC04A8" w:rsidRPr="005F45A7" w:rsidRDefault="001D14D6" w:rsidP="00FC04A8">
      <w:pPr>
        <w:tabs>
          <w:tab w:val="left" w:pos="2835"/>
          <w:tab w:val="left" w:pos="5670"/>
        </w:tabs>
        <w:rPr>
          <w:rFonts w:asciiTheme="majorHAnsi" w:hAnsiTheme="majorHAnsi"/>
          <w:bCs/>
          <w:sz w:val="36"/>
          <w:szCs w:val="36"/>
          <w:lang w:eastAsia="nb-NO"/>
        </w:rPr>
      </w:pPr>
      <w:r w:rsidRPr="005F45A7">
        <w:rPr>
          <w:rFonts w:asciiTheme="majorHAnsi" w:hAnsiTheme="majorHAnsi"/>
          <w:bCs/>
          <w:sz w:val="36"/>
          <w:szCs w:val="36"/>
          <w:u w:val="single"/>
          <w:lang w:eastAsia="nb-NO"/>
        </w:rPr>
        <w:t>For decision</w:t>
      </w:r>
      <w:r w:rsidR="00FC04A8" w:rsidRPr="005F45A7">
        <w:rPr>
          <w:rFonts w:asciiTheme="majorHAnsi" w:hAnsiTheme="majorHAnsi"/>
          <w:bCs/>
          <w:sz w:val="36"/>
          <w:szCs w:val="36"/>
          <w:lang w:eastAsia="nb-NO"/>
        </w:rPr>
        <w:tab/>
      </w:r>
      <w:r w:rsidR="00FC04A8" w:rsidRPr="005F45A7">
        <w:rPr>
          <w:rFonts w:asciiTheme="majorHAnsi" w:hAnsiTheme="majorHAnsi"/>
          <w:bCs/>
          <w:color w:val="BFBFBF" w:themeColor="background1" w:themeShade="BF"/>
          <w:sz w:val="36"/>
          <w:szCs w:val="36"/>
          <w:lang w:eastAsia="nb-NO"/>
        </w:rPr>
        <w:t>For discussion</w:t>
      </w:r>
      <w:r w:rsidR="00FC04A8" w:rsidRPr="005F45A7">
        <w:rPr>
          <w:rFonts w:asciiTheme="majorHAnsi" w:hAnsiTheme="majorHAnsi"/>
          <w:bCs/>
          <w:color w:val="BFBFBF" w:themeColor="background1" w:themeShade="BF"/>
          <w:sz w:val="36"/>
          <w:szCs w:val="36"/>
          <w:lang w:eastAsia="nb-NO"/>
        </w:rPr>
        <w:tab/>
        <w:t>For information</w:t>
      </w:r>
    </w:p>
    <w:p w14:paraId="350FEFBB" w14:textId="25D56E6D" w:rsidR="00683288" w:rsidRPr="005F45A7" w:rsidRDefault="00683288" w:rsidP="001908ED">
      <w:pPr>
        <w:tabs>
          <w:tab w:val="left" w:pos="2835"/>
          <w:tab w:val="left" w:pos="5670"/>
        </w:tabs>
        <w:rPr>
          <w:rFonts w:asciiTheme="majorHAnsi" w:hAnsiTheme="majorHAnsi"/>
          <w:bCs/>
          <w:sz w:val="36"/>
          <w:szCs w:val="36"/>
          <w:lang w:eastAsia="nb-NO"/>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485"/>
      </w:tblGrid>
      <w:tr w:rsidR="002646A7" w:rsidRPr="005F45A7" w14:paraId="6D3BDD00" w14:textId="77777777" w:rsidTr="00082444">
        <w:tc>
          <w:tcPr>
            <w:tcW w:w="9485" w:type="dxa"/>
            <w:shd w:val="clear" w:color="auto" w:fill="EEECE1" w:themeFill="background2"/>
            <w:tcMar>
              <w:top w:w="108" w:type="dxa"/>
              <w:bottom w:w="108" w:type="dxa"/>
            </w:tcMar>
          </w:tcPr>
          <w:p w14:paraId="038A5718" w14:textId="12838826" w:rsidR="002646A7" w:rsidRPr="005F45A7" w:rsidRDefault="00AE480F" w:rsidP="00FC04A8">
            <w:pPr>
              <w:pStyle w:val="Boxedtextfront"/>
              <w:spacing w:after="120"/>
              <w:jc w:val="left"/>
              <w:rPr>
                <w:rFonts w:asciiTheme="majorHAnsi" w:hAnsiTheme="majorHAnsi"/>
                <w:b/>
                <w:lang w:val="en-GB"/>
              </w:rPr>
            </w:pPr>
            <w:r w:rsidRPr="005F45A7">
              <w:rPr>
                <w:rFonts w:asciiTheme="majorHAnsi" w:hAnsiTheme="majorHAnsi"/>
                <w:lang w:val="en-GB"/>
              </w:rPr>
              <w:t>The Validation Committee recommends that the EITI Board agrees that Solomon Islands has made inadequate progress in implementing the 2016 EITI Standard.</w:t>
            </w:r>
            <w:r w:rsidR="00FC04A8" w:rsidRPr="005F45A7">
              <w:rPr>
                <w:rFonts w:asciiTheme="majorHAnsi" w:hAnsiTheme="majorHAnsi"/>
                <w:lang w:val="en-GB"/>
              </w:rPr>
              <w:t xml:space="preserve"> In accordance with requirement 8.3.c.iii, the Solomon Islands will be suspended and will need to take corrective actions.</w:t>
            </w:r>
          </w:p>
        </w:tc>
      </w:tr>
    </w:tbl>
    <w:p w14:paraId="09474853" w14:textId="77777777" w:rsidR="00EE1609" w:rsidRPr="005F45A7" w:rsidRDefault="00EE1609" w:rsidP="001B3BF2">
      <w:pPr>
        <w:tabs>
          <w:tab w:val="right" w:pos="9069"/>
        </w:tabs>
        <w:spacing w:before="120"/>
        <w:rPr>
          <w:rFonts w:asciiTheme="majorHAnsi" w:hAnsiTheme="majorHAnsi"/>
          <w:b/>
        </w:rPr>
      </w:pPr>
    </w:p>
    <w:p w14:paraId="3E15447A" w14:textId="77777777" w:rsidR="002815B1" w:rsidRPr="005F45A7" w:rsidRDefault="002815B1">
      <w:pPr>
        <w:widowControl/>
        <w:suppressAutoHyphens w:val="0"/>
        <w:spacing w:after="0" w:line="240" w:lineRule="auto"/>
        <w:rPr>
          <w:rFonts w:asciiTheme="majorHAnsi" w:hAnsiTheme="majorHAnsi"/>
          <w:caps/>
          <w:color w:val="17365D"/>
          <w:spacing w:val="5"/>
          <w:kern w:val="1"/>
          <w:sz w:val="52"/>
          <w:szCs w:val="52"/>
          <w:lang w:bidi="en-US"/>
        </w:rPr>
      </w:pPr>
      <w:r w:rsidRPr="005F45A7">
        <w:rPr>
          <w:rFonts w:asciiTheme="majorHAnsi" w:hAnsiTheme="majorHAnsi"/>
          <w:lang w:bidi="en-US"/>
        </w:rPr>
        <w:br w:type="page"/>
      </w:r>
    </w:p>
    <w:p w14:paraId="26BC2F5D" w14:textId="7BE2AA8F" w:rsidR="00863937" w:rsidRPr="005F45A7" w:rsidRDefault="00AE480F" w:rsidP="00493AC0">
      <w:pPr>
        <w:pStyle w:val="Title"/>
        <w:rPr>
          <w:rFonts w:asciiTheme="majorHAnsi" w:hAnsiTheme="majorHAnsi"/>
          <w:bCs/>
          <w:lang w:bidi="en-US"/>
        </w:rPr>
      </w:pPr>
      <w:r w:rsidRPr="005F45A7">
        <w:rPr>
          <w:rFonts w:asciiTheme="majorHAnsi" w:hAnsiTheme="majorHAnsi"/>
          <w:lang w:bidi="en-US"/>
        </w:rPr>
        <w:lastRenderedPageBreak/>
        <w:t>SOlomon islands validation</w:t>
      </w:r>
    </w:p>
    <w:sdt>
      <w:sdtPr>
        <w:rPr>
          <w:rFonts w:asciiTheme="majorHAnsi" w:hAnsiTheme="majorHAnsi"/>
          <w:bCs w:val="0"/>
          <w:color w:val="auto"/>
          <w:sz w:val="22"/>
          <w:szCs w:val="22"/>
        </w:rPr>
        <w:id w:val="1940323301"/>
        <w:docPartObj>
          <w:docPartGallery w:val="Table of Contents"/>
          <w:docPartUnique/>
        </w:docPartObj>
      </w:sdtPr>
      <w:sdtEndPr>
        <w:rPr>
          <w:b/>
        </w:rPr>
      </w:sdtEndPr>
      <w:sdtContent>
        <w:p w14:paraId="0C5333D9" w14:textId="545E1EE0" w:rsidR="00315FBE" w:rsidRPr="005F45A7" w:rsidRDefault="00315FBE">
          <w:pPr>
            <w:pStyle w:val="TOCHeading"/>
            <w:rPr>
              <w:rFonts w:asciiTheme="majorHAnsi" w:hAnsiTheme="majorHAnsi"/>
            </w:rPr>
          </w:pPr>
          <w:r w:rsidRPr="005F45A7">
            <w:rPr>
              <w:rFonts w:asciiTheme="majorHAnsi" w:hAnsiTheme="majorHAnsi"/>
            </w:rPr>
            <w:t>Table of Contents</w:t>
          </w:r>
        </w:p>
        <w:p w14:paraId="54AEAC61" w14:textId="3C15D282" w:rsidR="005F45A7" w:rsidRPr="005F45A7" w:rsidRDefault="00315FBE">
          <w:pPr>
            <w:pStyle w:val="TOC2"/>
            <w:tabs>
              <w:tab w:val="right" w:leader="dot" w:pos="9485"/>
            </w:tabs>
            <w:rPr>
              <w:rFonts w:asciiTheme="minorHAnsi" w:eastAsiaTheme="minorEastAsia" w:hAnsiTheme="minorHAnsi" w:cstheme="minorBidi"/>
              <w:b w:val="0"/>
              <w:bCs w:val="0"/>
              <w:noProof/>
              <w:lang w:eastAsia="en-AU"/>
            </w:rPr>
          </w:pPr>
          <w:r w:rsidRPr="005F45A7">
            <w:rPr>
              <w:rFonts w:asciiTheme="majorHAnsi" w:hAnsiTheme="majorHAnsi"/>
              <w:b w:val="0"/>
              <w:bCs w:val="0"/>
            </w:rPr>
            <w:fldChar w:fldCharType="begin"/>
          </w:r>
          <w:r w:rsidRPr="005F45A7">
            <w:rPr>
              <w:rFonts w:asciiTheme="majorHAnsi" w:hAnsiTheme="majorHAnsi"/>
              <w:b w:val="0"/>
              <w:bCs w:val="0"/>
            </w:rPr>
            <w:instrText xml:space="preserve"> TOC \o "2-3" \t "Heading 1;1" </w:instrText>
          </w:r>
          <w:r w:rsidRPr="005F45A7">
            <w:rPr>
              <w:rFonts w:asciiTheme="majorHAnsi" w:hAnsiTheme="majorHAnsi"/>
              <w:b w:val="0"/>
              <w:bCs w:val="0"/>
            </w:rPr>
            <w:fldChar w:fldCharType="separate"/>
          </w:r>
          <w:r w:rsidR="005F45A7" w:rsidRPr="005F45A7">
            <w:rPr>
              <w:rFonts w:asciiTheme="majorHAnsi" w:hAnsiTheme="majorHAnsi"/>
              <w:b w:val="0"/>
              <w:noProof/>
              <w:lang w:bidi="en-US"/>
            </w:rPr>
            <w:t>Background</w:t>
          </w:r>
          <w:r w:rsidR="005F45A7" w:rsidRPr="005F45A7">
            <w:rPr>
              <w:b w:val="0"/>
              <w:noProof/>
            </w:rPr>
            <w:tab/>
          </w:r>
          <w:r w:rsidR="005F45A7" w:rsidRPr="005F45A7">
            <w:rPr>
              <w:b w:val="0"/>
              <w:noProof/>
            </w:rPr>
            <w:fldChar w:fldCharType="begin"/>
          </w:r>
          <w:r w:rsidR="005F45A7" w:rsidRPr="005F45A7">
            <w:rPr>
              <w:b w:val="0"/>
              <w:noProof/>
            </w:rPr>
            <w:instrText xml:space="preserve"> PAGEREF _Toc473663947 \h </w:instrText>
          </w:r>
          <w:r w:rsidR="005F45A7" w:rsidRPr="005F45A7">
            <w:rPr>
              <w:b w:val="0"/>
              <w:noProof/>
            </w:rPr>
          </w:r>
          <w:r w:rsidR="005F45A7" w:rsidRPr="005F45A7">
            <w:rPr>
              <w:b w:val="0"/>
              <w:noProof/>
            </w:rPr>
            <w:fldChar w:fldCharType="separate"/>
          </w:r>
          <w:r w:rsidR="00525614">
            <w:rPr>
              <w:b w:val="0"/>
              <w:noProof/>
            </w:rPr>
            <w:t>3</w:t>
          </w:r>
          <w:r w:rsidR="005F45A7" w:rsidRPr="005F45A7">
            <w:rPr>
              <w:b w:val="0"/>
              <w:noProof/>
            </w:rPr>
            <w:fldChar w:fldCharType="end"/>
          </w:r>
        </w:p>
        <w:p w14:paraId="4C17D869" w14:textId="7EBD6D3E" w:rsidR="005F45A7" w:rsidRPr="005F45A7" w:rsidRDefault="005F45A7">
          <w:pPr>
            <w:pStyle w:val="TOC2"/>
            <w:tabs>
              <w:tab w:val="right" w:leader="dot" w:pos="9485"/>
            </w:tabs>
            <w:rPr>
              <w:rFonts w:asciiTheme="minorHAnsi" w:eastAsiaTheme="minorEastAsia" w:hAnsiTheme="minorHAnsi" w:cstheme="minorBidi"/>
              <w:b w:val="0"/>
              <w:bCs w:val="0"/>
              <w:noProof/>
              <w:lang w:eastAsia="en-AU"/>
            </w:rPr>
          </w:pPr>
          <w:r w:rsidRPr="005F45A7">
            <w:rPr>
              <w:rFonts w:asciiTheme="majorHAnsi" w:hAnsiTheme="majorHAnsi"/>
              <w:b w:val="0"/>
              <w:noProof/>
              <w:lang w:bidi="en-US"/>
            </w:rPr>
            <w:t>Assessment card</w:t>
          </w:r>
          <w:r w:rsidRPr="005F45A7">
            <w:rPr>
              <w:b w:val="0"/>
              <w:noProof/>
            </w:rPr>
            <w:tab/>
          </w:r>
          <w:r w:rsidRPr="005F45A7">
            <w:rPr>
              <w:b w:val="0"/>
              <w:noProof/>
            </w:rPr>
            <w:fldChar w:fldCharType="begin"/>
          </w:r>
          <w:r w:rsidRPr="005F45A7">
            <w:rPr>
              <w:b w:val="0"/>
              <w:noProof/>
            </w:rPr>
            <w:instrText xml:space="preserve"> PAGEREF _Toc473663948 \h </w:instrText>
          </w:r>
          <w:r w:rsidRPr="005F45A7">
            <w:rPr>
              <w:b w:val="0"/>
              <w:noProof/>
            </w:rPr>
          </w:r>
          <w:r w:rsidRPr="005F45A7">
            <w:rPr>
              <w:b w:val="0"/>
              <w:noProof/>
            </w:rPr>
            <w:fldChar w:fldCharType="separate"/>
          </w:r>
          <w:r w:rsidR="00525614">
            <w:rPr>
              <w:b w:val="0"/>
              <w:noProof/>
            </w:rPr>
            <w:t>4</w:t>
          </w:r>
          <w:r w:rsidRPr="005F45A7">
            <w:rPr>
              <w:b w:val="0"/>
              <w:noProof/>
            </w:rPr>
            <w:fldChar w:fldCharType="end"/>
          </w:r>
        </w:p>
        <w:p w14:paraId="49D5FF72" w14:textId="4414D0C5" w:rsidR="005F45A7" w:rsidRPr="005F45A7" w:rsidRDefault="005F45A7">
          <w:pPr>
            <w:pStyle w:val="TOC2"/>
            <w:tabs>
              <w:tab w:val="right" w:leader="dot" w:pos="9485"/>
            </w:tabs>
            <w:rPr>
              <w:rFonts w:asciiTheme="minorHAnsi" w:eastAsiaTheme="minorEastAsia" w:hAnsiTheme="minorHAnsi" w:cstheme="minorBidi"/>
              <w:b w:val="0"/>
              <w:bCs w:val="0"/>
              <w:noProof/>
              <w:lang w:eastAsia="en-AU"/>
            </w:rPr>
          </w:pPr>
          <w:r w:rsidRPr="005F45A7">
            <w:rPr>
              <w:rFonts w:asciiTheme="majorHAnsi" w:hAnsiTheme="majorHAnsi"/>
              <w:b w:val="0"/>
              <w:noProof/>
              <w:lang w:bidi="en-US"/>
            </w:rPr>
            <w:t>Corrective Actions</w:t>
          </w:r>
          <w:r w:rsidRPr="005F45A7">
            <w:rPr>
              <w:b w:val="0"/>
              <w:noProof/>
            </w:rPr>
            <w:tab/>
          </w:r>
          <w:r w:rsidRPr="005F45A7">
            <w:rPr>
              <w:b w:val="0"/>
              <w:noProof/>
            </w:rPr>
            <w:fldChar w:fldCharType="begin"/>
          </w:r>
          <w:r w:rsidRPr="005F45A7">
            <w:rPr>
              <w:b w:val="0"/>
              <w:noProof/>
            </w:rPr>
            <w:instrText xml:space="preserve"> PAGEREF _Toc473663949 \h </w:instrText>
          </w:r>
          <w:r w:rsidRPr="005F45A7">
            <w:rPr>
              <w:b w:val="0"/>
              <w:noProof/>
            </w:rPr>
          </w:r>
          <w:r w:rsidRPr="005F45A7">
            <w:rPr>
              <w:b w:val="0"/>
              <w:noProof/>
            </w:rPr>
            <w:fldChar w:fldCharType="separate"/>
          </w:r>
          <w:r w:rsidR="00525614">
            <w:rPr>
              <w:b w:val="0"/>
              <w:noProof/>
            </w:rPr>
            <w:t>5</w:t>
          </w:r>
          <w:r w:rsidRPr="005F45A7">
            <w:rPr>
              <w:b w:val="0"/>
              <w:noProof/>
            </w:rPr>
            <w:fldChar w:fldCharType="end"/>
          </w:r>
        </w:p>
        <w:p w14:paraId="6EF8B198" w14:textId="633072BD" w:rsidR="00315FBE" w:rsidRPr="005F45A7" w:rsidRDefault="00315FBE">
          <w:pPr>
            <w:rPr>
              <w:rFonts w:asciiTheme="majorHAnsi" w:hAnsiTheme="majorHAnsi"/>
            </w:rPr>
          </w:pPr>
          <w:r w:rsidRPr="005F45A7">
            <w:rPr>
              <w:rFonts w:asciiTheme="majorHAnsi" w:hAnsiTheme="majorHAnsi"/>
              <w:bCs/>
              <w:sz w:val="24"/>
              <w:szCs w:val="24"/>
            </w:rPr>
            <w:fldChar w:fldCharType="end"/>
          </w:r>
        </w:p>
      </w:sdtContent>
    </w:sdt>
    <w:p w14:paraId="36B44159" w14:textId="77777777" w:rsidR="006A4520" w:rsidRPr="002B5D32" w:rsidRDefault="006A4520" w:rsidP="006A4520">
      <w:pPr>
        <w:spacing w:before="120" w:after="120"/>
        <w:rPr>
          <w:rFonts w:asciiTheme="majorHAnsi" w:hAnsiTheme="majorHAnsi"/>
          <w:b/>
          <w:bCs/>
          <w:sz w:val="20"/>
          <w:lang w:eastAsia="nb-NO"/>
        </w:rPr>
      </w:pPr>
      <w:r w:rsidRPr="002B5D32">
        <w:rPr>
          <w:rFonts w:asciiTheme="majorHAnsi" w:hAnsiTheme="majorHAnsi"/>
          <w:b/>
          <w:bCs/>
          <w:sz w:val="20"/>
          <w:lang w:eastAsia="nb-NO"/>
        </w:rPr>
        <w:t xml:space="preserve">Supporting documentation </w:t>
      </w:r>
    </w:p>
    <w:p w14:paraId="3C3BCCDF" w14:textId="77777777" w:rsidR="006A4520" w:rsidRPr="002B5D32" w:rsidRDefault="006A4520" w:rsidP="006A4520">
      <w:pPr>
        <w:spacing w:after="0"/>
        <w:rPr>
          <w:rFonts w:asciiTheme="majorHAnsi" w:hAnsiTheme="majorHAnsi"/>
          <w:bCs/>
          <w:sz w:val="20"/>
          <w:lang w:eastAsia="nb-NO"/>
        </w:rPr>
      </w:pPr>
      <w:hyperlink r:id="rId13" w:history="1">
        <w:r w:rsidRPr="002B5D32">
          <w:rPr>
            <w:rStyle w:val="Hyperlink"/>
            <w:rFonts w:asciiTheme="majorHAnsi" w:hAnsiTheme="majorHAnsi" w:cs="Calibri"/>
            <w:bCs/>
            <w:sz w:val="20"/>
            <w:lang w:eastAsia="nb-NO"/>
          </w:rPr>
          <w:t>Validation Report</w:t>
        </w:r>
      </w:hyperlink>
    </w:p>
    <w:p w14:paraId="5D2F632C" w14:textId="77777777" w:rsidR="006A4520" w:rsidRPr="002B5D32" w:rsidRDefault="006A4520" w:rsidP="006A4520">
      <w:pPr>
        <w:spacing w:after="0"/>
        <w:rPr>
          <w:rFonts w:asciiTheme="majorHAnsi" w:hAnsiTheme="majorHAnsi"/>
          <w:bCs/>
          <w:sz w:val="20"/>
          <w:lang w:eastAsia="nb-NO"/>
        </w:rPr>
      </w:pPr>
      <w:hyperlink r:id="rId14" w:history="1">
        <w:r w:rsidRPr="002B5D32">
          <w:rPr>
            <w:rStyle w:val="Hyperlink"/>
            <w:rFonts w:asciiTheme="majorHAnsi" w:hAnsiTheme="majorHAnsi" w:cs="Calibri"/>
            <w:bCs/>
            <w:sz w:val="20"/>
            <w:lang w:eastAsia="nb-NO"/>
          </w:rPr>
          <w:t>Comments on the Validation Report by the National Secretariat</w:t>
        </w:r>
      </w:hyperlink>
    </w:p>
    <w:p w14:paraId="7DFC78DB" w14:textId="77777777" w:rsidR="006A4520" w:rsidRPr="002B5D32" w:rsidRDefault="006A4520" w:rsidP="006A4520">
      <w:pPr>
        <w:spacing w:after="0"/>
        <w:rPr>
          <w:rFonts w:asciiTheme="majorHAnsi" w:hAnsiTheme="majorHAnsi"/>
          <w:bCs/>
          <w:sz w:val="20"/>
          <w:lang w:eastAsia="nb-NO"/>
        </w:rPr>
      </w:pPr>
      <w:hyperlink r:id="rId15" w:history="1">
        <w:r w:rsidRPr="002B5D32">
          <w:rPr>
            <w:rStyle w:val="Hyperlink"/>
            <w:rFonts w:asciiTheme="majorHAnsi" w:hAnsiTheme="majorHAnsi" w:cs="Calibri"/>
            <w:sz w:val="24"/>
          </w:rPr>
          <w:t>Initial</w:t>
        </w:r>
        <w:r w:rsidRPr="002B5D32">
          <w:rPr>
            <w:rStyle w:val="Hyperlink"/>
            <w:rFonts w:asciiTheme="majorHAnsi" w:hAnsiTheme="majorHAnsi" w:cs="Calibri"/>
            <w:bCs/>
            <w:sz w:val="20"/>
            <w:lang w:eastAsia="nb-NO"/>
          </w:rPr>
          <w:t xml:space="preserve"> assessment by the International Secretariat</w:t>
        </w:r>
      </w:hyperlink>
    </w:p>
    <w:p w14:paraId="59B55CA6" w14:textId="77777777" w:rsidR="006A4520" w:rsidRPr="002B5D32" w:rsidRDefault="006A4520" w:rsidP="006A4520">
      <w:pPr>
        <w:spacing w:after="0"/>
        <w:rPr>
          <w:rFonts w:asciiTheme="majorHAnsi" w:hAnsiTheme="majorHAnsi"/>
          <w:bCs/>
          <w:sz w:val="20"/>
          <w:lang w:eastAsia="nb-NO"/>
        </w:rPr>
      </w:pPr>
      <w:hyperlink r:id="rId16" w:history="1">
        <w:r w:rsidRPr="002B5D32">
          <w:rPr>
            <w:rStyle w:val="Hyperlink"/>
            <w:rFonts w:asciiTheme="majorHAnsi" w:hAnsiTheme="majorHAnsi" w:cs="Calibri"/>
            <w:bCs/>
            <w:sz w:val="20"/>
            <w:lang w:eastAsia="nb-NO"/>
          </w:rPr>
          <w:t>Comments on the Initial Assessment by the National Secretariat</w:t>
        </w:r>
      </w:hyperlink>
    </w:p>
    <w:p w14:paraId="1DB02625" w14:textId="77777777" w:rsidR="006A4520" w:rsidRPr="002B5D32" w:rsidRDefault="006A4520" w:rsidP="006A4520">
      <w:pPr>
        <w:spacing w:before="120" w:after="120"/>
        <w:rPr>
          <w:rFonts w:asciiTheme="majorHAnsi" w:hAnsiTheme="majorHAnsi"/>
          <w:b/>
          <w:bCs/>
          <w:sz w:val="20"/>
          <w:lang w:eastAsia="nb-NO"/>
        </w:rPr>
      </w:pPr>
      <w:r w:rsidRPr="002B5D32">
        <w:rPr>
          <w:rFonts w:asciiTheme="majorHAnsi" w:hAnsiTheme="majorHAnsi"/>
          <w:b/>
          <w:bCs/>
          <w:sz w:val="20"/>
          <w:lang w:eastAsia="nb-NO"/>
        </w:rPr>
        <w:t>Has the EITI competence for any proposed actions been considered?</w:t>
      </w:r>
    </w:p>
    <w:p w14:paraId="09B42B1E" w14:textId="77777777" w:rsidR="006A4520" w:rsidRPr="002B5D32" w:rsidRDefault="006A4520" w:rsidP="006A4520">
      <w:pPr>
        <w:spacing w:after="120"/>
        <w:rPr>
          <w:rFonts w:asciiTheme="majorHAnsi" w:hAnsiTheme="majorHAnsi"/>
          <w:bCs/>
          <w:sz w:val="20"/>
          <w:lang w:eastAsia="nb-NO"/>
        </w:rPr>
      </w:pPr>
      <w:r w:rsidRPr="002B5D32">
        <w:rPr>
          <w:rFonts w:asciiTheme="majorHAnsi" w:hAnsiTheme="majorHAnsi"/>
          <w:bCs/>
          <w:sz w:val="20"/>
          <w:lang w:eastAsia="nb-NO"/>
        </w:rPr>
        <w:t>The Articles of Association mandate the Board to classify implementing countries as candidate countries or compliant countries (Article 5(2)(i)(a)). The EITI Standard (</w:t>
      </w:r>
      <w:hyperlink r:id="rId17" w:anchor="r8-3" w:history="1">
        <w:r w:rsidRPr="002B5D32">
          <w:rPr>
            <w:rStyle w:val="Hyperlink"/>
            <w:rFonts w:asciiTheme="majorHAnsi" w:hAnsiTheme="majorHAnsi" w:cs="Calibri"/>
            <w:bCs/>
            <w:sz w:val="20"/>
            <w:lang w:eastAsia="nb-NO"/>
          </w:rPr>
          <w:t>Requirement 8.3</w:t>
        </w:r>
      </w:hyperlink>
      <w:r w:rsidRPr="002B5D32">
        <w:rPr>
          <w:rFonts w:asciiTheme="majorHAnsi" w:hAnsiTheme="majorHAnsi"/>
          <w:bCs/>
          <w:sz w:val="20"/>
          <w:lang w:eastAsia="nb-NO"/>
        </w:rPr>
        <w:t xml:space="preserve">) addresses </w:t>
      </w:r>
      <w:hyperlink r:id="rId18" w:anchor="r8-3" w:history="1">
        <w:r w:rsidRPr="002B5D32">
          <w:rPr>
            <w:rStyle w:val="Hyperlink"/>
            <w:rFonts w:asciiTheme="majorHAnsi" w:hAnsiTheme="majorHAnsi" w:cs="Calibri"/>
            <w:bCs/>
            <w:sz w:val="20"/>
            <w:lang w:eastAsia="nb-NO"/>
          </w:rPr>
          <w:t>EITI Validation deadlines and the consequences</w:t>
        </w:r>
      </w:hyperlink>
      <w:r w:rsidRPr="002B5D32">
        <w:rPr>
          <w:rFonts w:asciiTheme="majorHAnsi" w:hAnsiTheme="majorHAnsi"/>
          <w:bCs/>
          <w:sz w:val="20"/>
          <w:lang w:eastAsia="nb-NO"/>
        </w:rPr>
        <w:t xml:space="preserve"> following Validation. </w:t>
      </w:r>
    </w:p>
    <w:p w14:paraId="5FE6D0EC" w14:textId="77777777" w:rsidR="006A4520" w:rsidRPr="002B5D32" w:rsidRDefault="006A4520" w:rsidP="006A4520">
      <w:pPr>
        <w:spacing w:before="120" w:after="120"/>
        <w:rPr>
          <w:rFonts w:asciiTheme="majorHAnsi" w:hAnsiTheme="majorHAnsi"/>
          <w:b/>
          <w:bCs/>
          <w:sz w:val="20"/>
          <w:lang w:eastAsia="nb-NO"/>
        </w:rPr>
      </w:pPr>
      <w:r w:rsidRPr="002B5D32">
        <w:rPr>
          <w:rFonts w:asciiTheme="majorHAnsi" w:hAnsiTheme="majorHAnsi"/>
          <w:b/>
          <w:bCs/>
          <w:sz w:val="20"/>
          <w:lang w:eastAsia="nb-NO"/>
        </w:rPr>
        <w:t>Financial implications of any actions</w:t>
      </w:r>
    </w:p>
    <w:p w14:paraId="34E9E253" w14:textId="77777777" w:rsidR="006A4520" w:rsidRPr="002B5D32" w:rsidRDefault="006A4520" w:rsidP="006A4520">
      <w:pPr>
        <w:spacing w:after="120"/>
        <w:rPr>
          <w:rFonts w:asciiTheme="majorHAnsi" w:hAnsiTheme="majorHAnsi"/>
          <w:bCs/>
          <w:sz w:val="20"/>
          <w:lang w:eastAsia="nb-NO"/>
        </w:rPr>
      </w:pPr>
      <w:r w:rsidRPr="002B5D32">
        <w:rPr>
          <w:rFonts w:asciiTheme="majorHAnsi" w:hAnsiTheme="majorHAnsi"/>
          <w:bCs/>
          <w:sz w:val="20"/>
          <w:lang w:eastAsia="nb-NO"/>
        </w:rPr>
        <w:t>The recommendation implies a second Validation commencing in early 2018. The cost of second Validations varies depending on the size of the country and the extractive industries and the scope of the corrective actions. In this case, a second Validation is expected to cost circa 25 000 USD, including staff time, travel and the cost of engaging the Independent Validator.</w:t>
      </w:r>
    </w:p>
    <w:p w14:paraId="0B9C55E9" w14:textId="77777777" w:rsidR="006A4520" w:rsidRPr="002B5D32" w:rsidRDefault="006A4520" w:rsidP="006A4520">
      <w:pPr>
        <w:spacing w:before="120" w:after="120"/>
        <w:rPr>
          <w:rFonts w:asciiTheme="majorHAnsi" w:hAnsiTheme="majorHAnsi"/>
          <w:b/>
          <w:bCs/>
          <w:sz w:val="20"/>
          <w:lang w:eastAsia="nb-NO"/>
        </w:rPr>
      </w:pPr>
      <w:r w:rsidRPr="002B5D32">
        <w:rPr>
          <w:rFonts w:asciiTheme="majorHAnsi" w:hAnsiTheme="majorHAnsi"/>
          <w:b/>
          <w:bCs/>
          <w:sz w:val="20"/>
          <w:lang w:eastAsia="nb-NO"/>
        </w:rPr>
        <w:t>Document history</w:t>
      </w:r>
    </w:p>
    <w:tbl>
      <w:tblPr>
        <w:tblStyle w:val="TableGrid"/>
        <w:tblW w:w="0" w:type="auto"/>
        <w:tblLook w:val="04A0" w:firstRow="1" w:lastRow="0" w:firstColumn="1" w:lastColumn="0" w:noHBand="0" w:noVBand="1"/>
      </w:tblPr>
      <w:tblGrid>
        <w:gridCol w:w="4855"/>
        <w:gridCol w:w="2483"/>
      </w:tblGrid>
      <w:tr w:rsidR="006A4520" w:rsidRPr="00525614" w14:paraId="24A8B971" w14:textId="77777777" w:rsidTr="008E6671">
        <w:tc>
          <w:tcPr>
            <w:tcW w:w="4855" w:type="dxa"/>
            <w:vAlign w:val="center"/>
          </w:tcPr>
          <w:p w14:paraId="07987143" w14:textId="77777777" w:rsidR="006A4520" w:rsidRPr="002B5D32" w:rsidRDefault="006A4520" w:rsidP="008E6671">
            <w:pPr>
              <w:spacing w:after="0"/>
              <w:rPr>
                <w:rFonts w:asciiTheme="majorHAnsi" w:hAnsiTheme="majorHAnsi"/>
                <w:sz w:val="20"/>
                <w:lang w:val="en-GB" w:bidi="en-US"/>
              </w:rPr>
            </w:pPr>
            <w:r w:rsidRPr="002B5D32">
              <w:rPr>
                <w:rFonts w:asciiTheme="majorHAnsi" w:hAnsiTheme="majorHAnsi"/>
                <w:sz w:val="20"/>
                <w:lang w:bidi="en-US"/>
              </w:rPr>
              <w:t>Comparison table and supporting documentation reviewed by the Validation Committee</w:t>
            </w:r>
          </w:p>
        </w:tc>
        <w:tc>
          <w:tcPr>
            <w:tcW w:w="2483" w:type="dxa"/>
            <w:vAlign w:val="center"/>
          </w:tcPr>
          <w:p w14:paraId="7E3DD1DB" w14:textId="77777777" w:rsidR="006A4520" w:rsidRPr="002B5D32" w:rsidRDefault="006A4520" w:rsidP="008E6671">
            <w:pPr>
              <w:spacing w:after="0"/>
              <w:rPr>
                <w:rFonts w:asciiTheme="majorHAnsi" w:hAnsiTheme="majorHAnsi"/>
                <w:sz w:val="20"/>
                <w:lang w:val="en-GB" w:bidi="en-US"/>
              </w:rPr>
            </w:pPr>
            <w:r w:rsidRPr="002B5D32">
              <w:rPr>
                <w:rFonts w:asciiTheme="majorHAnsi" w:hAnsiTheme="majorHAnsi"/>
                <w:sz w:val="20"/>
                <w:lang w:bidi="en-US"/>
              </w:rPr>
              <w:t>24 January 2017</w:t>
            </w:r>
          </w:p>
        </w:tc>
      </w:tr>
      <w:tr w:rsidR="006A4520" w:rsidRPr="00525614" w14:paraId="57100F29" w14:textId="77777777" w:rsidTr="008E6671">
        <w:tc>
          <w:tcPr>
            <w:tcW w:w="4855" w:type="dxa"/>
            <w:vAlign w:val="center"/>
          </w:tcPr>
          <w:p w14:paraId="77DEF9B1" w14:textId="77777777" w:rsidR="006A4520" w:rsidRPr="002B5D32" w:rsidRDefault="006A4520" w:rsidP="008E6671">
            <w:pPr>
              <w:spacing w:after="0"/>
              <w:rPr>
                <w:rFonts w:asciiTheme="majorHAnsi" w:hAnsiTheme="majorHAnsi"/>
                <w:sz w:val="20"/>
                <w:lang w:val="en-GB" w:bidi="en-US"/>
              </w:rPr>
            </w:pPr>
            <w:r w:rsidRPr="002B5D32">
              <w:rPr>
                <w:rFonts w:asciiTheme="majorHAnsi" w:hAnsiTheme="majorHAnsi"/>
                <w:sz w:val="20"/>
                <w:lang w:bidi="en-US"/>
              </w:rPr>
              <w:t>Validation Committee agreement on a Board Paper</w:t>
            </w:r>
            <w:r w:rsidRPr="002B5D32" w:rsidDel="003806F4">
              <w:rPr>
                <w:rFonts w:asciiTheme="majorHAnsi" w:hAnsiTheme="majorHAnsi"/>
                <w:sz w:val="20"/>
                <w:lang w:bidi="en-US"/>
              </w:rPr>
              <w:t xml:space="preserve"> </w:t>
            </w:r>
          </w:p>
        </w:tc>
        <w:tc>
          <w:tcPr>
            <w:tcW w:w="2483" w:type="dxa"/>
            <w:vAlign w:val="center"/>
          </w:tcPr>
          <w:p w14:paraId="401DECBE" w14:textId="6D99E91C" w:rsidR="006A4520" w:rsidRPr="002B5D32" w:rsidRDefault="00525614" w:rsidP="008E6671">
            <w:pPr>
              <w:spacing w:after="0"/>
              <w:rPr>
                <w:rFonts w:asciiTheme="majorHAnsi" w:hAnsiTheme="majorHAnsi"/>
                <w:sz w:val="20"/>
                <w:lang w:val="en-GB" w:bidi="en-US"/>
              </w:rPr>
            </w:pPr>
            <w:r w:rsidRPr="002B5D32">
              <w:rPr>
                <w:rFonts w:asciiTheme="majorHAnsi" w:hAnsiTheme="majorHAnsi"/>
                <w:sz w:val="20"/>
                <w:lang w:bidi="en-US"/>
              </w:rPr>
              <w:t>7 February 2017</w:t>
            </w:r>
          </w:p>
        </w:tc>
      </w:tr>
    </w:tbl>
    <w:p w14:paraId="43939DB5" w14:textId="6BD57A6A" w:rsidR="001D7DBC" w:rsidRPr="005F45A7" w:rsidRDefault="00AE480F" w:rsidP="001D7DBC">
      <w:pPr>
        <w:pStyle w:val="Heading1"/>
        <w:rPr>
          <w:rFonts w:asciiTheme="majorHAnsi" w:hAnsiTheme="majorHAnsi"/>
          <w:lang w:bidi="en-US"/>
        </w:rPr>
      </w:pPr>
      <w:r w:rsidRPr="005F45A7">
        <w:rPr>
          <w:rFonts w:asciiTheme="majorHAnsi" w:hAnsiTheme="majorHAnsi"/>
          <w:lang w:bidi="en-US"/>
        </w:rPr>
        <w:t>Recommendation</w:t>
      </w:r>
    </w:p>
    <w:p w14:paraId="370D1766" w14:textId="77777777" w:rsidR="00AE480F" w:rsidRPr="005F45A7" w:rsidRDefault="00AE480F" w:rsidP="00AE480F">
      <w:pPr>
        <w:tabs>
          <w:tab w:val="right" w:pos="993"/>
        </w:tabs>
        <w:spacing w:after="0"/>
        <w:rPr>
          <w:rFonts w:asciiTheme="majorHAnsi" w:hAnsiTheme="majorHAnsi"/>
          <w:color w:val="000000" w:themeColor="text1"/>
        </w:rPr>
      </w:pPr>
      <w:r w:rsidRPr="005F45A7">
        <w:rPr>
          <w:rFonts w:asciiTheme="majorHAnsi" w:hAnsiTheme="majorHAnsi"/>
          <w:color w:val="000000" w:themeColor="text1"/>
        </w:rPr>
        <w:t>The Validation Committee makes the following recommendation to the EITI Board:</w:t>
      </w:r>
    </w:p>
    <w:p w14:paraId="0C4772CF" w14:textId="77777777" w:rsidR="00AE480F" w:rsidRPr="005F45A7" w:rsidRDefault="00AE480F" w:rsidP="00AE480F">
      <w:pPr>
        <w:tabs>
          <w:tab w:val="right" w:pos="993"/>
        </w:tabs>
        <w:spacing w:after="0"/>
        <w:rPr>
          <w:rFonts w:asciiTheme="majorHAnsi" w:hAnsiTheme="majorHAnsi"/>
          <w:color w:val="000000" w:themeColor="text1"/>
        </w:rPr>
      </w:pPr>
    </w:p>
    <w:p w14:paraId="4F400C5A" w14:textId="23115E08" w:rsidR="004626AC" w:rsidRPr="005F45A7" w:rsidRDefault="00AE480F" w:rsidP="00905971">
      <w:pPr>
        <w:tabs>
          <w:tab w:val="right" w:pos="993"/>
        </w:tabs>
        <w:spacing w:before="120" w:after="120"/>
        <w:ind w:left="992"/>
        <w:rPr>
          <w:rFonts w:asciiTheme="majorHAnsi" w:hAnsiTheme="majorHAnsi"/>
          <w:i/>
          <w:color w:val="000000" w:themeColor="text1"/>
          <w:shd w:val="clear" w:color="auto" w:fill="FFFFFF" w:themeFill="background1"/>
        </w:rPr>
      </w:pPr>
      <w:r w:rsidRPr="005F45A7">
        <w:rPr>
          <w:rFonts w:asciiTheme="majorHAnsi" w:hAnsiTheme="majorHAnsi"/>
          <w:i/>
          <w:color w:val="000000" w:themeColor="text1"/>
        </w:rPr>
        <w:t xml:space="preserve">The Board agrees that Solomon Islands has made </w:t>
      </w:r>
      <w:r w:rsidRPr="005F45A7">
        <w:rPr>
          <w:rFonts w:asciiTheme="majorHAnsi" w:hAnsiTheme="majorHAnsi"/>
          <w:i/>
        </w:rPr>
        <w:t xml:space="preserve">inadequate </w:t>
      </w:r>
      <w:r w:rsidRPr="005F45A7">
        <w:rPr>
          <w:rFonts w:asciiTheme="majorHAnsi" w:hAnsiTheme="majorHAnsi"/>
          <w:i/>
          <w:color w:val="000000" w:themeColor="text1"/>
        </w:rPr>
        <w:t xml:space="preserve">progress overall in implementing the 2016 EITI Standard. </w:t>
      </w:r>
      <w:r w:rsidRPr="005F45A7">
        <w:rPr>
          <w:rFonts w:asciiTheme="majorHAnsi" w:hAnsiTheme="majorHAnsi"/>
          <w:i/>
        </w:rPr>
        <w:t>The Board’s de</w:t>
      </w:r>
      <w:r w:rsidRPr="005F45A7">
        <w:rPr>
          <w:rFonts w:asciiTheme="majorHAnsi" w:hAnsiTheme="majorHAnsi"/>
          <w:i/>
          <w:shd w:val="clear" w:color="auto" w:fill="FFFFFF" w:themeFill="background1"/>
        </w:rPr>
        <w:t>termination of Solomon Islands’ progress with the EITI’s requirements is outlined in the assessment card, below</w:t>
      </w:r>
      <w:r w:rsidRPr="005F45A7">
        <w:rPr>
          <w:rFonts w:asciiTheme="majorHAnsi" w:hAnsiTheme="majorHAnsi"/>
          <w:i/>
          <w:color w:val="000000" w:themeColor="text1"/>
          <w:shd w:val="clear" w:color="auto" w:fill="FFFFFF" w:themeFill="background1"/>
        </w:rPr>
        <w:t xml:space="preserve">. </w:t>
      </w:r>
    </w:p>
    <w:p w14:paraId="058E3B11" w14:textId="6C511AB1" w:rsidR="00AE480F" w:rsidRPr="005F45A7" w:rsidRDefault="00AE480F" w:rsidP="00905971">
      <w:pPr>
        <w:tabs>
          <w:tab w:val="right" w:pos="993"/>
        </w:tabs>
        <w:spacing w:before="120" w:after="120"/>
        <w:ind w:left="992"/>
        <w:rPr>
          <w:rFonts w:asciiTheme="majorHAnsi" w:hAnsiTheme="majorHAnsi"/>
          <w:i/>
          <w:color w:val="000000" w:themeColor="text1"/>
        </w:rPr>
      </w:pPr>
      <w:r w:rsidRPr="005F45A7">
        <w:rPr>
          <w:rFonts w:asciiTheme="majorHAnsi" w:hAnsiTheme="majorHAnsi"/>
          <w:i/>
          <w:color w:val="000000" w:themeColor="text1"/>
        </w:rPr>
        <w:t>The EITI Board agreed that Solomon Islands had not made satisfactory progress on requirements 1.1, 1.2, 1.3, 1.4, 1.5, 2.1, 2.2, 2.3, 2.4, 3.2, 3.3, 4.1, 4.6, 4.7, 4.9, 5.1, 5.2, 6.1, 6.3, 7.3 and 7.4. The major areas of concern relate to government engagement (#1.1), industry engagement (#1.2), civil society engagement (#1.3)</w:t>
      </w:r>
      <w:r w:rsidR="002C76E8" w:rsidRPr="005F45A7">
        <w:rPr>
          <w:rFonts w:asciiTheme="majorHAnsi" w:hAnsiTheme="majorHAnsi"/>
          <w:i/>
          <w:color w:val="000000" w:themeColor="text1"/>
        </w:rPr>
        <w:t>,</w:t>
      </w:r>
      <w:r w:rsidRPr="005F45A7">
        <w:rPr>
          <w:rFonts w:asciiTheme="majorHAnsi" w:hAnsiTheme="majorHAnsi"/>
          <w:i/>
          <w:color w:val="000000" w:themeColor="text1"/>
        </w:rPr>
        <w:t xml:space="preserve"> MSG governance (#1.4), work plan (#1.5), legal framework (#2.1), license allocation (#2.2), license register (#2.3), contract disclosure (#2.4), production data (#3.2), export data (#3.3), comprehensiveness (#4.1), direct subnational </w:t>
      </w:r>
      <w:r w:rsidRPr="005F45A7">
        <w:rPr>
          <w:rFonts w:asciiTheme="majorHAnsi" w:hAnsiTheme="majorHAnsi"/>
          <w:i/>
          <w:color w:val="000000" w:themeColor="text1"/>
        </w:rPr>
        <w:lastRenderedPageBreak/>
        <w:t xml:space="preserve">payments (#4.6), disaggregation (#4.7), data quality (#4.9), revenue management and expenditures (#5.1), subnational transfers (#5.2), mandatory social expenditures (#6.1.a), economic contribution (#6.3), follow-up on recommendations (#7.3), outcomes and impact (#7.4). </w:t>
      </w:r>
    </w:p>
    <w:p w14:paraId="1786FFDC" w14:textId="65C86592" w:rsidR="00AE480F" w:rsidRPr="005F45A7" w:rsidDel="002C76E8" w:rsidRDefault="00AE480F" w:rsidP="00905971">
      <w:pPr>
        <w:tabs>
          <w:tab w:val="right" w:pos="993"/>
        </w:tabs>
        <w:spacing w:before="120" w:after="120"/>
        <w:ind w:left="992"/>
        <w:rPr>
          <w:rFonts w:asciiTheme="majorHAnsi" w:hAnsiTheme="majorHAnsi"/>
          <w:i/>
        </w:rPr>
      </w:pPr>
      <w:r w:rsidRPr="005F45A7" w:rsidDel="002C76E8">
        <w:rPr>
          <w:rFonts w:asciiTheme="majorHAnsi" w:hAnsiTheme="majorHAnsi"/>
          <w:i/>
          <w:color w:val="000000" w:themeColor="text1"/>
        </w:rPr>
        <w:t>In accordance with requirement 8.3.c.iii, the EITI Board agreed that Solomon Islands will</w:t>
      </w:r>
      <w:r w:rsidRPr="005F45A7" w:rsidDel="002C76E8">
        <w:rPr>
          <w:rFonts w:asciiTheme="majorHAnsi" w:hAnsiTheme="majorHAnsi"/>
          <w:i/>
          <w:color w:val="FF0000"/>
        </w:rPr>
        <w:t xml:space="preserve"> </w:t>
      </w:r>
      <w:r w:rsidR="009106B2" w:rsidRPr="005F45A7" w:rsidDel="002C76E8">
        <w:rPr>
          <w:rFonts w:asciiTheme="majorHAnsi" w:hAnsiTheme="majorHAnsi"/>
          <w:i/>
          <w:color w:val="000000" w:themeColor="text1"/>
        </w:rPr>
        <w:t xml:space="preserve">be suspended and will </w:t>
      </w:r>
      <w:r w:rsidRPr="005F45A7" w:rsidDel="002C76E8">
        <w:rPr>
          <w:rFonts w:asciiTheme="majorHAnsi" w:hAnsiTheme="majorHAnsi"/>
          <w:i/>
          <w:color w:val="000000" w:themeColor="text1"/>
        </w:rPr>
        <w:t xml:space="preserve">need to take corrective actions outlined below. Progress with the corrective actions will be assessed in the next Validation commencing on </w:t>
      </w:r>
      <w:r w:rsidRPr="005F45A7" w:rsidDel="002C76E8">
        <w:rPr>
          <w:rFonts w:asciiTheme="majorHAnsi" w:hAnsiTheme="majorHAnsi"/>
          <w:i/>
          <w:color w:val="FF0000"/>
        </w:rPr>
        <w:t>&lt;date of Board decision + 10 months&gt;.</w:t>
      </w:r>
      <w:r w:rsidRPr="005F45A7" w:rsidDel="002C76E8">
        <w:rPr>
          <w:rFonts w:asciiTheme="majorHAnsi" w:hAnsiTheme="majorHAnsi"/>
          <w:i/>
          <w:color w:val="000000" w:themeColor="text1"/>
        </w:rPr>
        <w:t xml:space="preserve"> Failure to achieve meaningful progress with considerable improvements across several individual requirements in the second Validation will result in delisting in accordance with the EITI Standard. In</w:t>
      </w:r>
      <w:r w:rsidRPr="005F45A7" w:rsidDel="002C76E8">
        <w:rPr>
          <w:rFonts w:asciiTheme="majorHAnsi" w:hAnsiTheme="majorHAnsi"/>
          <w:i/>
        </w:rPr>
        <w:t xml:space="preserve"> accordance with the </w:t>
      </w:r>
      <w:r w:rsidRPr="005F45A7" w:rsidDel="002C76E8">
        <w:rPr>
          <w:rFonts w:asciiTheme="majorHAnsi" w:hAnsiTheme="majorHAnsi"/>
          <w:i/>
          <w:shd w:val="clear" w:color="auto" w:fill="FFFFFF" w:themeFill="background1"/>
        </w:rPr>
        <w:t xml:space="preserve">EITI Standard, </w:t>
      </w:r>
      <w:r w:rsidR="004626AC" w:rsidRPr="005F45A7">
        <w:rPr>
          <w:rFonts w:asciiTheme="majorHAnsi" w:hAnsiTheme="majorHAnsi"/>
          <w:i/>
          <w:shd w:val="clear" w:color="auto" w:fill="FFFFFF" w:themeFill="background1"/>
        </w:rPr>
        <w:t>The Solomon Islands’ multi-stakeholder group (</w:t>
      </w:r>
      <w:r w:rsidRPr="005F45A7" w:rsidDel="002C76E8">
        <w:rPr>
          <w:rFonts w:asciiTheme="majorHAnsi" w:hAnsiTheme="majorHAnsi"/>
          <w:i/>
          <w:shd w:val="clear" w:color="auto" w:fill="FFFFFF" w:themeFill="background1"/>
        </w:rPr>
        <w:t>SIENSG</w:t>
      </w:r>
      <w:r w:rsidR="004626AC" w:rsidRPr="005F45A7">
        <w:rPr>
          <w:rFonts w:asciiTheme="majorHAnsi" w:hAnsiTheme="majorHAnsi"/>
          <w:i/>
          <w:shd w:val="clear" w:color="auto" w:fill="FFFFFF" w:themeFill="background1"/>
        </w:rPr>
        <w:t>)</w:t>
      </w:r>
      <w:r w:rsidRPr="005F45A7" w:rsidDel="002C76E8">
        <w:rPr>
          <w:rFonts w:asciiTheme="majorHAnsi" w:hAnsiTheme="majorHAnsi"/>
          <w:i/>
          <w:shd w:val="clear" w:color="auto" w:fill="FFFFFF" w:themeFill="background1"/>
        </w:rPr>
        <w:t xml:space="preserve"> may request an extension of this timeframe, or</w:t>
      </w:r>
      <w:r w:rsidRPr="005F45A7" w:rsidDel="002C76E8">
        <w:rPr>
          <w:rFonts w:asciiTheme="majorHAnsi" w:hAnsiTheme="majorHAnsi"/>
          <w:i/>
        </w:rPr>
        <w:t xml:space="preserve"> request that Validation commences earlier than scheduled.</w:t>
      </w:r>
    </w:p>
    <w:p w14:paraId="26173393" w14:textId="0827C031" w:rsidR="00AE480F" w:rsidRPr="005F45A7" w:rsidRDefault="00AE480F" w:rsidP="00905971">
      <w:pPr>
        <w:tabs>
          <w:tab w:val="right" w:pos="993"/>
        </w:tabs>
        <w:spacing w:before="120" w:after="120"/>
        <w:ind w:left="992"/>
        <w:rPr>
          <w:rFonts w:asciiTheme="majorHAnsi" w:hAnsiTheme="majorHAnsi"/>
          <w:i/>
        </w:rPr>
      </w:pPr>
      <w:r w:rsidRPr="005F45A7">
        <w:rPr>
          <w:rFonts w:asciiTheme="majorHAnsi" w:hAnsiTheme="majorHAnsi"/>
          <w:i/>
        </w:rPr>
        <w:t xml:space="preserve">The Board’s decision followed </w:t>
      </w:r>
      <w:r w:rsidRPr="005F45A7">
        <w:rPr>
          <w:rFonts w:asciiTheme="majorHAnsi" w:hAnsiTheme="majorHAnsi"/>
          <w:i/>
          <w:shd w:val="clear" w:color="auto" w:fill="FFFFFF" w:themeFill="background1"/>
        </w:rPr>
        <w:t xml:space="preserve">a Validation that commenced on 1 July 2016. In accordance with the 2016 EITI Standard, an initial assessment was undertaken by the International Secretariat. The findings were reviewed an Independent Validator, who submitted a Validation Report to the EITI Board. </w:t>
      </w:r>
      <w:r w:rsidR="002C76E8" w:rsidRPr="005F45A7">
        <w:rPr>
          <w:rFonts w:asciiTheme="majorHAnsi" w:hAnsiTheme="majorHAnsi"/>
          <w:i/>
          <w:shd w:val="clear" w:color="auto" w:fill="FFFFFF" w:themeFill="background1"/>
        </w:rPr>
        <w:t xml:space="preserve">The </w:t>
      </w:r>
      <w:r w:rsidRPr="005F45A7">
        <w:rPr>
          <w:rFonts w:asciiTheme="majorHAnsi" w:hAnsiTheme="majorHAnsi"/>
          <w:i/>
          <w:shd w:val="clear" w:color="auto" w:fill="FFFFFF" w:themeFill="background1"/>
        </w:rPr>
        <w:t xml:space="preserve">SIENSG </w:t>
      </w:r>
      <w:r w:rsidR="002C76E8" w:rsidRPr="005F45A7">
        <w:rPr>
          <w:rFonts w:asciiTheme="majorHAnsi" w:hAnsiTheme="majorHAnsi"/>
          <w:i/>
        </w:rPr>
        <w:t xml:space="preserve">was </w:t>
      </w:r>
      <w:r w:rsidRPr="005F45A7">
        <w:rPr>
          <w:rFonts w:asciiTheme="majorHAnsi" w:hAnsiTheme="majorHAnsi"/>
          <w:i/>
        </w:rPr>
        <w:t xml:space="preserve">invited to comment </w:t>
      </w:r>
      <w:r w:rsidR="002C76E8" w:rsidRPr="005F45A7">
        <w:rPr>
          <w:rFonts w:asciiTheme="majorHAnsi" w:hAnsiTheme="majorHAnsi"/>
          <w:i/>
        </w:rPr>
        <w:t xml:space="preserve">on the findings </w:t>
      </w:r>
      <w:r w:rsidRPr="005F45A7">
        <w:rPr>
          <w:rFonts w:asciiTheme="majorHAnsi" w:hAnsiTheme="majorHAnsi"/>
          <w:i/>
        </w:rPr>
        <w:t xml:space="preserve">throughout the process. </w:t>
      </w:r>
      <w:r w:rsidR="002C76E8" w:rsidRPr="005F45A7">
        <w:rPr>
          <w:rFonts w:asciiTheme="majorHAnsi" w:hAnsiTheme="majorHAnsi"/>
          <w:i/>
        </w:rPr>
        <w:t xml:space="preserve">The national secretariat’s </w:t>
      </w:r>
      <w:r w:rsidRPr="005F45A7">
        <w:rPr>
          <w:rFonts w:asciiTheme="majorHAnsi" w:hAnsiTheme="majorHAnsi"/>
          <w:i/>
        </w:rPr>
        <w:t>comments on the report were taken into consideration. The final decision was taken by the EITI Board.</w:t>
      </w:r>
    </w:p>
    <w:p w14:paraId="450066B0" w14:textId="51909F3F" w:rsidR="004626AC" w:rsidRPr="005F45A7" w:rsidRDefault="004626AC" w:rsidP="004626AC">
      <w:pPr>
        <w:pStyle w:val="Heading2"/>
        <w:rPr>
          <w:rFonts w:asciiTheme="majorHAnsi" w:hAnsiTheme="majorHAnsi"/>
          <w:lang w:bidi="en-US"/>
        </w:rPr>
      </w:pPr>
      <w:bookmarkStart w:id="1" w:name="_Toc473663947"/>
      <w:r w:rsidRPr="005F45A7">
        <w:rPr>
          <w:rFonts w:asciiTheme="majorHAnsi" w:hAnsiTheme="majorHAnsi"/>
          <w:lang w:bidi="en-US"/>
        </w:rPr>
        <w:t>Background</w:t>
      </w:r>
      <w:bookmarkEnd w:id="1"/>
    </w:p>
    <w:p w14:paraId="107EAB59" w14:textId="77777777" w:rsidR="004626AC" w:rsidRPr="005F45A7" w:rsidRDefault="004626AC">
      <w:pPr>
        <w:tabs>
          <w:tab w:val="right" w:pos="993"/>
        </w:tabs>
        <w:spacing w:after="0"/>
        <w:rPr>
          <w:rFonts w:asciiTheme="majorHAnsi" w:hAnsiTheme="majorHAnsi"/>
        </w:rPr>
      </w:pPr>
      <w:r w:rsidRPr="005F45A7">
        <w:rPr>
          <w:rFonts w:asciiTheme="majorHAnsi" w:hAnsiTheme="majorHAnsi"/>
        </w:rPr>
        <w:t xml:space="preserve">The Solomon Islands Government announced its commitment to implement the EITI in July 2011. </w:t>
      </w:r>
    </w:p>
    <w:p w14:paraId="7F3384E5" w14:textId="5FF43693" w:rsidR="004626AC" w:rsidRPr="005F45A7" w:rsidRDefault="004626AC" w:rsidP="004626AC">
      <w:pPr>
        <w:tabs>
          <w:tab w:val="right" w:pos="993"/>
        </w:tabs>
        <w:spacing w:after="0"/>
        <w:rPr>
          <w:rFonts w:asciiTheme="majorHAnsi" w:hAnsiTheme="majorHAnsi"/>
        </w:rPr>
      </w:pPr>
      <w:r w:rsidRPr="005F45A7">
        <w:rPr>
          <w:rFonts w:asciiTheme="majorHAnsi" w:hAnsiTheme="majorHAnsi"/>
        </w:rPr>
        <w:t xml:space="preserve">A multi-stakeholder group, the Solomon Islands Extractive Industries National Stakeholder Group (SIEINSG) was formed in January 2012 and the country was accepted as an EITI Candidate in July 2012. The Solomon Islands has subsequently produced three EITI </w:t>
      </w:r>
      <w:r w:rsidR="00F53003" w:rsidRPr="005F45A7">
        <w:rPr>
          <w:rFonts w:asciiTheme="majorHAnsi" w:hAnsiTheme="majorHAnsi"/>
        </w:rPr>
        <w:t>R</w:t>
      </w:r>
      <w:r w:rsidRPr="005F45A7">
        <w:rPr>
          <w:rFonts w:asciiTheme="majorHAnsi" w:hAnsiTheme="majorHAnsi"/>
        </w:rPr>
        <w:t xml:space="preserve">eports (2012 – 2014). </w:t>
      </w:r>
    </w:p>
    <w:p w14:paraId="05FAF34D" w14:textId="77777777" w:rsidR="004626AC" w:rsidRPr="005F45A7" w:rsidRDefault="004626AC" w:rsidP="004626AC">
      <w:pPr>
        <w:tabs>
          <w:tab w:val="right" w:pos="993"/>
        </w:tabs>
        <w:spacing w:after="0"/>
        <w:rPr>
          <w:rFonts w:asciiTheme="majorHAnsi" w:hAnsiTheme="majorHAnsi"/>
        </w:rPr>
      </w:pPr>
    </w:p>
    <w:p w14:paraId="7A89403E" w14:textId="2B9E1CE5" w:rsidR="004626AC" w:rsidRPr="005F45A7" w:rsidRDefault="004626AC" w:rsidP="004626AC">
      <w:pPr>
        <w:tabs>
          <w:tab w:val="right" w:pos="993"/>
        </w:tabs>
        <w:spacing w:after="0"/>
        <w:rPr>
          <w:rFonts w:asciiTheme="majorHAnsi" w:hAnsiTheme="majorHAnsi"/>
        </w:rPr>
      </w:pPr>
      <w:r w:rsidRPr="005F45A7">
        <w:rPr>
          <w:rFonts w:asciiTheme="majorHAnsi" w:hAnsiTheme="majorHAnsi"/>
        </w:rPr>
        <w:t xml:space="preserve">The Validation process commenced on 1 July 2016. In accordance with the Validation procedures, an </w:t>
      </w:r>
      <w:hyperlink r:id="rId19" w:history="1">
        <w:r w:rsidRPr="005F45A7">
          <w:rPr>
            <w:rStyle w:val="Hyperlink"/>
            <w:rFonts w:asciiTheme="majorHAnsi" w:hAnsiTheme="majorHAnsi" w:cs="Calibri"/>
          </w:rPr>
          <w:t>initial assessment</w:t>
        </w:r>
      </w:hyperlink>
      <w:r w:rsidRPr="005F45A7">
        <w:rPr>
          <w:rFonts w:asciiTheme="majorHAnsi" w:hAnsiTheme="majorHAnsi"/>
        </w:rPr>
        <w:t xml:space="preserve"> was prepared by the International Secretariat. The MSG were invited to comment. </w:t>
      </w:r>
      <w:hyperlink r:id="rId20" w:history="1">
        <w:r w:rsidRPr="005F45A7">
          <w:rPr>
            <w:rStyle w:val="Hyperlink"/>
            <w:rFonts w:asciiTheme="majorHAnsi" w:hAnsiTheme="majorHAnsi" w:cs="Calibri"/>
          </w:rPr>
          <w:t>Comments</w:t>
        </w:r>
      </w:hyperlink>
      <w:r w:rsidRPr="005F45A7">
        <w:rPr>
          <w:rFonts w:asciiTheme="majorHAnsi" w:hAnsiTheme="majorHAnsi"/>
        </w:rPr>
        <w:t xml:space="preserve"> were received from the national secretariat. The assessment was then reviewed by the Independent Validator, who prepared the </w:t>
      </w:r>
      <w:hyperlink r:id="rId21" w:history="1">
        <w:r w:rsidRPr="005F45A7">
          <w:rPr>
            <w:rStyle w:val="Hyperlink"/>
            <w:rFonts w:asciiTheme="majorHAnsi" w:hAnsiTheme="majorHAnsi" w:cs="Calibri"/>
          </w:rPr>
          <w:t>Validation Report</w:t>
        </w:r>
      </w:hyperlink>
      <w:r w:rsidRPr="005F45A7">
        <w:rPr>
          <w:rFonts w:asciiTheme="majorHAnsi" w:hAnsiTheme="majorHAnsi"/>
        </w:rPr>
        <w:t xml:space="preserve">. The MSG were invited to comment on the Report. Again, </w:t>
      </w:r>
      <w:hyperlink r:id="rId22" w:history="1">
        <w:r w:rsidRPr="005F45A7">
          <w:rPr>
            <w:rStyle w:val="Hyperlink"/>
            <w:rFonts w:asciiTheme="majorHAnsi" w:hAnsiTheme="majorHAnsi" w:cs="Calibri"/>
          </w:rPr>
          <w:t>comments</w:t>
        </w:r>
      </w:hyperlink>
      <w:r w:rsidRPr="005F45A7">
        <w:rPr>
          <w:rFonts w:asciiTheme="majorHAnsi" w:hAnsiTheme="majorHAnsi"/>
        </w:rPr>
        <w:t xml:space="preserve"> were received from the national secretariat.</w:t>
      </w:r>
    </w:p>
    <w:p w14:paraId="6BC74259" w14:textId="451E1359" w:rsidR="004626AC" w:rsidRPr="005F45A7" w:rsidRDefault="004626AC" w:rsidP="004626AC">
      <w:pPr>
        <w:tabs>
          <w:tab w:val="right" w:pos="993"/>
        </w:tabs>
        <w:spacing w:after="0"/>
        <w:rPr>
          <w:rFonts w:asciiTheme="majorHAnsi" w:hAnsiTheme="majorHAnsi"/>
        </w:rPr>
      </w:pPr>
    </w:p>
    <w:p w14:paraId="01AA364B" w14:textId="7B816E8B" w:rsidR="002B085E" w:rsidRPr="005F45A7" w:rsidRDefault="004626AC" w:rsidP="004626AC">
      <w:pPr>
        <w:tabs>
          <w:tab w:val="right" w:pos="993"/>
        </w:tabs>
        <w:spacing w:after="0"/>
        <w:rPr>
          <w:rFonts w:asciiTheme="majorHAnsi" w:hAnsiTheme="majorHAnsi"/>
        </w:rPr>
      </w:pPr>
      <w:r w:rsidRPr="005F45A7">
        <w:rPr>
          <w:rFonts w:asciiTheme="majorHAnsi" w:hAnsiTheme="majorHAnsi"/>
        </w:rPr>
        <w:t>The Validation Committee reviewed the case on 24 January</w:t>
      </w:r>
      <w:r w:rsidR="00F53003" w:rsidRPr="005F45A7">
        <w:rPr>
          <w:rFonts w:asciiTheme="majorHAnsi" w:hAnsiTheme="majorHAnsi"/>
        </w:rPr>
        <w:t xml:space="preserve"> 2017</w:t>
      </w:r>
      <w:r w:rsidRPr="005F45A7">
        <w:rPr>
          <w:rFonts w:asciiTheme="majorHAnsi" w:hAnsiTheme="majorHAnsi"/>
        </w:rPr>
        <w:t xml:space="preserve">. Based on the findings above, the Validation Committee agreed to recommend the assessment card and corrective actions outlined below. </w:t>
      </w:r>
      <w:r w:rsidR="002B085E" w:rsidRPr="005F45A7">
        <w:rPr>
          <w:rFonts w:asciiTheme="majorHAnsi" w:hAnsiTheme="majorHAnsi"/>
        </w:rPr>
        <w:t xml:space="preserve">As per Requirement 8.3.c. this includes a requirement that the MSG agrees and discloses a time-bound action plans for addressing weaknesses in data reliability and comprehensiveness within 3 months. </w:t>
      </w:r>
    </w:p>
    <w:p w14:paraId="0194ACF9" w14:textId="77777777" w:rsidR="002B085E" w:rsidRPr="005F45A7" w:rsidRDefault="002B085E" w:rsidP="004626AC">
      <w:pPr>
        <w:tabs>
          <w:tab w:val="right" w:pos="993"/>
        </w:tabs>
        <w:spacing w:after="0"/>
        <w:rPr>
          <w:rFonts w:asciiTheme="majorHAnsi" w:hAnsiTheme="majorHAnsi"/>
        </w:rPr>
      </w:pPr>
    </w:p>
    <w:p w14:paraId="57E1FEE5" w14:textId="0528997B" w:rsidR="007671F4" w:rsidRPr="005F45A7" w:rsidRDefault="004626AC" w:rsidP="004626AC">
      <w:pPr>
        <w:tabs>
          <w:tab w:val="right" w:pos="993"/>
        </w:tabs>
        <w:spacing w:after="0"/>
        <w:rPr>
          <w:rFonts w:asciiTheme="majorHAnsi" w:hAnsiTheme="majorHAnsi"/>
        </w:rPr>
      </w:pPr>
      <w:r w:rsidRPr="005F45A7">
        <w:rPr>
          <w:rFonts w:asciiTheme="majorHAnsi" w:hAnsiTheme="majorHAnsi"/>
        </w:rPr>
        <w:t>The Committee also agreed to recommend an overall assessment of “</w:t>
      </w:r>
      <w:r w:rsidR="007671F4" w:rsidRPr="005F45A7">
        <w:rPr>
          <w:rFonts w:asciiTheme="majorHAnsi" w:hAnsiTheme="majorHAnsi"/>
        </w:rPr>
        <w:t>inadequate progress” in implementing the 2016 EITI Standard. Requirement 8.3.c. of the EITI Standard states that:</w:t>
      </w:r>
    </w:p>
    <w:p w14:paraId="34A6CFBA" w14:textId="774E5CBA" w:rsidR="007671F4" w:rsidRPr="005F45A7" w:rsidRDefault="007671F4" w:rsidP="004626AC">
      <w:pPr>
        <w:tabs>
          <w:tab w:val="right" w:pos="993"/>
        </w:tabs>
        <w:spacing w:after="0"/>
        <w:rPr>
          <w:rFonts w:asciiTheme="majorHAnsi" w:hAnsiTheme="majorHAnsi"/>
        </w:rPr>
      </w:pPr>
    </w:p>
    <w:p w14:paraId="659566CE" w14:textId="1D1BBD47" w:rsidR="007671F4" w:rsidRPr="005F45A7" w:rsidRDefault="007671F4" w:rsidP="005F45A7">
      <w:pPr>
        <w:tabs>
          <w:tab w:val="right" w:pos="993"/>
        </w:tabs>
        <w:spacing w:after="0"/>
        <w:ind w:left="720"/>
        <w:rPr>
          <w:rFonts w:asciiTheme="majorHAnsi" w:hAnsiTheme="majorHAnsi"/>
          <w:sz w:val="20"/>
        </w:rPr>
      </w:pPr>
      <w:r w:rsidRPr="005F45A7">
        <w:rPr>
          <w:rFonts w:asciiTheme="majorHAnsi" w:hAnsiTheme="majorHAnsi"/>
          <w:sz w:val="20"/>
        </w:rPr>
        <w:t>ii.    Overall assessments. Pursuant to the Validation Process, the EITI Board will make an assessment of overall compliance with all requirements in the EITI Standard.</w:t>
      </w:r>
    </w:p>
    <w:p w14:paraId="2965B262" w14:textId="271DE973" w:rsidR="007671F4" w:rsidRPr="005F45A7" w:rsidRDefault="007671F4" w:rsidP="005F45A7">
      <w:pPr>
        <w:tabs>
          <w:tab w:val="right" w:pos="993"/>
        </w:tabs>
        <w:spacing w:after="0"/>
        <w:ind w:left="720"/>
        <w:rPr>
          <w:rFonts w:asciiTheme="majorHAnsi" w:hAnsiTheme="majorHAnsi"/>
          <w:sz w:val="20"/>
        </w:rPr>
      </w:pPr>
      <w:r w:rsidRPr="005F45A7">
        <w:rPr>
          <w:rFonts w:asciiTheme="majorHAnsi" w:hAnsiTheme="majorHAnsi"/>
          <w:sz w:val="20"/>
        </w:rPr>
        <w:t>…</w:t>
      </w:r>
    </w:p>
    <w:p w14:paraId="14484A47" w14:textId="43AC5D36" w:rsidR="007671F4" w:rsidRPr="005F45A7" w:rsidRDefault="007671F4" w:rsidP="005F45A7">
      <w:pPr>
        <w:tabs>
          <w:tab w:val="right" w:pos="993"/>
        </w:tabs>
        <w:spacing w:after="0"/>
        <w:ind w:left="720"/>
        <w:rPr>
          <w:rFonts w:asciiTheme="majorHAnsi" w:hAnsiTheme="majorHAnsi"/>
          <w:sz w:val="20"/>
        </w:rPr>
      </w:pPr>
      <w:r w:rsidRPr="005F45A7">
        <w:rPr>
          <w:rFonts w:asciiTheme="majorHAnsi" w:hAnsiTheme="majorHAnsi"/>
          <w:sz w:val="20"/>
        </w:rPr>
        <w:t xml:space="preserve">iii (c) </w:t>
      </w:r>
      <w:r w:rsidRPr="005F45A7">
        <w:rPr>
          <w:rFonts w:asciiTheme="majorHAnsi" w:hAnsiTheme="majorHAnsi"/>
          <w:b/>
          <w:sz w:val="20"/>
        </w:rPr>
        <w:t>Inadequate progress</w:t>
      </w:r>
      <w:r w:rsidRPr="005F45A7">
        <w:rPr>
          <w:rFonts w:asciiTheme="majorHAnsi" w:hAnsiTheme="majorHAnsi"/>
          <w:sz w:val="20"/>
        </w:rPr>
        <w:t>. The country will be suspended and requested to undertake corrective actions until the second Validation. For the suspension to be lifted, the country must in its second Validation demonstrate at least meaningful progress.</w:t>
      </w:r>
    </w:p>
    <w:p w14:paraId="37E4D37E" w14:textId="77777777" w:rsidR="007671F4" w:rsidRPr="005F45A7" w:rsidRDefault="007671F4" w:rsidP="004626AC">
      <w:pPr>
        <w:tabs>
          <w:tab w:val="right" w:pos="993"/>
        </w:tabs>
        <w:spacing w:after="0"/>
        <w:rPr>
          <w:rFonts w:asciiTheme="majorHAnsi" w:hAnsiTheme="majorHAnsi"/>
        </w:rPr>
      </w:pPr>
    </w:p>
    <w:p w14:paraId="5FCD77C6" w14:textId="3BE4C763" w:rsidR="007671F4" w:rsidRPr="005F45A7" w:rsidRDefault="007671F4" w:rsidP="004626AC">
      <w:pPr>
        <w:tabs>
          <w:tab w:val="right" w:pos="993"/>
        </w:tabs>
        <w:spacing w:after="0"/>
        <w:rPr>
          <w:rFonts w:asciiTheme="majorHAnsi" w:hAnsiTheme="majorHAnsi"/>
        </w:rPr>
      </w:pPr>
      <w:r w:rsidRPr="005F45A7">
        <w:rPr>
          <w:rFonts w:asciiTheme="majorHAnsi" w:hAnsiTheme="majorHAnsi"/>
        </w:rPr>
        <w:t xml:space="preserve">The Validation Committee agreed to recommend a period of 10 months to undertake </w:t>
      </w:r>
      <w:r w:rsidR="00F53003" w:rsidRPr="005F45A7">
        <w:rPr>
          <w:rFonts w:asciiTheme="majorHAnsi" w:hAnsiTheme="majorHAnsi"/>
        </w:rPr>
        <w:t xml:space="preserve">the </w:t>
      </w:r>
      <w:r w:rsidRPr="005F45A7">
        <w:rPr>
          <w:rFonts w:asciiTheme="majorHAnsi" w:hAnsiTheme="majorHAnsi"/>
        </w:rPr>
        <w:t xml:space="preserve">corrective actions. This recommendation takes into account that the </w:t>
      </w:r>
      <w:r w:rsidR="00F53003" w:rsidRPr="005F45A7">
        <w:rPr>
          <w:rFonts w:asciiTheme="majorHAnsi" w:hAnsiTheme="majorHAnsi"/>
        </w:rPr>
        <w:t xml:space="preserve">mining </w:t>
      </w:r>
      <w:r w:rsidRPr="005F45A7">
        <w:rPr>
          <w:rFonts w:asciiTheme="majorHAnsi" w:hAnsiTheme="majorHAnsi"/>
        </w:rPr>
        <w:t xml:space="preserve">sector is small, and seeks to align the Validation deadline with the deadline for the next (2015) EITI Report. </w:t>
      </w:r>
    </w:p>
    <w:p w14:paraId="195B725C" w14:textId="77777777" w:rsidR="00E506AE" w:rsidRDefault="00E506AE">
      <w:pPr>
        <w:widowControl/>
        <w:suppressAutoHyphens w:val="0"/>
        <w:spacing w:after="0" w:line="240" w:lineRule="auto"/>
        <w:rPr>
          <w:rFonts w:asciiTheme="majorHAnsi" w:hAnsiTheme="majorHAnsi"/>
          <w:lang w:bidi="en-US"/>
        </w:rPr>
      </w:pPr>
    </w:p>
    <w:p w14:paraId="3C8F9EA2" w14:textId="7E85884A" w:rsidR="004626AC" w:rsidRPr="005F45A7" w:rsidRDefault="004626AC" w:rsidP="004626AC">
      <w:pPr>
        <w:pStyle w:val="Heading2"/>
        <w:rPr>
          <w:rFonts w:asciiTheme="majorHAnsi" w:hAnsiTheme="majorHAnsi"/>
          <w:lang w:bidi="en-US"/>
        </w:rPr>
      </w:pPr>
      <w:bookmarkStart w:id="2" w:name="_Toc473663948"/>
      <w:r w:rsidRPr="005F45A7">
        <w:rPr>
          <w:rFonts w:asciiTheme="majorHAnsi" w:hAnsiTheme="majorHAnsi"/>
          <w:lang w:bidi="en-US"/>
        </w:rPr>
        <w:t>Assessment card</w:t>
      </w:r>
      <w:bookmarkEnd w:id="2"/>
    </w:p>
    <w:p w14:paraId="557E99B0" w14:textId="0471E9FA" w:rsidR="00AE7E56" w:rsidRPr="005F45A7" w:rsidRDefault="00AE7E56" w:rsidP="00AE7E56">
      <w:pPr>
        <w:rPr>
          <w:rFonts w:asciiTheme="majorHAnsi" w:hAnsiTheme="majorHAnsi"/>
          <w:lang w:bidi="en-US"/>
        </w:rPr>
      </w:pPr>
      <w:r w:rsidRPr="005F45A7">
        <w:rPr>
          <w:rFonts w:asciiTheme="majorHAnsi" w:hAnsiTheme="majorHAnsi"/>
          <w:lang w:bidi="en-US"/>
        </w:rPr>
        <w:t xml:space="preserve">The Validation Committee recommends the following assessment: </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F02D9" w:rsidRPr="005F45A7" w14:paraId="6F97D81A" w14:textId="77777777" w:rsidTr="005F45A7">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3D5FFA2E" w14:textId="77777777" w:rsidR="00DF02D9" w:rsidRPr="005F45A7" w:rsidRDefault="00DF02D9" w:rsidP="00895B1A">
            <w:pPr>
              <w:widowControl/>
              <w:suppressAutoHyphens w:val="0"/>
              <w:spacing w:after="0" w:line="240" w:lineRule="auto"/>
              <w:rPr>
                <w:rFonts w:cs="Times New Roman"/>
                <w:b/>
                <w:bCs/>
                <w:color w:val="FFFFFF"/>
                <w:lang w:eastAsia="en-GB"/>
              </w:rPr>
            </w:pPr>
            <w:r w:rsidRPr="005F45A7">
              <w:rPr>
                <w:rFonts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60D8443" w14:textId="77777777" w:rsidR="00DF02D9" w:rsidRPr="005F45A7" w:rsidRDefault="00DF02D9" w:rsidP="00895B1A">
            <w:pPr>
              <w:widowControl/>
              <w:suppressAutoHyphens w:val="0"/>
              <w:spacing w:after="0" w:line="240" w:lineRule="auto"/>
              <w:jc w:val="center"/>
              <w:rPr>
                <w:rFonts w:cs="Times New Roman"/>
                <w:b/>
                <w:bCs/>
                <w:color w:val="FFFFFF"/>
                <w:lang w:eastAsia="en-GB"/>
              </w:rPr>
            </w:pPr>
            <w:r w:rsidRPr="005F45A7">
              <w:rPr>
                <w:rFonts w:cs="Times New Roman"/>
                <w:b/>
                <w:bCs/>
                <w:color w:val="FFFFFF"/>
                <w:lang w:eastAsia="en-GB"/>
              </w:rPr>
              <w:t>LEVEL OF PROGRESS</w:t>
            </w:r>
          </w:p>
        </w:tc>
      </w:tr>
      <w:tr w:rsidR="00DF02D9" w:rsidRPr="005F45A7" w14:paraId="2944D94B" w14:textId="77777777" w:rsidTr="005F45A7">
        <w:trPr>
          <w:trHeight w:val="1304"/>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2F4A4E8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50B2D52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77A8F42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27ABE0C7" w14:textId="77777777" w:rsidR="00DF02D9" w:rsidRPr="005F45A7" w:rsidRDefault="00DF02D9" w:rsidP="00895B1A">
            <w:pPr>
              <w:widowControl/>
              <w:suppressAutoHyphens w:val="0"/>
              <w:spacing w:after="0" w:line="240" w:lineRule="auto"/>
              <w:rPr>
                <w:rFonts w:cs="Times New Roman"/>
                <w:b/>
                <w:bCs/>
                <w:color w:val="FFFFFF"/>
                <w:lang w:eastAsia="en-GB"/>
              </w:rPr>
            </w:pPr>
            <w:r w:rsidRPr="005F45A7">
              <w:rPr>
                <w:rFonts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07DAECF7" w14:textId="77777777" w:rsidR="00DF02D9" w:rsidRPr="005F45A7" w:rsidRDefault="00DF02D9" w:rsidP="00895B1A">
            <w:pPr>
              <w:widowControl/>
              <w:suppressAutoHyphens w:val="0"/>
              <w:spacing w:after="0" w:line="240" w:lineRule="auto"/>
              <w:rPr>
                <w:rFonts w:cs="Times New Roman"/>
                <w:bCs/>
                <w:color w:val="000000"/>
                <w:lang w:eastAsia="en-GB"/>
              </w:rPr>
            </w:pPr>
            <w:r w:rsidRPr="005F45A7">
              <w:rPr>
                <w:rFonts w:cs="Times New Roman"/>
                <w:bCs/>
                <w:color w:val="000000"/>
                <w:lang w:eastAsia="en-GB"/>
              </w:rPr>
              <w:t xml:space="preserve">  No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74C17BD2" w14:textId="77777777" w:rsidR="00DF02D9" w:rsidRPr="005F45A7" w:rsidRDefault="00DF02D9" w:rsidP="00895B1A">
            <w:pPr>
              <w:widowControl/>
              <w:suppressAutoHyphens w:val="0"/>
              <w:spacing w:after="0" w:line="240" w:lineRule="auto"/>
              <w:rPr>
                <w:rFonts w:cs="Times New Roman"/>
                <w:bCs/>
                <w:color w:val="000000"/>
                <w:lang w:eastAsia="en-GB"/>
              </w:rPr>
            </w:pPr>
            <w:r w:rsidRPr="005F45A7">
              <w:rPr>
                <w:rFonts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3DB81B0E" w14:textId="77777777" w:rsidR="00DF02D9" w:rsidRPr="005F45A7" w:rsidRDefault="00DF02D9" w:rsidP="00895B1A">
            <w:pPr>
              <w:widowControl/>
              <w:suppressAutoHyphens w:val="0"/>
              <w:spacing w:after="0" w:line="240" w:lineRule="auto"/>
              <w:rPr>
                <w:rFonts w:cs="Times New Roman"/>
                <w:bCs/>
                <w:color w:val="000000"/>
                <w:lang w:eastAsia="en-GB"/>
              </w:rPr>
            </w:pPr>
            <w:r w:rsidRPr="005F45A7">
              <w:rPr>
                <w:rFonts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5AF2B3FD" w14:textId="77777777" w:rsidR="00DF02D9" w:rsidRPr="005F45A7" w:rsidRDefault="00DF02D9" w:rsidP="00895B1A">
            <w:pPr>
              <w:widowControl/>
              <w:suppressAutoHyphens w:val="0"/>
              <w:spacing w:after="0" w:line="240" w:lineRule="auto"/>
              <w:rPr>
                <w:rFonts w:cs="Times New Roman"/>
                <w:bCs/>
                <w:color w:val="000000"/>
                <w:lang w:eastAsia="en-GB"/>
              </w:rPr>
            </w:pPr>
            <w:r w:rsidRPr="005F45A7">
              <w:rPr>
                <w:rFonts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2BEFCAD3" w14:textId="77777777" w:rsidR="00DF02D9" w:rsidRPr="005F45A7" w:rsidRDefault="00DF02D9" w:rsidP="00895B1A">
            <w:pPr>
              <w:widowControl/>
              <w:suppressAutoHyphens w:val="0"/>
              <w:spacing w:after="0" w:line="240" w:lineRule="auto"/>
              <w:rPr>
                <w:rFonts w:cs="Times New Roman"/>
                <w:bCs/>
                <w:color w:val="000000"/>
                <w:lang w:eastAsia="en-GB"/>
              </w:rPr>
            </w:pPr>
            <w:r w:rsidRPr="005F45A7">
              <w:rPr>
                <w:rFonts w:cs="Times New Roman"/>
                <w:bCs/>
                <w:color w:val="000000"/>
                <w:lang w:eastAsia="en-GB"/>
              </w:rPr>
              <w:t xml:space="preserve">  Beyond</w:t>
            </w:r>
          </w:p>
        </w:tc>
      </w:tr>
      <w:tr w:rsidR="002B085E" w:rsidRPr="005F45A7" w14:paraId="4F3DACFF" w14:textId="77777777" w:rsidTr="005F45A7">
        <w:trPr>
          <w:trHeight w:val="334"/>
        </w:trPr>
        <w:tc>
          <w:tcPr>
            <w:tcW w:w="2127" w:type="dxa"/>
            <w:tcBorders>
              <w:left w:val="single" w:sz="12" w:space="0" w:color="auto"/>
              <w:bottom w:val="single" w:sz="12" w:space="0" w:color="000000" w:themeColor="text1"/>
            </w:tcBorders>
            <w:shd w:val="clear" w:color="000000" w:fill="F2F2F2"/>
            <w:noWrap/>
            <w:vAlign w:val="bottom"/>
            <w:hideMark/>
          </w:tcPr>
          <w:p w14:paraId="5150E784" w14:textId="77777777" w:rsidR="002B085E" w:rsidRPr="005F45A7" w:rsidRDefault="002B085E"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27CE818E" w14:textId="77777777" w:rsidR="002B085E" w:rsidRPr="005F45A7" w:rsidRDefault="002B085E"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11900"/>
          </w:tcPr>
          <w:p w14:paraId="384CECD1" w14:textId="77777777" w:rsidR="002B085E" w:rsidRPr="005F45A7" w:rsidRDefault="002B085E" w:rsidP="00895B1A">
            <w:pPr>
              <w:widowControl/>
              <w:suppressAutoHyphens w:val="0"/>
              <w:spacing w:after="0" w:line="240" w:lineRule="auto"/>
              <w:rPr>
                <w:rFonts w:cs="Times New Roman"/>
                <w:b/>
                <w:bCs/>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7A25EBA8" w14:textId="77777777" w:rsidR="002B085E" w:rsidRPr="005F45A7" w:rsidRDefault="002B085E" w:rsidP="00895B1A">
            <w:pPr>
              <w:widowControl/>
              <w:suppressAutoHyphens w:val="0"/>
              <w:spacing w:after="0" w:line="240" w:lineRule="auto"/>
              <w:rPr>
                <w:rFonts w:cs="Times New Roman"/>
                <w:b/>
                <w:bCs/>
                <w:lang w:eastAsia="en-GB"/>
              </w:rPr>
            </w:pPr>
          </w:p>
        </w:tc>
        <w:tc>
          <w:tcPr>
            <w:tcW w:w="491" w:type="dxa"/>
            <w:tcBorders>
              <w:left w:val="single" w:sz="4" w:space="0" w:color="000000" w:themeColor="text1"/>
              <w:bottom w:val="single" w:sz="12" w:space="0" w:color="auto"/>
              <w:right w:val="single" w:sz="12" w:space="0" w:color="auto"/>
            </w:tcBorders>
            <w:shd w:val="clear" w:color="000000" w:fill="84AE42"/>
            <w:vAlign w:val="bottom"/>
          </w:tcPr>
          <w:p w14:paraId="1BCE9527" w14:textId="77777777" w:rsidR="002B085E" w:rsidRPr="005F45A7" w:rsidRDefault="002B085E" w:rsidP="00895B1A">
            <w:pPr>
              <w:widowControl/>
              <w:suppressAutoHyphens w:val="0"/>
              <w:spacing w:after="0" w:line="240" w:lineRule="auto"/>
              <w:rPr>
                <w:rFonts w:cs="Times New Roman"/>
                <w:b/>
                <w:bCs/>
                <w:lang w:eastAsia="en-GB"/>
              </w:rPr>
            </w:pPr>
            <w:r w:rsidRPr="005F45A7">
              <w:rPr>
                <w:rFonts w:cs="Times New Roman"/>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5F3CBC3A" w14:textId="77777777" w:rsidR="002B085E" w:rsidRPr="005F45A7" w:rsidRDefault="002B085E" w:rsidP="00895B1A">
            <w:pPr>
              <w:widowControl/>
              <w:suppressAutoHyphens w:val="0"/>
              <w:spacing w:after="0" w:line="240" w:lineRule="auto"/>
              <w:rPr>
                <w:rFonts w:cs="Times New Roman"/>
                <w:b/>
                <w:bCs/>
                <w:lang w:eastAsia="en-GB"/>
              </w:rPr>
            </w:pPr>
            <w:r w:rsidRPr="005F45A7">
              <w:rPr>
                <w:rFonts w:cs="Times New Roman"/>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380DECB7" w14:textId="77777777" w:rsidR="002B085E" w:rsidRPr="005F45A7" w:rsidRDefault="002B085E" w:rsidP="00895B1A">
            <w:pPr>
              <w:widowControl/>
              <w:suppressAutoHyphens w:val="0"/>
              <w:spacing w:after="0" w:line="240" w:lineRule="auto"/>
              <w:rPr>
                <w:rFonts w:cs="Times New Roman"/>
                <w:b/>
                <w:bCs/>
                <w:lang w:eastAsia="en-GB"/>
              </w:rPr>
            </w:pPr>
            <w:r w:rsidRPr="005F45A7">
              <w:rPr>
                <w:rFonts w:cs="Times New Roman"/>
                <w:lang w:eastAsia="en-GB"/>
              </w:rPr>
              <w:t> </w:t>
            </w:r>
          </w:p>
        </w:tc>
      </w:tr>
      <w:tr w:rsidR="00DF02D9" w:rsidRPr="005F45A7" w14:paraId="3605C844" w14:textId="77777777" w:rsidTr="005F45A7">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0C22A129"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78D524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39B147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1F6DC1F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0B6462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BADBC2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3170AC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48A1A223" w14:textId="77777777" w:rsidTr="005F45A7">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16E0AD3A"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462395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73EFCC7"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167411E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DE043F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F9CC55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C4B1CE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17F15EF4" w14:textId="77777777" w:rsidTr="005F45A7">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BD60415"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C67A4F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319EC9"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DA537D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465B52F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88AF2A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58B9C2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52C8CFA7" w14:textId="77777777" w:rsidTr="005F45A7">
        <w:trPr>
          <w:trHeight w:val="32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21D47CA0"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FBDD2A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462F6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F96204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3D60CF5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5FEC8D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A6AEB1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2ADBC624" w14:textId="77777777" w:rsidTr="005F45A7">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7CD329C2"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4BF5ED7D" w14:textId="20F64FB6"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Work</w:t>
            </w:r>
            <w:r w:rsidR="00D34740" w:rsidRPr="005F45A7">
              <w:rPr>
                <w:rFonts w:cs="Times New Roman"/>
                <w:color w:val="000000"/>
                <w:lang w:eastAsia="en-GB"/>
              </w:rPr>
              <w:t xml:space="preserve"> </w:t>
            </w:r>
            <w:r w:rsidRPr="005F45A7">
              <w:rPr>
                <w:rFonts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34A4B18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C000"/>
            <w:noWrap/>
            <w:vAlign w:val="bottom"/>
            <w:hideMark/>
          </w:tcPr>
          <w:p w14:paraId="2D3C193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5A0D04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5646BC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6887552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26C5A741" w14:textId="77777777" w:rsidTr="005F45A7">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4C4D134B"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3E9F14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00D9D9C8"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40848ED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868CF5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E7C80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1F1729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7042C5F9"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7AE3C64"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24F6F4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00000"/>
          </w:tcPr>
          <w:p w14:paraId="7C6D551A"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966C3E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67544E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BE1850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5B8091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0CAF39E1"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CB1C7E2"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B4E0EA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94150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37F8500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2371F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6D6EA0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DDC6F8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3FD44E9D"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94C2A41"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9FDDE5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00000"/>
          </w:tcPr>
          <w:p w14:paraId="5B46E068"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91BCFD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B01780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267316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BDE725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23A29A13"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ED8B7EC"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B14BF3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15F94D39"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81430E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9A4629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267D4F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3461B67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39605BFA" w14:textId="77777777" w:rsidTr="005F45A7">
        <w:trPr>
          <w:trHeight w:val="31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2FFD9B60"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2F3E8ED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vAlign w:val="bottom"/>
          </w:tcPr>
          <w:p w14:paraId="0DFB77B9" w14:textId="77777777" w:rsidR="00DF02D9" w:rsidRPr="005F45A7" w:rsidRDefault="00DF02D9" w:rsidP="00895B1A">
            <w:pPr>
              <w:widowControl/>
              <w:suppressAutoHyphens w:val="0"/>
              <w:spacing w:after="0" w:line="240" w:lineRule="auto"/>
              <w:jc w:val="center"/>
              <w:rPr>
                <w:rFonts w:ascii="Myriad Pro" w:hAnsi="Myriad Pro" w:cs="Times New Roman"/>
                <w:color w:val="000000"/>
                <w:sz w:val="24"/>
              </w:rPr>
            </w:pPr>
            <w:r w:rsidRPr="005F45A7">
              <w:rPr>
                <w:rFonts w:ascii="Myriad Pro" w:hAnsi="Myriad Pro" w:cs="Times New Roman"/>
                <w:color w:val="000000"/>
                <w:sz w:val="24"/>
              </w:rPr>
              <w:t> </w:t>
            </w: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032CB9F8" w14:textId="77777777" w:rsidR="00DF02D9" w:rsidRPr="005F45A7" w:rsidRDefault="00DF02D9" w:rsidP="00895B1A">
            <w:pPr>
              <w:widowControl/>
              <w:suppressAutoHyphens w:val="0"/>
              <w:spacing w:after="0" w:line="240" w:lineRule="auto"/>
              <w:jc w:val="center"/>
              <w:rPr>
                <w:rFonts w:ascii="Myriad Pro" w:hAnsi="Myriad Pro" w:cs="Times New Roman"/>
                <w:color w:val="000000"/>
                <w:sz w:val="24"/>
              </w:rPr>
            </w:pPr>
            <w:r w:rsidRPr="005F45A7">
              <w:rPr>
                <w:rFonts w:ascii="Myriad Pro" w:hAnsi="Myriad Pro" w:cs="Times New Roman"/>
                <w:color w:val="000000"/>
                <w:sz w:val="24"/>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65E716B0" w14:textId="77777777" w:rsidR="00DF02D9" w:rsidRPr="005F45A7" w:rsidRDefault="00DF02D9" w:rsidP="00895B1A">
            <w:pPr>
              <w:widowControl/>
              <w:suppressAutoHyphens w:val="0"/>
              <w:spacing w:after="0" w:line="240" w:lineRule="auto"/>
              <w:jc w:val="center"/>
              <w:rPr>
                <w:rFonts w:ascii="Myriad Pro" w:hAnsi="Myriad Pro" w:cs="Times New Roman"/>
                <w:color w:val="000000"/>
                <w:sz w:val="24"/>
              </w:rPr>
            </w:pPr>
            <w:r w:rsidRPr="005F45A7">
              <w:rPr>
                <w:rFonts w:ascii="Myriad Pro" w:hAnsi="Myriad Pro" w:cs="Times New Roman"/>
                <w:color w:val="000000"/>
                <w:sz w:val="24"/>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6D5E5599" w14:textId="77777777" w:rsidR="00DF02D9" w:rsidRPr="005F45A7" w:rsidRDefault="00DF02D9" w:rsidP="00895B1A">
            <w:pPr>
              <w:widowControl/>
              <w:suppressAutoHyphens w:val="0"/>
              <w:spacing w:after="0" w:line="240" w:lineRule="auto"/>
              <w:jc w:val="center"/>
              <w:rPr>
                <w:rFonts w:ascii="Myriad Pro" w:hAnsi="Myriad Pro" w:cs="Times New Roman"/>
                <w:color w:val="000000"/>
                <w:sz w:val="24"/>
              </w:rPr>
            </w:pPr>
            <w:r w:rsidRPr="005F45A7">
              <w:rPr>
                <w:rFonts w:ascii="Myriad Pro" w:hAnsi="Myriad Pro" w:cs="Times New Roman"/>
                <w:color w:val="000000"/>
                <w:sz w:val="24"/>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diagStripe" w:color="auto" w:fill="FFFFFF" w:themeFill="background1"/>
            <w:noWrap/>
            <w:vAlign w:val="bottom"/>
            <w:hideMark/>
          </w:tcPr>
          <w:p w14:paraId="5706C27F" w14:textId="77777777" w:rsidR="00DF02D9" w:rsidRPr="005F45A7" w:rsidRDefault="00DF02D9" w:rsidP="00895B1A">
            <w:pPr>
              <w:widowControl/>
              <w:suppressAutoHyphens w:val="0"/>
              <w:spacing w:after="0" w:line="240" w:lineRule="auto"/>
              <w:jc w:val="center"/>
              <w:rPr>
                <w:rFonts w:ascii="Myriad Pro" w:hAnsi="Myriad Pro" w:cs="Times New Roman"/>
                <w:color w:val="000000"/>
                <w:sz w:val="24"/>
              </w:rPr>
            </w:pPr>
            <w:r w:rsidRPr="005F45A7">
              <w:rPr>
                <w:rFonts w:ascii="Myriad Pro" w:hAnsi="Myriad Pro" w:cs="Times New Roman"/>
                <w:color w:val="000000"/>
                <w:sz w:val="24"/>
              </w:rPr>
              <w:t> </w:t>
            </w:r>
          </w:p>
        </w:tc>
      </w:tr>
      <w:tr w:rsidR="00DF02D9" w:rsidRPr="005F45A7" w14:paraId="11298CA7" w14:textId="77777777" w:rsidTr="005F45A7">
        <w:trPr>
          <w:trHeight w:val="33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40B5577E"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7EA562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3F8577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940FBC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D08B37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11D923A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239DEE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12FFA269" w14:textId="77777777" w:rsidTr="005F45A7">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205ADC0"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EE7526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B500C7C"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8FBD93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00C83F9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D3C30F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92F348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5C2E0999" w14:textId="77777777" w:rsidTr="005F45A7">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406532C"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1B1A9F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7D17AD0"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C000"/>
            <w:noWrap/>
            <w:vAlign w:val="bottom"/>
            <w:hideMark/>
          </w:tcPr>
          <w:p w14:paraId="0A61457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50B3DAF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EE55BE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6002882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4F00BFD8" w14:textId="77777777" w:rsidTr="005F45A7">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6D330CB8"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A7BDC6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CC2B162"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341BDA4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B91182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857710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D97AE2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42C4E7F6"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ACCABB7"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8E47B0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00516709"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DEA786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71A8AE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04F5C3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4F92835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7AD36EF" w14:textId="77777777" w:rsidTr="005F45A7">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70395EC"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F9B322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FDF336A"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0C46D7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AA7F66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8A4792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78C9902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414EF7F0"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B216356"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AECC56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85D5D93"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0DBBED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79355AC7" w14:textId="77777777" w:rsidR="00DF02D9" w:rsidRPr="005F45A7" w:rsidRDefault="00DF02D9" w:rsidP="00895B1A">
            <w:pPr>
              <w:widowControl/>
              <w:suppressAutoHyphens w:val="0"/>
              <w:spacing w:after="0" w:line="240" w:lineRule="auto"/>
              <w:jc w:val="center"/>
              <w:rPr>
                <w:rFonts w:cs="Times New Roman"/>
                <w:color w:val="00B050"/>
                <w:lang w:eastAsia="en-GB"/>
              </w:rPr>
            </w:pPr>
            <w:r w:rsidRPr="005F45A7">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0EE87D3B" w14:textId="77777777" w:rsidR="00DF02D9" w:rsidRPr="005F45A7" w:rsidRDefault="00DF02D9" w:rsidP="00895B1A">
            <w:pPr>
              <w:widowControl/>
              <w:suppressAutoHyphens w:val="0"/>
              <w:spacing w:after="0" w:line="240" w:lineRule="auto"/>
              <w:jc w:val="center"/>
              <w:rPr>
                <w:rFonts w:cs="Times New Roman"/>
                <w:color w:val="00B050"/>
                <w:lang w:eastAsia="en-GB"/>
              </w:rPr>
            </w:pPr>
            <w:r w:rsidRPr="005F45A7">
              <w:rPr>
                <w:rFonts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center"/>
            <w:hideMark/>
          </w:tcPr>
          <w:p w14:paraId="0818FA82" w14:textId="77777777" w:rsidR="00DF02D9" w:rsidRPr="005F45A7" w:rsidRDefault="00DF02D9" w:rsidP="00895B1A">
            <w:pPr>
              <w:widowControl/>
              <w:suppressAutoHyphens w:val="0"/>
              <w:spacing w:after="0" w:line="240" w:lineRule="auto"/>
              <w:jc w:val="center"/>
              <w:rPr>
                <w:rFonts w:cs="Times New Roman"/>
                <w:color w:val="00B050"/>
                <w:lang w:eastAsia="en-GB"/>
              </w:rPr>
            </w:pPr>
            <w:r w:rsidRPr="005F45A7">
              <w:rPr>
                <w:rFonts w:cs="Times New Roman"/>
                <w:color w:val="00B050"/>
                <w:lang w:eastAsia="en-GB"/>
              </w:rPr>
              <w:t> </w:t>
            </w:r>
          </w:p>
        </w:tc>
      </w:tr>
      <w:tr w:rsidR="00DF02D9" w:rsidRPr="005F45A7" w14:paraId="11710F49"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D8A7A32"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47E98F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57C03764"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419DF7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6F9F3797" w14:textId="77777777" w:rsidR="00DF02D9" w:rsidRPr="005F45A7" w:rsidRDefault="00DF02D9" w:rsidP="00895B1A">
            <w:pPr>
              <w:widowControl/>
              <w:suppressAutoHyphens w:val="0"/>
              <w:spacing w:after="0" w:line="240" w:lineRule="auto"/>
              <w:jc w:val="center"/>
              <w:rPr>
                <w:rFonts w:cs="Times New Roman"/>
                <w:color w:val="00B050"/>
                <w:lang w:eastAsia="en-GB"/>
              </w:rPr>
            </w:pPr>
            <w:r w:rsidRPr="005F45A7">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A2487C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7678C02A"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CBC150F" w14:textId="77777777" w:rsidTr="005F45A7">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9641918"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02382B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D597306"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B9EAC4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41433C3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B69D48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60B5B5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776374FE" w14:textId="77777777" w:rsidTr="005F45A7">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680D557"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7852BD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AF0C581"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31D5C83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16FDF6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BD9FC9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4BCBB2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06CCE961" w14:textId="77777777" w:rsidTr="005F45A7">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D8C2138"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3E33F6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0034482"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867E1A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448A6D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5236B38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7933E6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3E00EB78" w14:textId="77777777" w:rsidTr="005F45A7">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E21F56B"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77D0F92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26F2A9E1"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C000"/>
            <w:noWrap/>
            <w:vAlign w:val="bottom"/>
            <w:hideMark/>
          </w:tcPr>
          <w:p w14:paraId="466BE17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3B4C1E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87FC5E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18D8535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17EF8870" w14:textId="77777777" w:rsidTr="005F45A7">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44563867"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3ABEB12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Distribution of revenues (#5.1)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409E973B"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F1C948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267A5CE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3F49DDC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FCF1F4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09C60CAD" w14:textId="77777777" w:rsidTr="005F45A7">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B51F984"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2DE2C1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04D96B0"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4B9ACA5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0C51FEE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0AC580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EB8FCC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426A1F11" w14:textId="77777777" w:rsidTr="005F45A7">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0DE10D09"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0DBDD0F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46072EA9"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C95DE7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C834EBF"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470C9F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46017EC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468441A" w14:textId="77777777" w:rsidTr="005F45A7">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7C36A989"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812EF3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Mandatory social expenditures (#6.1.a)</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9701A52"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0CAEB9F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2621347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E5824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9C2E21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78D68318" w14:textId="77777777" w:rsidTr="005F45A7">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0978AF"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9677FE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Discretionary social expenditures (#6.1.b)</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12A1BE52"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20F12B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74D3EB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96C86BD"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0379F5C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7083C79" w14:textId="77777777" w:rsidTr="005F45A7">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8702B93"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624489F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7A6E4B61"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44EC95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0D8EE74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3E4A313B"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3F4F7A01"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067CE5A2" w14:textId="77777777" w:rsidTr="005F45A7">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4204CC11"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4D15876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4DF89BD0"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557E5E2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92D050"/>
            <w:noWrap/>
            <w:vAlign w:val="bottom"/>
            <w:hideMark/>
          </w:tcPr>
          <w:p w14:paraId="6BEE7446"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5EFA28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453B140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3676CA8" w14:textId="77777777" w:rsidTr="005F45A7">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0822018"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B15DA97"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306F8A3B"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216C15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03851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68150C0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A7C737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519A5E66" w14:textId="77777777" w:rsidTr="005F45A7">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1C0589A"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B13D12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624CA541"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16C9CC2"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EC698C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3DF6C53"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7D4B6CD0"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079A8BD0" w14:textId="77777777" w:rsidTr="005F45A7">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A244C31"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D8BC52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6180CDE"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3B258FE"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4C0CF8E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8B51CE5"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7223D6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314468FE" w14:textId="77777777" w:rsidTr="005F45A7">
        <w:trPr>
          <w:trHeight w:val="300"/>
        </w:trPr>
        <w:tc>
          <w:tcPr>
            <w:tcW w:w="2127" w:type="dxa"/>
            <w:vMerge/>
            <w:tcBorders>
              <w:top w:val="single" w:sz="2" w:space="0" w:color="A6A6A6" w:themeColor="background1" w:themeShade="A6"/>
              <w:left w:val="single" w:sz="12" w:space="0" w:color="auto"/>
              <w:bottom w:val="double" w:sz="4" w:space="0" w:color="auto"/>
              <w:right w:val="single" w:sz="2" w:space="0" w:color="A6A6A6" w:themeColor="background1" w:themeShade="A6"/>
            </w:tcBorders>
            <w:vAlign w:val="center"/>
            <w:hideMark/>
          </w:tcPr>
          <w:p w14:paraId="4EF2538C" w14:textId="77777777" w:rsidR="00DF02D9" w:rsidRPr="005F45A7" w:rsidRDefault="00DF02D9" w:rsidP="00895B1A">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double" w:sz="4" w:space="0" w:color="auto"/>
              <w:right w:val="single" w:sz="2" w:space="0" w:color="A6A6A6" w:themeColor="background1" w:themeShade="A6"/>
            </w:tcBorders>
            <w:shd w:val="clear" w:color="auto" w:fill="auto"/>
            <w:noWrap/>
            <w:vAlign w:val="bottom"/>
            <w:hideMark/>
          </w:tcPr>
          <w:p w14:paraId="417C096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double" w:sz="4" w:space="0" w:color="auto"/>
              <w:right w:val="single" w:sz="2" w:space="0" w:color="A6A6A6" w:themeColor="background1" w:themeShade="A6"/>
            </w:tcBorders>
          </w:tcPr>
          <w:p w14:paraId="4E81DC08"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double" w:sz="4" w:space="0" w:color="auto"/>
              <w:right w:val="single" w:sz="2" w:space="0" w:color="A6A6A6" w:themeColor="background1" w:themeShade="A6"/>
            </w:tcBorders>
            <w:shd w:val="clear" w:color="auto" w:fill="auto"/>
            <w:noWrap/>
            <w:vAlign w:val="bottom"/>
            <w:hideMark/>
          </w:tcPr>
          <w:p w14:paraId="66E30568"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double" w:sz="4" w:space="0" w:color="auto"/>
              <w:right w:val="single" w:sz="2" w:space="0" w:color="A6A6A6" w:themeColor="background1" w:themeShade="A6"/>
            </w:tcBorders>
            <w:shd w:val="clear" w:color="auto" w:fill="92D050"/>
            <w:noWrap/>
            <w:vAlign w:val="bottom"/>
            <w:hideMark/>
          </w:tcPr>
          <w:p w14:paraId="2E535334"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double" w:sz="4" w:space="0" w:color="auto"/>
              <w:right w:val="single" w:sz="2" w:space="0" w:color="A6A6A6" w:themeColor="background1" w:themeShade="A6"/>
            </w:tcBorders>
            <w:shd w:val="clear" w:color="000000" w:fill="FFFFFF" w:themeFill="background1"/>
            <w:noWrap/>
            <w:vAlign w:val="bottom"/>
            <w:hideMark/>
          </w:tcPr>
          <w:p w14:paraId="4DABC55C"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double" w:sz="4" w:space="0" w:color="auto"/>
              <w:right w:val="single" w:sz="12" w:space="0" w:color="auto"/>
            </w:tcBorders>
            <w:shd w:val="clear" w:color="auto" w:fill="auto"/>
            <w:noWrap/>
            <w:vAlign w:val="bottom"/>
            <w:hideMark/>
          </w:tcPr>
          <w:p w14:paraId="51BF4199" w14:textId="77777777" w:rsidR="00DF02D9" w:rsidRPr="005F45A7" w:rsidRDefault="00DF02D9" w:rsidP="00895B1A">
            <w:pPr>
              <w:widowControl/>
              <w:suppressAutoHyphens w:val="0"/>
              <w:spacing w:after="0" w:line="240" w:lineRule="auto"/>
              <w:rPr>
                <w:rFonts w:cs="Times New Roman"/>
                <w:color w:val="000000"/>
                <w:lang w:eastAsia="en-GB"/>
              </w:rPr>
            </w:pPr>
            <w:r w:rsidRPr="005F45A7">
              <w:rPr>
                <w:rFonts w:cs="Times New Roman"/>
                <w:color w:val="000000"/>
                <w:lang w:eastAsia="en-GB"/>
              </w:rPr>
              <w:t> </w:t>
            </w:r>
          </w:p>
        </w:tc>
      </w:tr>
      <w:tr w:rsidR="00DF02D9" w:rsidRPr="005F45A7" w14:paraId="6A77CE03" w14:textId="77777777" w:rsidTr="005F45A7">
        <w:trPr>
          <w:trHeight w:val="430"/>
        </w:trPr>
        <w:tc>
          <w:tcPr>
            <w:tcW w:w="2127" w:type="dxa"/>
            <w:tcBorders>
              <w:top w:val="double" w:sz="4" w:space="0" w:color="auto"/>
              <w:left w:val="single" w:sz="12" w:space="0" w:color="auto"/>
              <w:bottom w:val="single" w:sz="12" w:space="0" w:color="auto"/>
              <w:right w:val="single" w:sz="2" w:space="0" w:color="A6A6A6" w:themeColor="background1" w:themeShade="A6"/>
            </w:tcBorders>
            <w:vAlign w:val="center"/>
          </w:tcPr>
          <w:p w14:paraId="287CAD05" w14:textId="77777777" w:rsidR="00DF02D9" w:rsidRPr="005F45A7" w:rsidRDefault="00DF02D9" w:rsidP="00895B1A">
            <w:pPr>
              <w:widowControl/>
              <w:suppressAutoHyphens w:val="0"/>
              <w:spacing w:after="0" w:line="240" w:lineRule="auto"/>
              <w:rPr>
                <w:rFonts w:cs="Times New Roman"/>
                <w:b/>
                <w:bCs/>
                <w:color w:val="000000"/>
                <w:lang w:eastAsia="en-GB"/>
              </w:rPr>
            </w:pPr>
            <w:r w:rsidRPr="005F45A7">
              <w:rPr>
                <w:rFonts w:cs="Times New Roman"/>
                <w:b/>
                <w:bCs/>
                <w:color w:val="C00000"/>
                <w:lang w:eastAsia="en-GB"/>
              </w:rPr>
              <w:t>Overall assessment</w:t>
            </w:r>
          </w:p>
        </w:tc>
        <w:tc>
          <w:tcPr>
            <w:tcW w:w="4535" w:type="dxa"/>
            <w:gridSpan w:val="4"/>
            <w:tcBorders>
              <w:top w:val="double" w:sz="4" w:space="0" w:color="auto"/>
              <w:left w:val="single" w:sz="2" w:space="0" w:color="A6A6A6" w:themeColor="background1" w:themeShade="A6"/>
              <w:bottom w:val="single" w:sz="12" w:space="0" w:color="auto"/>
              <w:right w:val="single" w:sz="2" w:space="0" w:color="A6A6A6" w:themeColor="background1" w:themeShade="A6"/>
            </w:tcBorders>
            <w:shd w:val="clear" w:color="auto" w:fill="auto"/>
            <w:noWrap/>
            <w:vAlign w:val="center"/>
          </w:tcPr>
          <w:p w14:paraId="52065D00" w14:textId="77777777" w:rsidR="00DF02D9" w:rsidRPr="005F45A7" w:rsidRDefault="00DF02D9" w:rsidP="00895B1A">
            <w:pPr>
              <w:widowControl/>
              <w:suppressAutoHyphens w:val="0"/>
              <w:spacing w:after="0" w:line="240" w:lineRule="auto"/>
              <w:rPr>
                <w:rFonts w:cs="Times New Roman"/>
                <w:b/>
                <w:color w:val="000000"/>
                <w:lang w:eastAsia="en-GB"/>
              </w:rPr>
            </w:pPr>
            <w:r w:rsidRPr="005F45A7">
              <w:rPr>
                <w:rFonts w:cs="Times New Roman"/>
                <w:b/>
                <w:color w:val="000000"/>
                <w:lang w:eastAsia="en-GB"/>
              </w:rPr>
              <w:t>Inadequate progress</w:t>
            </w:r>
          </w:p>
        </w:tc>
        <w:tc>
          <w:tcPr>
            <w:tcW w:w="491" w:type="dxa"/>
            <w:tcBorders>
              <w:top w:val="double" w:sz="4" w:space="0" w:color="auto"/>
              <w:left w:val="single" w:sz="2" w:space="0" w:color="A6A6A6" w:themeColor="background1" w:themeShade="A6"/>
              <w:bottom w:val="single" w:sz="12" w:space="0" w:color="auto"/>
              <w:right w:val="single" w:sz="2" w:space="0" w:color="A6A6A6" w:themeColor="background1" w:themeShade="A6"/>
            </w:tcBorders>
            <w:vAlign w:val="center"/>
          </w:tcPr>
          <w:p w14:paraId="592AAE14" w14:textId="77777777" w:rsidR="00DF02D9" w:rsidRPr="005F45A7" w:rsidRDefault="00DF02D9" w:rsidP="00895B1A">
            <w:pPr>
              <w:widowControl/>
              <w:suppressAutoHyphens w:val="0"/>
              <w:spacing w:after="0" w:line="240" w:lineRule="auto"/>
              <w:rPr>
                <w:rFonts w:cs="Times New Roman"/>
                <w:color w:val="000000"/>
                <w:lang w:eastAsia="en-GB"/>
              </w:rPr>
            </w:pPr>
          </w:p>
        </w:tc>
        <w:tc>
          <w:tcPr>
            <w:tcW w:w="532" w:type="dxa"/>
            <w:tcBorders>
              <w:top w:val="double" w:sz="4" w:space="0" w:color="auto"/>
              <w:left w:val="single" w:sz="2" w:space="0" w:color="A6A6A6" w:themeColor="background1" w:themeShade="A6"/>
              <w:bottom w:val="single" w:sz="12" w:space="0" w:color="auto"/>
              <w:right w:val="single" w:sz="2" w:space="0" w:color="A6A6A6" w:themeColor="background1" w:themeShade="A6"/>
            </w:tcBorders>
            <w:shd w:val="clear" w:color="auto" w:fill="auto"/>
            <w:noWrap/>
            <w:vAlign w:val="center"/>
          </w:tcPr>
          <w:p w14:paraId="55651061" w14:textId="77777777" w:rsidR="00DF02D9" w:rsidRPr="005F45A7" w:rsidRDefault="00DF02D9" w:rsidP="00895B1A">
            <w:pPr>
              <w:widowControl/>
              <w:suppressAutoHyphens w:val="0"/>
              <w:spacing w:after="0" w:line="240" w:lineRule="auto"/>
              <w:rPr>
                <w:rFonts w:cs="Times New Roman"/>
                <w:color w:val="000000"/>
                <w:lang w:eastAsia="en-GB"/>
              </w:rPr>
            </w:pPr>
          </w:p>
        </w:tc>
        <w:tc>
          <w:tcPr>
            <w:tcW w:w="491" w:type="dxa"/>
            <w:tcBorders>
              <w:top w:val="double" w:sz="4" w:space="0" w:color="auto"/>
              <w:left w:val="single" w:sz="2" w:space="0" w:color="A6A6A6" w:themeColor="background1" w:themeShade="A6"/>
              <w:bottom w:val="single" w:sz="12" w:space="0" w:color="auto"/>
              <w:right w:val="single" w:sz="2" w:space="0" w:color="A6A6A6" w:themeColor="background1" w:themeShade="A6"/>
            </w:tcBorders>
            <w:shd w:val="clear" w:color="auto" w:fill="auto"/>
            <w:noWrap/>
            <w:vAlign w:val="center"/>
          </w:tcPr>
          <w:p w14:paraId="21322E49" w14:textId="77777777" w:rsidR="00DF02D9" w:rsidRPr="005F45A7" w:rsidRDefault="00DF02D9" w:rsidP="00895B1A">
            <w:pPr>
              <w:widowControl/>
              <w:suppressAutoHyphens w:val="0"/>
              <w:spacing w:after="0" w:line="240" w:lineRule="auto"/>
              <w:rPr>
                <w:rFonts w:cs="Times New Roman"/>
                <w:color w:val="000000"/>
                <w:lang w:eastAsia="en-GB"/>
              </w:rPr>
            </w:pPr>
          </w:p>
        </w:tc>
        <w:tc>
          <w:tcPr>
            <w:tcW w:w="470" w:type="dxa"/>
            <w:tcBorders>
              <w:top w:val="double" w:sz="4" w:space="0" w:color="auto"/>
              <w:left w:val="single" w:sz="2" w:space="0" w:color="A6A6A6" w:themeColor="background1" w:themeShade="A6"/>
              <w:bottom w:val="single" w:sz="12" w:space="0" w:color="auto"/>
              <w:right w:val="single" w:sz="2" w:space="0" w:color="A6A6A6" w:themeColor="background1" w:themeShade="A6"/>
            </w:tcBorders>
            <w:shd w:val="clear" w:color="000000" w:fill="FFFFFF" w:themeFill="background1"/>
            <w:noWrap/>
            <w:vAlign w:val="center"/>
          </w:tcPr>
          <w:p w14:paraId="1D266037" w14:textId="77777777" w:rsidR="00DF02D9" w:rsidRPr="005F45A7" w:rsidRDefault="00DF02D9" w:rsidP="00895B1A">
            <w:pPr>
              <w:widowControl/>
              <w:suppressAutoHyphens w:val="0"/>
              <w:spacing w:after="0" w:line="240" w:lineRule="auto"/>
              <w:rPr>
                <w:rFonts w:cs="Times New Roman"/>
                <w:color w:val="000000"/>
                <w:lang w:eastAsia="en-GB"/>
              </w:rPr>
            </w:pPr>
          </w:p>
        </w:tc>
        <w:tc>
          <w:tcPr>
            <w:tcW w:w="421" w:type="dxa"/>
            <w:tcBorders>
              <w:top w:val="double" w:sz="4" w:space="0" w:color="auto"/>
              <w:left w:val="single" w:sz="2" w:space="0" w:color="A6A6A6" w:themeColor="background1" w:themeShade="A6"/>
              <w:bottom w:val="single" w:sz="12" w:space="0" w:color="auto"/>
              <w:right w:val="single" w:sz="12" w:space="0" w:color="auto"/>
            </w:tcBorders>
            <w:shd w:val="clear" w:color="auto" w:fill="auto"/>
            <w:noWrap/>
            <w:vAlign w:val="center"/>
          </w:tcPr>
          <w:p w14:paraId="6445F293" w14:textId="77777777" w:rsidR="00DF02D9" w:rsidRPr="005F45A7" w:rsidRDefault="00DF02D9" w:rsidP="00895B1A">
            <w:pPr>
              <w:widowControl/>
              <w:suppressAutoHyphens w:val="0"/>
              <w:spacing w:after="0" w:line="240" w:lineRule="auto"/>
              <w:rPr>
                <w:rFonts w:cs="Times New Roman"/>
                <w:color w:val="000000"/>
                <w:lang w:eastAsia="en-GB"/>
              </w:rPr>
            </w:pPr>
          </w:p>
        </w:tc>
      </w:tr>
    </w:tbl>
    <w:p w14:paraId="2129D96A" w14:textId="2F1A15F8" w:rsidR="00AE7E56" w:rsidRPr="005F45A7" w:rsidRDefault="00DF02D9" w:rsidP="00AE7E56">
      <w:pPr>
        <w:rPr>
          <w:rFonts w:asciiTheme="majorHAnsi" w:hAnsiTheme="majorHAnsi"/>
          <w:lang w:bidi="en-US"/>
        </w:rPr>
      </w:pPr>
      <w:r w:rsidRPr="005F45A7">
        <w:rPr>
          <w:noProof/>
          <w:lang w:val="en-AU" w:eastAsia="en-AU"/>
        </w:rPr>
        <w:drawing>
          <wp:inline distT="0" distB="0" distL="0" distR="0" wp14:anchorId="795174D6" wp14:editId="4FAE0DA2">
            <wp:extent cx="3642360" cy="2940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2421" cy="2956234"/>
                    </a:xfrm>
                    <a:prstGeom prst="rect">
                      <a:avLst/>
                    </a:prstGeom>
                    <a:noFill/>
                    <a:ln>
                      <a:noFill/>
                    </a:ln>
                  </pic:spPr>
                </pic:pic>
              </a:graphicData>
            </a:graphic>
          </wp:inline>
        </w:drawing>
      </w:r>
    </w:p>
    <w:p w14:paraId="48709D34" w14:textId="7F2FAF1B" w:rsidR="004A11BE" w:rsidRPr="005F45A7" w:rsidRDefault="00AE7E56" w:rsidP="002D3B30">
      <w:pPr>
        <w:pStyle w:val="Heading2"/>
        <w:rPr>
          <w:rFonts w:asciiTheme="majorHAnsi" w:hAnsiTheme="majorHAnsi"/>
          <w:lang w:bidi="en-US"/>
        </w:rPr>
      </w:pPr>
      <w:bookmarkStart w:id="3" w:name="_Toc473663949"/>
      <w:r w:rsidRPr="005F45A7">
        <w:rPr>
          <w:rFonts w:asciiTheme="majorHAnsi" w:hAnsiTheme="majorHAnsi"/>
          <w:lang w:bidi="en-US"/>
        </w:rPr>
        <w:t>Corrective Actions</w:t>
      </w:r>
      <w:bookmarkEnd w:id="3"/>
    </w:p>
    <w:p w14:paraId="483E27A7" w14:textId="77777777" w:rsidR="00CC148C" w:rsidRPr="005F45A7" w:rsidRDefault="00CC148C" w:rsidP="00CC148C">
      <w:pPr>
        <w:tabs>
          <w:tab w:val="right" w:pos="993"/>
        </w:tabs>
        <w:spacing w:after="0"/>
        <w:rPr>
          <w:rFonts w:asciiTheme="majorHAnsi" w:eastAsia="Calibri" w:hAnsiTheme="majorHAnsi"/>
          <w:b/>
        </w:rPr>
      </w:pPr>
      <w:r w:rsidRPr="005F45A7">
        <w:rPr>
          <w:rFonts w:asciiTheme="majorHAnsi" w:hAnsiTheme="majorHAnsi"/>
        </w:rPr>
        <w:t>The EITI Board agreed the following corrective actions to</w:t>
      </w:r>
      <w:r w:rsidRPr="005F45A7">
        <w:rPr>
          <w:rFonts w:asciiTheme="majorHAnsi" w:eastAsia="Calibri" w:hAnsiTheme="majorHAnsi"/>
          <w:b/>
        </w:rPr>
        <w:t xml:space="preserve"> </w:t>
      </w:r>
      <w:r w:rsidRPr="005F45A7">
        <w:rPr>
          <w:rFonts w:asciiTheme="majorHAnsi" w:eastAsia="Calibri" w:hAnsiTheme="majorHAnsi"/>
        </w:rPr>
        <w:t>be undertaken by Solomon Islands. Progress in addressing these corrective actions will be assessed</w:t>
      </w:r>
      <w:r w:rsidRPr="005F45A7">
        <w:rPr>
          <w:rFonts w:asciiTheme="majorHAnsi" w:eastAsia="Calibri" w:hAnsiTheme="majorHAnsi"/>
          <w:b/>
        </w:rPr>
        <w:t xml:space="preserve"> </w:t>
      </w:r>
      <w:r w:rsidRPr="005F45A7">
        <w:rPr>
          <w:rFonts w:asciiTheme="majorHAnsi" w:eastAsia="Calibri" w:hAnsiTheme="majorHAnsi"/>
        </w:rPr>
        <w:t>in a second Validation commencing on &lt;</w:t>
      </w:r>
      <w:r w:rsidRPr="005F45A7">
        <w:rPr>
          <w:rFonts w:asciiTheme="majorHAnsi" w:eastAsia="Calibri" w:hAnsiTheme="majorHAnsi"/>
          <w:color w:val="FF0000"/>
        </w:rPr>
        <w:t>date of Board decision + 10 months</w:t>
      </w:r>
      <w:r w:rsidRPr="005F45A7">
        <w:rPr>
          <w:rFonts w:asciiTheme="majorHAnsi" w:eastAsia="Calibri" w:hAnsiTheme="majorHAnsi"/>
        </w:rPr>
        <w:t>&gt;:</w:t>
      </w:r>
    </w:p>
    <w:p w14:paraId="13841EEB" w14:textId="77777777" w:rsidR="00CC148C" w:rsidRPr="005F45A7" w:rsidRDefault="00CC148C" w:rsidP="00CC148C">
      <w:pPr>
        <w:tabs>
          <w:tab w:val="right" w:pos="993"/>
        </w:tabs>
        <w:spacing w:after="0"/>
        <w:rPr>
          <w:rFonts w:asciiTheme="majorHAnsi" w:hAnsiTheme="majorHAnsi"/>
        </w:rPr>
      </w:pPr>
    </w:p>
    <w:p w14:paraId="4EA2CA67" w14:textId="043025AC" w:rsidR="00CC148C" w:rsidRPr="005F45A7" w:rsidRDefault="00CC148C" w:rsidP="00CC148C">
      <w:pPr>
        <w:pStyle w:val="ListParagraph"/>
        <w:numPr>
          <w:ilvl w:val="0"/>
          <w:numId w:val="26"/>
        </w:numPr>
        <w:spacing w:after="120" w:line="276" w:lineRule="auto"/>
        <w:rPr>
          <w:rFonts w:asciiTheme="majorHAnsi" w:eastAsia="Calibri" w:hAnsiTheme="majorHAnsi"/>
          <w:strike/>
        </w:rPr>
      </w:pPr>
      <w:r w:rsidRPr="005F45A7">
        <w:rPr>
          <w:rFonts w:asciiTheme="majorHAnsi" w:eastAsia="Calibri" w:hAnsiTheme="majorHAnsi"/>
        </w:rPr>
        <w:t xml:space="preserve">In accordance with Requirement 1.1, the government must be fully, actively and effectively engaged in the EITI process (Requirement 1.1.c). The government should must also ensure that senior government officials are represented on the SIENSG (Requirement 1.1.d). </w:t>
      </w:r>
      <w:r w:rsidRPr="005F45A7">
        <w:rPr>
          <w:rFonts w:asciiTheme="majorHAnsi" w:eastAsia="Calibri" w:hAnsiTheme="majorHAnsi"/>
          <w:color w:val="000000" w:themeColor="text1"/>
        </w:rPr>
        <w:t xml:space="preserve">In accordance with Requirement 8.3.c, </w:t>
      </w:r>
      <w:r w:rsidR="00EF4A23" w:rsidRPr="005F45A7">
        <w:rPr>
          <w:rFonts w:asciiTheme="majorHAnsi" w:eastAsia="Calibri" w:hAnsiTheme="majorHAnsi"/>
          <w:color w:val="000000" w:themeColor="text1"/>
        </w:rPr>
        <w:t>the</w:t>
      </w:r>
      <w:r w:rsidRPr="005F45A7">
        <w:rPr>
          <w:rFonts w:asciiTheme="majorHAnsi" w:eastAsia="Calibri" w:hAnsiTheme="majorHAnsi"/>
          <w:color w:val="000000" w:themeColor="text1"/>
        </w:rPr>
        <w:t xml:space="preserve"> government constituency is required to disclose a time-bound action plan for addressing the deficiencies in government engagement documented in the initial assessment and the Validator’s Report within three months of Board’s decision, i.e. by </w:t>
      </w:r>
      <w:r w:rsidRPr="005F45A7">
        <w:rPr>
          <w:rFonts w:asciiTheme="majorHAnsi" w:hAnsiTheme="majorHAnsi"/>
        </w:rPr>
        <w:t>&lt;</w:t>
      </w:r>
      <w:r w:rsidRPr="005F45A7">
        <w:rPr>
          <w:rFonts w:asciiTheme="majorHAnsi" w:hAnsiTheme="majorHAnsi"/>
          <w:color w:val="FF0000"/>
        </w:rPr>
        <w:t>from Board decision date</w:t>
      </w:r>
      <w:r w:rsidR="009835B7" w:rsidRPr="005F45A7">
        <w:rPr>
          <w:rFonts w:asciiTheme="majorHAnsi" w:hAnsiTheme="majorHAnsi"/>
          <w:color w:val="FF0000"/>
        </w:rPr>
        <w:t xml:space="preserve"> </w:t>
      </w:r>
      <w:r w:rsidR="009835B7" w:rsidRPr="005F45A7">
        <w:rPr>
          <w:rFonts w:asciiTheme="majorHAnsi" w:eastAsia="Calibri" w:hAnsiTheme="majorHAnsi"/>
          <w:color w:val="FF0000"/>
        </w:rPr>
        <w:t>+ 3 months</w:t>
      </w:r>
      <w:r w:rsidRPr="005F45A7">
        <w:rPr>
          <w:rFonts w:asciiTheme="majorHAnsi" w:hAnsiTheme="majorHAnsi"/>
        </w:rPr>
        <w:t>&gt;.</w:t>
      </w:r>
    </w:p>
    <w:p w14:paraId="563BB1A0" w14:textId="318999CF" w:rsidR="00CC148C" w:rsidRPr="005F45A7" w:rsidRDefault="00CC148C" w:rsidP="00CC148C">
      <w:pPr>
        <w:pStyle w:val="ListParagraph"/>
        <w:numPr>
          <w:ilvl w:val="0"/>
          <w:numId w:val="26"/>
        </w:numPr>
        <w:spacing w:after="120" w:line="276" w:lineRule="auto"/>
        <w:rPr>
          <w:rFonts w:asciiTheme="majorHAnsi" w:eastAsia="Calibri" w:hAnsiTheme="majorHAnsi"/>
          <w:strike/>
        </w:rPr>
      </w:pPr>
      <w:r w:rsidRPr="005F45A7">
        <w:rPr>
          <w:rFonts w:asciiTheme="majorHAnsi" w:eastAsia="Calibri" w:hAnsiTheme="majorHAnsi"/>
        </w:rPr>
        <w:t>In accordance with Requirement 1.2, companies should demonstrate that they are fully, actively and effectively engaged in the EITI process (Requirement 1.2.a). The government must ensure that there is an enabling environment for company participation with regard to relevant laws, regulations, and administrative rules as well as actual practice in implementation of the EITI. The government must ensure that there are no obstacles to company participation in the EITI process (Requirement 1.</w:t>
      </w:r>
      <w:r w:rsidRPr="005F45A7">
        <w:rPr>
          <w:rFonts w:asciiTheme="majorHAnsi" w:eastAsia="Calibri" w:hAnsiTheme="majorHAnsi"/>
          <w:color w:val="000000" w:themeColor="text1"/>
        </w:rPr>
        <w:t xml:space="preserve">2.c). In accordance with Requirement 8.3.c, the company constituency s required to disclose a time-bound action plan for addressing the deficiencies in company engagement documented in the initial assessment and the Validator’s Report within three months of Board’s decision, </w:t>
      </w:r>
      <w:r w:rsidRPr="005F45A7">
        <w:rPr>
          <w:rFonts w:asciiTheme="majorHAnsi" w:eastAsia="Calibri" w:hAnsiTheme="majorHAnsi"/>
          <w:color w:val="FF0000"/>
        </w:rPr>
        <w:t xml:space="preserve">i.e. by </w:t>
      </w:r>
      <w:r w:rsidRPr="005F45A7">
        <w:rPr>
          <w:rFonts w:asciiTheme="majorHAnsi" w:hAnsiTheme="majorHAnsi"/>
        </w:rPr>
        <w:t>&lt;</w:t>
      </w:r>
      <w:r w:rsidRPr="005F45A7">
        <w:rPr>
          <w:rFonts w:asciiTheme="majorHAnsi" w:hAnsiTheme="majorHAnsi"/>
          <w:color w:val="FF0000"/>
        </w:rPr>
        <w:t xml:space="preserve"> from Board decision date</w:t>
      </w:r>
      <w:r w:rsidRPr="005F45A7">
        <w:rPr>
          <w:rFonts w:asciiTheme="majorHAnsi" w:hAnsiTheme="majorHAnsi"/>
        </w:rPr>
        <w:t xml:space="preserve"> </w:t>
      </w:r>
      <w:r w:rsidR="009835B7" w:rsidRPr="005F45A7">
        <w:rPr>
          <w:rFonts w:asciiTheme="majorHAnsi" w:eastAsia="Calibri" w:hAnsiTheme="majorHAnsi"/>
          <w:color w:val="FF0000"/>
        </w:rPr>
        <w:t>+ 3 months</w:t>
      </w:r>
      <w:r w:rsidR="009835B7" w:rsidRPr="005F45A7">
        <w:rPr>
          <w:rFonts w:asciiTheme="majorHAnsi" w:hAnsiTheme="majorHAnsi"/>
        </w:rPr>
        <w:t xml:space="preserve"> </w:t>
      </w:r>
      <w:r w:rsidRPr="005F45A7">
        <w:rPr>
          <w:rFonts w:asciiTheme="majorHAnsi" w:hAnsiTheme="majorHAnsi"/>
        </w:rPr>
        <w:t>&gt;.</w:t>
      </w:r>
    </w:p>
    <w:p w14:paraId="4B1A29A8" w14:textId="00809D71" w:rsidR="00CC148C" w:rsidRPr="005F45A7" w:rsidRDefault="00CC148C" w:rsidP="00CC148C">
      <w:pPr>
        <w:pStyle w:val="ListParagraph"/>
        <w:numPr>
          <w:ilvl w:val="0"/>
          <w:numId w:val="26"/>
        </w:numPr>
        <w:spacing w:after="120" w:line="276" w:lineRule="auto"/>
        <w:rPr>
          <w:rFonts w:asciiTheme="majorHAnsi" w:eastAsia="Calibri" w:hAnsiTheme="majorHAnsi"/>
          <w:strike/>
        </w:rPr>
      </w:pPr>
      <w:r w:rsidRPr="005F45A7">
        <w:rPr>
          <w:rFonts w:asciiTheme="majorHAnsi" w:eastAsia="Calibri" w:hAnsiTheme="majorHAnsi"/>
        </w:rPr>
        <w:lastRenderedPageBreak/>
        <w:t xml:space="preserve">In accordance with Requirement 1.3, the civil society must be fully, actively and effectively engaged in the EITI process. Requirement 1.3 e.ii further requires that stakeholders, including but not limited to members of the SIENSG must be substantially engaged in the design, implementation monitoring and evaluation of the EITI process, and ensure that it contributes to public debate.  </w:t>
      </w:r>
      <w:r w:rsidRPr="005F45A7">
        <w:rPr>
          <w:rFonts w:asciiTheme="majorHAnsi" w:eastAsia="Calibri" w:hAnsiTheme="majorHAnsi"/>
          <w:color w:val="000000" w:themeColor="text1"/>
        </w:rPr>
        <w:t>In accordance with Requirement 8.3.c,</w:t>
      </w:r>
      <w:r w:rsidR="00D34740" w:rsidRPr="005F45A7">
        <w:rPr>
          <w:rFonts w:asciiTheme="majorHAnsi" w:eastAsia="Calibri" w:hAnsiTheme="majorHAnsi"/>
          <w:color w:val="000000" w:themeColor="text1"/>
        </w:rPr>
        <w:t xml:space="preserve"> </w:t>
      </w:r>
      <w:r w:rsidRPr="005F45A7">
        <w:rPr>
          <w:rFonts w:asciiTheme="majorHAnsi" w:eastAsia="Calibri" w:hAnsiTheme="majorHAnsi"/>
          <w:color w:val="000000" w:themeColor="text1"/>
        </w:rPr>
        <w:t xml:space="preserve">civil society constituency is required to disclose a time-bound action plan for addressing the deficiencies in civil society engagement documented in the initial assessment and the Validator’s Report within three months of Board’s decision, i.e. by </w:t>
      </w:r>
      <w:r w:rsidRPr="005F45A7">
        <w:rPr>
          <w:rFonts w:asciiTheme="majorHAnsi" w:hAnsiTheme="majorHAnsi"/>
        </w:rPr>
        <w:t>&lt;</w:t>
      </w:r>
      <w:r w:rsidRPr="005F45A7">
        <w:rPr>
          <w:rFonts w:asciiTheme="majorHAnsi" w:hAnsiTheme="majorHAnsi"/>
          <w:color w:val="FF0000"/>
        </w:rPr>
        <w:t xml:space="preserve"> from Board decision date</w:t>
      </w:r>
      <w:r w:rsidR="009835B7" w:rsidRPr="005F45A7">
        <w:rPr>
          <w:rFonts w:asciiTheme="majorHAnsi" w:hAnsiTheme="majorHAnsi"/>
          <w:color w:val="FF0000"/>
        </w:rPr>
        <w:t xml:space="preserve"> </w:t>
      </w:r>
      <w:r w:rsidR="009835B7" w:rsidRPr="005F45A7">
        <w:rPr>
          <w:rFonts w:asciiTheme="majorHAnsi" w:eastAsia="Calibri" w:hAnsiTheme="majorHAnsi"/>
          <w:color w:val="FF0000"/>
        </w:rPr>
        <w:t>+ 3 months</w:t>
      </w:r>
      <w:r w:rsidRPr="005F45A7">
        <w:rPr>
          <w:rFonts w:asciiTheme="majorHAnsi" w:hAnsiTheme="majorHAnsi"/>
        </w:rPr>
        <w:t xml:space="preserve"> &gt;.</w:t>
      </w:r>
    </w:p>
    <w:p w14:paraId="45BCE667" w14:textId="1FED9B15"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 xml:space="preserve">In accordance with Requirement 1.4.a, the government should ensure that all constituencies are adequately represented by including in the SIENSG all key government agencies and companies. Requirement 1.4.b.i, further requires that members of SIENSG should ensure that they have the capacity to carry out their duties. SIENSG members should ensure that they are able to perform their duties in accordance with their own Terms of Reference. In accordance with Requirement 1.4.vi, the SIENSG should agree and publish its procedures for nominating and changing representatives. This should include ensuring that there is a process for changing group members that respects the principles set out in Requirement 1.4.a. </w:t>
      </w:r>
    </w:p>
    <w:p w14:paraId="7ADFC51F"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color w:val="000000" w:themeColor="text1"/>
        </w:rPr>
        <w:t>In accordance with Requirement 1.5, the SIENSG is required to maintain a current work plan, fully costed and aligned with the reporting and Validation deadlines established by the EITI Board. The work plan must set implementation objectives that are linked to the EITI principles and reflect national priorities for the extractive industries (Requirement 1.5a) and assess and outline plans to address any potential capacity constraints in government agencies, companies and civil society that may be an obstacle to effective EITI implementation (Requirement 1.5.c.i). It should also address the scope of EITI Reporting, including plans for addressing technical aspects of reporting such as comprehensiveness and data reliability (1.5.c.ii). It is also required that the work plan identify and outline plans to address any potential legal or regulatory obstacles to EITI implementation, including any plans to incorporate the EITI Requirements within national legislation or regulation. (Requirement 1.5.c.iii). Lastly, it should outline the SIESNG’s plans for implementing the recommendations from Validation and EITI Reporting (Requirement 1.5.c.iv).</w:t>
      </w:r>
    </w:p>
    <w:p w14:paraId="759A2FF1"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In accordance with Requirement 2.1.a, Solomon Islands must disclose a description of the legal framework and fiscal regime governing the extractive industries. This information must include a summary description of the fiscal devolution, an overview of the relevant laws and regulations, and information on the roles and responsibilities of the relevant government agencies.</w:t>
      </w:r>
    </w:p>
    <w:p w14:paraId="372E3028"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In accordance with Requirement 2.2, Solomon Islands is required to disclose the (i) the technical and financial criteria used  in awarding licenses, (ii) information about the recipient(s) of the license that has been transferred or awarded, including consortium members where applicable, and (iii) any non-trivial deviations from the applicable legal and regulatory framework governing license transfers and awards related to the award or transfer of licenses pertaining to the companies covered in the EITI Report during the accounting period covered by the EITI Report.</w:t>
      </w:r>
    </w:p>
    <w:p w14:paraId="01FA2EE6"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In accordance with Requirement 2.3.b, Solomon Islands is required to maintain a publically available register or cadastre system(s) with the following timely and comprehensive information regarding each of the licenses pertaining to companies covered in the EITI Report: (i) license holder(s), (ii) where collated, coordinates of the license area, (ii) date of application, date of award and duration of the license, (iv) in the case of production licenses, the commodity being produced</w:t>
      </w:r>
      <w:r w:rsidRPr="005F45A7">
        <w:rPr>
          <w:rFonts w:asciiTheme="majorHAnsi" w:eastAsia="Calibri" w:hAnsiTheme="majorHAnsi"/>
          <w:i/>
        </w:rPr>
        <w:t xml:space="preserve">. </w:t>
      </w:r>
      <w:r w:rsidRPr="005F45A7">
        <w:rPr>
          <w:rFonts w:asciiTheme="majorHAnsi" w:eastAsia="Calibri" w:hAnsiTheme="majorHAnsi"/>
        </w:rPr>
        <w:t xml:space="preserve">Any significant legal or </w:t>
      </w:r>
      <w:r w:rsidRPr="005F45A7">
        <w:rPr>
          <w:rFonts w:asciiTheme="majorHAnsi" w:eastAsia="Calibri" w:hAnsiTheme="majorHAnsi"/>
        </w:rPr>
        <w:lastRenderedPageBreak/>
        <w:t>practical barriers preventing such comprehensive disclosure should be documented and explained in the EITI Report, including an account of government plans for seeking to overcome such barriers and the anticipated timescale for achieving them.</w:t>
      </w:r>
    </w:p>
    <w:p w14:paraId="75E5E227"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In accordance with Requirement 2.4.b, EITI Report must document the government’s policy on disclosure of contracts and licenses that govern the exploration and exploitation of oil, gas and minerals. This should include relevant legal provisions, actual disclosure practices and any reforms that are planned or underway. The EITI Report should provide an overview of the contracts and licenses that are publically available, and include a reference or link to the location where these are published.</w:t>
      </w:r>
    </w:p>
    <w:p w14:paraId="0F21DFA5"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 xml:space="preserve">In accordance with Requirement 3.2, Solomon Islands must disclose production data for the fiscal year covered by the EITI Report, including total production volumes and the value of production by commodity, and, when relevant, by state/region. SIESNG should confirm all existing production for all commodities for the year covered by the report. </w:t>
      </w:r>
    </w:p>
    <w:p w14:paraId="218D6F85" w14:textId="77777777" w:rsidR="00CC148C" w:rsidRPr="005F45A7" w:rsidRDefault="00CC148C" w:rsidP="00CC148C">
      <w:pPr>
        <w:pStyle w:val="ListParagraph"/>
        <w:numPr>
          <w:ilvl w:val="0"/>
          <w:numId w:val="26"/>
        </w:numPr>
        <w:spacing w:after="120" w:line="276" w:lineRule="auto"/>
        <w:rPr>
          <w:rFonts w:asciiTheme="majorHAnsi" w:eastAsia="Calibri" w:hAnsiTheme="majorHAnsi"/>
        </w:rPr>
      </w:pPr>
      <w:r w:rsidRPr="005F45A7">
        <w:rPr>
          <w:rFonts w:asciiTheme="majorHAnsi" w:eastAsia="Calibri" w:hAnsiTheme="majorHAnsi"/>
        </w:rPr>
        <w:t xml:space="preserve">In accordance with Requirement 3.3, Solomon Islands must disclose export data for the fiscal year covered by the EITI Report, including total export volumes and the value of exports by commodity, and, when relevant, by state/region of origin. SIESNG should confirm all existing exports for all commodities for the year covered by the report. </w:t>
      </w:r>
    </w:p>
    <w:p w14:paraId="49FC0C18" w14:textId="01C80417" w:rsidR="00CC148C" w:rsidRPr="005F45A7" w:rsidRDefault="00CC148C" w:rsidP="00CC148C">
      <w:pPr>
        <w:pStyle w:val="ListParagraph"/>
        <w:numPr>
          <w:ilvl w:val="0"/>
          <w:numId w:val="26"/>
        </w:numPr>
        <w:spacing w:after="120" w:line="276" w:lineRule="auto"/>
        <w:rPr>
          <w:rFonts w:asciiTheme="majorHAnsi" w:eastAsia="Calibri" w:hAnsiTheme="majorHAnsi"/>
          <w:strike/>
        </w:rPr>
      </w:pPr>
      <w:r w:rsidRPr="005F45A7">
        <w:rPr>
          <w:rFonts w:asciiTheme="majorHAnsi" w:eastAsia="Calibri" w:hAnsiTheme="majorHAnsi"/>
        </w:rPr>
        <w:t xml:space="preserve">In accordance with Requirement 4.1.c, Solomon Islands must provide a comprehensive reconciliation of government revenues and company payments, in accordance with the agreed scope. All companies making material payments to the government are required to comprehensively disclose these payments in accordance with the agreed scope. All government entities including provincial governments receiving </w:t>
      </w:r>
      <w:r w:rsidRPr="005F45A7">
        <w:rPr>
          <w:rFonts w:asciiTheme="majorHAnsi" w:eastAsia="Calibri" w:hAnsiTheme="majorHAnsi"/>
          <w:color w:val="000000" w:themeColor="text1"/>
        </w:rPr>
        <w:t>material revenues are required to comprehensively disclose these revenues in accordance with the agreed scope. In accordance with Requirement 8.3.c, SIENSG is required to disclose a time-bound action plan for addressing the deficiencies in data comprehensiveness documented in the initial assessment and the Validator’s Report within three months of Board’s decision</w:t>
      </w:r>
      <w:r w:rsidRPr="005F45A7">
        <w:rPr>
          <w:rFonts w:asciiTheme="majorHAnsi" w:eastAsia="Calibri" w:hAnsiTheme="majorHAnsi"/>
          <w:color w:val="FF0000"/>
        </w:rPr>
        <w:t xml:space="preserve">, i.e. by </w:t>
      </w:r>
      <w:r w:rsidRPr="005F45A7">
        <w:rPr>
          <w:rFonts w:asciiTheme="majorHAnsi" w:hAnsiTheme="majorHAnsi"/>
        </w:rPr>
        <w:t>&lt;</w:t>
      </w:r>
      <w:r w:rsidRPr="005F45A7">
        <w:rPr>
          <w:rFonts w:asciiTheme="majorHAnsi" w:hAnsiTheme="majorHAnsi"/>
          <w:color w:val="FF0000"/>
        </w:rPr>
        <w:t xml:space="preserve"> from Board decision date</w:t>
      </w:r>
      <w:r w:rsidRPr="005F45A7">
        <w:rPr>
          <w:rFonts w:asciiTheme="majorHAnsi" w:hAnsiTheme="majorHAnsi"/>
        </w:rPr>
        <w:t xml:space="preserve"> </w:t>
      </w:r>
      <w:r w:rsidR="00D3439E" w:rsidRPr="005F45A7">
        <w:rPr>
          <w:rFonts w:asciiTheme="majorHAnsi" w:eastAsia="Calibri" w:hAnsiTheme="majorHAnsi"/>
          <w:color w:val="FF0000"/>
        </w:rPr>
        <w:t>+ 3 months</w:t>
      </w:r>
      <w:r w:rsidR="00D3439E" w:rsidRPr="005F45A7">
        <w:rPr>
          <w:rFonts w:asciiTheme="majorHAnsi" w:hAnsiTheme="majorHAnsi"/>
        </w:rPr>
        <w:t xml:space="preserve"> </w:t>
      </w:r>
      <w:r w:rsidRPr="005F45A7">
        <w:rPr>
          <w:rFonts w:asciiTheme="majorHAnsi" w:hAnsiTheme="majorHAnsi"/>
        </w:rPr>
        <w:t>&gt;.</w:t>
      </w:r>
    </w:p>
    <w:p w14:paraId="6568D932"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In accordance with Requirement 4.6, it is required that SIENSG establish whether direct payments, within the scope of the agreed benefit streams, from companies to subnational government entities are material. Where material, SIENSG is required to ensure that company payments to subnational government entities and the receipt of these payments are disclosed and reconciled in the EITI Report.</w:t>
      </w:r>
    </w:p>
    <w:p w14:paraId="02614343"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 xml:space="preserve">In accordance with Requirement 4.7, SIENSG is required to agree the level of disaggregation for the publication of data. It is required that EITI data is presented by individual company, government entity and revenue stream. </w:t>
      </w:r>
    </w:p>
    <w:p w14:paraId="685E0AA0" w14:textId="77777777" w:rsidR="00CC148C" w:rsidRPr="005F45A7" w:rsidRDefault="00CC148C" w:rsidP="00E906B0">
      <w:pPr>
        <w:pStyle w:val="ListParagraph"/>
        <w:numPr>
          <w:ilvl w:val="0"/>
          <w:numId w:val="26"/>
        </w:numPr>
        <w:spacing w:after="0" w:line="276" w:lineRule="auto"/>
        <w:rPr>
          <w:rFonts w:asciiTheme="majorHAnsi" w:eastAsia="Calibri" w:hAnsiTheme="majorHAnsi"/>
          <w:strike/>
        </w:rPr>
      </w:pPr>
      <w:r w:rsidRPr="005F45A7">
        <w:rPr>
          <w:rFonts w:asciiTheme="majorHAnsi" w:hAnsiTheme="majorHAnsi" w:cstheme="minorHAnsi"/>
        </w:rPr>
        <w:t>In accordance with Requirement 4.9.a, the EITI requires an assessment of whether the payments and revenues are subject to credible, independent audit, applying international auditing standards. SIESNG should comply with the following:</w:t>
      </w:r>
    </w:p>
    <w:p w14:paraId="7ACA792F" w14:textId="04F5E0C0" w:rsidR="00CC148C" w:rsidRPr="005F45A7" w:rsidRDefault="00CC148C" w:rsidP="00E906B0">
      <w:pPr>
        <w:pStyle w:val="ListParagraph"/>
        <w:numPr>
          <w:ilvl w:val="1"/>
          <w:numId w:val="26"/>
        </w:numPr>
        <w:spacing w:after="0" w:line="276" w:lineRule="auto"/>
        <w:rPr>
          <w:rFonts w:asciiTheme="majorHAnsi" w:eastAsia="Calibri" w:hAnsiTheme="majorHAnsi"/>
          <w:strike/>
        </w:rPr>
      </w:pPr>
      <w:r w:rsidRPr="005F45A7">
        <w:rPr>
          <w:rFonts w:asciiTheme="majorHAnsi" w:hAnsiTheme="majorHAnsi" w:cstheme="minorHAnsi"/>
        </w:rPr>
        <w:t>Payments and revenues should be reconciled by a credible, independent administrator, applying international auditing standards, and with publication of the administrator’s opinion regarding the reconciliation including discrepancies, should any be identified (#4.9b)</w:t>
      </w:r>
    </w:p>
    <w:p w14:paraId="449807D8" w14:textId="77777777" w:rsidR="00CC148C" w:rsidRPr="005F45A7" w:rsidRDefault="00CC148C" w:rsidP="00E906B0">
      <w:pPr>
        <w:pStyle w:val="ListParagraph"/>
        <w:numPr>
          <w:ilvl w:val="1"/>
          <w:numId w:val="26"/>
        </w:numPr>
        <w:spacing w:after="0" w:line="276" w:lineRule="auto"/>
        <w:rPr>
          <w:rFonts w:asciiTheme="majorHAnsi" w:eastAsia="Calibri" w:hAnsiTheme="majorHAnsi"/>
          <w:strike/>
          <w:lang w:bidi="en-US"/>
        </w:rPr>
      </w:pPr>
      <w:r w:rsidRPr="005F45A7">
        <w:rPr>
          <w:rFonts w:asciiTheme="majorHAnsi" w:eastAsia="Calibri" w:hAnsiTheme="majorHAnsi" w:cs="MyriadPro-Regular"/>
        </w:rPr>
        <w:t>The reconciliation of company payments and government revenues must be undertaken by an Independent Administrator applying international professional standards (#4.9.b.1)</w:t>
      </w:r>
    </w:p>
    <w:p w14:paraId="0321F695" w14:textId="5AB30578" w:rsidR="00CC148C" w:rsidRPr="005F45A7" w:rsidRDefault="00CC148C" w:rsidP="005F45A7">
      <w:pPr>
        <w:spacing w:after="0"/>
        <w:ind w:left="357"/>
        <w:rPr>
          <w:rFonts w:asciiTheme="majorHAnsi" w:eastAsia="Calibri" w:hAnsiTheme="majorHAnsi"/>
          <w:strike/>
        </w:rPr>
      </w:pPr>
      <w:r w:rsidRPr="005F45A7">
        <w:rPr>
          <w:rFonts w:asciiTheme="majorHAnsi" w:eastAsia="Calibri" w:hAnsiTheme="majorHAnsi"/>
          <w:color w:val="000000" w:themeColor="text1"/>
        </w:rPr>
        <w:t>In accordance with Requirement 8.3.c, SIENSG is required to disclose a time-bound action plan for addressing the deficiencies in data quality documented in the initial assessment and the Validator’s Report within three months of Board’s decision</w:t>
      </w:r>
      <w:r w:rsidRPr="005F45A7">
        <w:rPr>
          <w:rFonts w:asciiTheme="majorHAnsi" w:eastAsia="Calibri" w:hAnsiTheme="majorHAnsi"/>
          <w:color w:val="FF0000"/>
        </w:rPr>
        <w:t xml:space="preserve">, i.e. by </w:t>
      </w:r>
      <w:r w:rsidRPr="005F45A7">
        <w:rPr>
          <w:rFonts w:asciiTheme="majorHAnsi" w:hAnsiTheme="majorHAnsi"/>
        </w:rPr>
        <w:t>&lt;</w:t>
      </w:r>
      <w:r w:rsidRPr="005F45A7">
        <w:rPr>
          <w:rFonts w:asciiTheme="majorHAnsi" w:hAnsiTheme="majorHAnsi"/>
          <w:color w:val="FF0000"/>
        </w:rPr>
        <w:t>from Board decision date</w:t>
      </w:r>
      <w:r w:rsidR="00D3439E" w:rsidRPr="005F45A7">
        <w:rPr>
          <w:rFonts w:asciiTheme="majorHAnsi" w:hAnsiTheme="majorHAnsi"/>
          <w:color w:val="FF0000"/>
        </w:rPr>
        <w:t xml:space="preserve"> </w:t>
      </w:r>
      <w:r w:rsidR="00D3439E" w:rsidRPr="005F45A7">
        <w:rPr>
          <w:rFonts w:asciiTheme="majorHAnsi" w:eastAsia="Calibri" w:hAnsiTheme="majorHAnsi"/>
          <w:color w:val="FF0000"/>
        </w:rPr>
        <w:t>+ 3 months</w:t>
      </w:r>
      <w:r w:rsidR="00D3439E" w:rsidRPr="005F45A7">
        <w:rPr>
          <w:rFonts w:asciiTheme="majorHAnsi" w:hAnsiTheme="majorHAnsi"/>
        </w:rPr>
        <w:t xml:space="preserve"> </w:t>
      </w:r>
      <w:r w:rsidRPr="005F45A7">
        <w:rPr>
          <w:rFonts w:asciiTheme="majorHAnsi" w:hAnsiTheme="majorHAnsi"/>
        </w:rPr>
        <w:t>&gt;.</w:t>
      </w:r>
    </w:p>
    <w:p w14:paraId="48FD5977" w14:textId="77777777" w:rsidR="00CC148C" w:rsidRPr="005F45A7" w:rsidRDefault="00CC148C" w:rsidP="00E906B0">
      <w:pPr>
        <w:pStyle w:val="ListParagraph"/>
        <w:numPr>
          <w:ilvl w:val="0"/>
          <w:numId w:val="26"/>
        </w:numPr>
        <w:spacing w:before="120" w:after="120" w:line="276" w:lineRule="auto"/>
        <w:ind w:left="357" w:hanging="357"/>
        <w:rPr>
          <w:rFonts w:asciiTheme="majorHAnsi" w:hAnsiTheme="majorHAnsi" w:cstheme="minorHAnsi"/>
        </w:rPr>
      </w:pPr>
      <w:r w:rsidRPr="005F45A7">
        <w:rPr>
          <w:rFonts w:asciiTheme="majorHAnsi" w:hAnsiTheme="majorHAnsi" w:cstheme="minorHAnsi"/>
        </w:rPr>
        <w:t>In accordance with Requirement 5.1.a, Solomon Islands should indicate which extractive industry revenues, whether cash or in kind, are recorded in the national budget. Where revenues are not recorded in the national budget, the allocation of these revenues must be explained, with links provided to relevant financial reports as applicable, e.g., sovereign wealth and development funds, subnational governments, state-owned enterprises, and other extra-budgetary entities.</w:t>
      </w:r>
    </w:p>
    <w:p w14:paraId="3A5E11EF"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 xml:space="preserve">In accordance with Requirement 5.2.a, Solomon Islands should disclose material transfers between national and subnational government entities, as well as any discrepancies between the transfer amount calculated in accordance with the relevant sharing formula and the actual amount transferred.  between the central government and each relevant subnational entity. Furthermore, SIESNG should disaggregate between payments made to landowners and provincial governments.  </w:t>
      </w:r>
    </w:p>
    <w:p w14:paraId="45E2D74A"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In accordance with Requirement 6.1.a, Solomon Islands must disclose and, where possible, reconcile social expenditures. Where such benefits are provided in-kind, it is required that Solomon Islands disclose the nature and the deemed value of the in kind transaction. Where the beneficiary of the mandated social expenditure is a third party, i.e. not a government agency, it is required that the name and function of the beneficiary be disclosed. Where reconciliation is not feasible, SIESNG should provide unilateral company and/or government disclosures of these transactions.</w:t>
      </w:r>
    </w:p>
    <w:p w14:paraId="2A6A0714"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In accordance with Requirement 6.3, Solomon Islands must disclose information about the contribution of the extractive industries to the economy for the fiscal year covered by the EITI Report, particularly an estimate of informal sector activity (Requirement 6.3.a) and key regions/areas where production is concentrated (Requirement 6.3.e).</w:t>
      </w:r>
    </w:p>
    <w:p w14:paraId="409E51E6"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 xml:space="preserve">In accordance with Requirement 7.3, the multi-stakeholder group is required to take steps to act upon lessons learnt; to identify, investigate and address the causes of any discrepancies; and to consider the recommendations resulting from EITI reporting. </w:t>
      </w:r>
    </w:p>
    <w:p w14:paraId="14B8B0E9" w14:textId="77777777" w:rsidR="00CC148C" w:rsidRPr="005F45A7" w:rsidRDefault="00CC148C" w:rsidP="00CC148C">
      <w:pPr>
        <w:pStyle w:val="ListParagraph"/>
        <w:numPr>
          <w:ilvl w:val="0"/>
          <w:numId w:val="26"/>
        </w:numPr>
        <w:spacing w:after="120" w:line="276" w:lineRule="auto"/>
        <w:rPr>
          <w:rFonts w:asciiTheme="majorHAnsi" w:hAnsiTheme="majorHAnsi" w:cstheme="minorHAnsi"/>
        </w:rPr>
      </w:pPr>
      <w:r w:rsidRPr="005F45A7">
        <w:rPr>
          <w:rFonts w:asciiTheme="majorHAnsi" w:hAnsiTheme="majorHAnsi" w:cstheme="minorHAnsi"/>
        </w:rPr>
        <w:t>In accordance with Requirement 7.4.a.iii, SIENSG’s annual activity reports (APR) should include an overview of their responses to and progress made in addressing the recommendations from reconciliation and Validation in accordance with Requirement 7.3. SIENSG is required to list each recommendation and the corresponding activities that have been undertaken to address the recommendations and the level of progress in implementing each recommendation. Where the government or SIENSG has decided not to implement a recommendation, it is required that the SIENSG documents the rationale in the annual progress report.</w:t>
      </w:r>
      <w:r w:rsidRPr="005F45A7">
        <w:rPr>
          <w:rFonts w:asciiTheme="majorHAnsi" w:hAnsiTheme="majorHAnsi"/>
        </w:rPr>
        <w:t xml:space="preserve"> </w:t>
      </w:r>
      <w:r w:rsidRPr="005F45A7">
        <w:rPr>
          <w:rFonts w:asciiTheme="majorHAnsi" w:hAnsiTheme="majorHAnsi" w:cstheme="minorHAnsi"/>
        </w:rPr>
        <w:t xml:space="preserve"> The APR should also include an assessment of progress with achieving the objectives set out in its work plan, including the impact and outcomes of the stated objectives (Requirement 7.4.a.iv).</w:t>
      </w:r>
    </w:p>
    <w:p w14:paraId="0C6791A5" w14:textId="3BC4D156" w:rsidR="00CC148C" w:rsidRPr="005F45A7" w:rsidRDefault="00CC148C" w:rsidP="00CC148C">
      <w:pPr>
        <w:pStyle w:val="NormalWeb"/>
        <w:ind w:left="360"/>
        <w:rPr>
          <w:rFonts w:asciiTheme="majorHAnsi" w:hAnsiTheme="majorHAnsi"/>
          <w:sz w:val="22"/>
          <w:szCs w:val="22"/>
          <w:lang w:val="en-GB" w:eastAsia="nb-NO"/>
        </w:rPr>
      </w:pPr>
      <w:r w:rsidRPr="005F45A7">
        <w:rPr>
          <w:rFonts w:asciiTheme="majorHAnsi" w:hAnsiTheme="majorHAnsi"/>
          <w:sz w:val="22"/>
          <w:szCs w:val="22"/>
          <w:lang w:val="en-GB" w:eastAsia="nb-NO"/>
        </w:rPr>
        <w:t xml:space="preserve">The </w:t>
      </w:r>
      <w:r w:rsidR="00D34740" w:rsidRPr="005F45A7">
        <w:rPr>
          <w:rFonts w:asciiTheme="majorHAnsi" w:hAnsiTheme="majorHAnsi"/>
          <w:sz w:val="22"/>
          <w:szCs w:val="22"/>
          <w:lang w:val="en-GB" w:eastAsia="nb-NO"/>
        </w:rPr>
        <w:t xml:space="preserve">SIENSG </w:t>
      </w:r>
      <w:r w:rsidRPr="005F45A7">
        <w:rPr>
          <w:rFonts w:asciiTheme="majorHAnsi" w:hAnsiTheme="majorHAnsi"/>
          <w:sz w:val="22"/>
          <w:szCs w:val="22"/>
          <w:lang w:val="en-GB" w:eastAsia="nb-NO"/>
        </w:rPr>
        <w:t xml:space="preserve">is encouraged to consider the other recommendations in the Validator’s Report and the International Secretariat’s initial assessment, and to document the MSG’s responses to these recommendations in the next annual progress report. </w:t>
      </w:r>
    </w:p>
    <w:p w14:paraId="510D6C8A" w14:textId="4C464195" w:rsidR="000E18C4" w:rsidRPr="005F45A7" w:rsidRDefault="000E18C4" w:rsidP="00D34740">
      <w:pPr>
        <w:rPr>
          <w:rFonts w:asciiTheme="majorHAnsi" w:hAnsiTheme="majorHAnsi"/>
        </w:rPr>
      </w:pPr>
    </w:p>
    <w:sectPr w:rsidR="000E18C4" w:rsidRPr="005F45A7" w:rsidSect="00A3224D">
      <w:headerReference w:type="default" r:id="rId24"/>
      <w:footerReference w:type="even" r:id="rId25"/>
      <w:footerReference w:type="default" r:id="rId26"/>
      <w:headerReference w:type="first" r:id="rId27"/>
      <w:footerReference w:type="first" r:id="rId28"/>
      <w:pgSz w:w="11905" w:h="16837"/>
      <w:pgMar w:top="1418" w:right="1276" w:bottom="1024" w:left="1134" w:header="624" w:footer="6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0F88" w14:textId="77777777" w:rsidR="00026957" w:rsidRDefault="00026957">
      <w:pPr>
        <w:spacing w:after="0" w:line="240" w:lineRule="auto"/>
      </w:pPr>
      <w:r>
        <w:separator/>
      </w:r>
    </w:p>
  </w:endnote>
  <w:endnote w:type="continuationSeparator" w:id="0">
    <w:p w14:paraId="4410927B" w14:textId="77777777" w:rsidR="00026957" w:rsidRDefault="00026957">
      <w:pPr>
        <w:spacing w:after="0" w:line="240" w:lineRule="auto"/>
      </w:pPr>
      <w:r>
        <w:continuationSeparator/>
      </w:r>
    </w:p>
  </w:endnote>
  <w:endnote w:type="continuationNotice" w:id="1">
    <w:p w14:paraId="34A1945D" w14:textId="77777777" w:rsidR="00026957" w:rsidRDefault="00026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panose1 w:val="020B0503030403020204"/>
    <w:charset w:val="00"/>
    <w:family w:val="swiss"/>
    <w:notTrueType/>
    <w:pitch w:val="variable"/>
    <w:sig w:usb0="A00002AF" w:usb1="5000204B" w:usb2="00000000" w:usb3="00000000" w:csb0="0000009F" w:csb1="00000000"/>
  </w:font>
  <w:font w:name="Calibri">
    <w:altName w:val="Calibri Light"/>
    <w:panose1 w:val="020F0502020204030204"/>
    <w:charset w:val="00"/>
    <w:family w:val="swiss"/>
    <w:pitch w:val="variable"/>
    <w:sig w:usb0="00000001"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Light SemiCond">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D8D8" w14:textId="77777777" w:rsidR="00623503" w:rsidRDefault="00623503" w:rsidP="005E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BD59" w14:textId="77777777" w:rsidR="00623503" w:rsidRDefault="00623503" w:rsidP="00F14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BA99" w14:textId="1F792150" w:rsidR="00623503" w:rsidRDefault="002469FC" w:rsidP="004F1450">
    <w:pPr>
      <w:pStyle w:val="Footer"/>
      <w:ind w:left="-993" w:right="360"/>
      <w:jc w:val="right"/>
      <w:rPr>
        <w:sz w:val="16"/>
        <w:lang w:val="nb-NO" w:eastAsia="ar-SA"/>
      </w:rPr>
    </w:pPr>
    <w:r>
      <w:rPr>
        <w:noProof/>
        <w:sz w:val="16"/>
        <w:lang w:val="en-AU" w:eastAsia="en-AU"/>
      </w:rPr>
      <w:drawing>
        <wp:anchor distT="0" distB="0" distL="114300" distR="114300" simplePos="0" relativeHeight="251661824" behindDoc="1" locked="0" layoutInCell="1" allowOverlap="1" wp14:anchorId="1E749CE3" wp14:editId="72EE6FA1">
          <wp:simplePos x="0" y="0"/>
          <wp:positionH relativeFrom="column">
            <wp:posOffset>-707390</wp:posOffset>
          </wp:positionH>
          <wp:positionV relativeFrom="line">
            <wp:posOffset>273264</wp:posOffset>
          </wp:positionV>
          <wp:extent cx="7556400" cy="46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95BE" w14:textId="6D4C02AD" w:rsidR="00623503" w:rsidRDefault="002C4D68" w:rsidP="00F149CB">
    <w:pPr>
      <w:pStyle w:val="Footer"/>
      <w:spacing w:after="0"/>
    </w:pPr>
    <w:r>
      <w:rPr>
        <w:noProof/>
        <w:sz w:val="16"/>
        <w:lang w:val="en-AU" w:eastAsia="en-AU"/>
      </w:rPr>
      <w:drawing>
        <wp:anchor distT="0" distB="0" distL="114300" distR="114300" simplePos="0" relativeHeight="251663872" behindDoc="1" locked="0" layoutInCell="1" allowOverlap="1" wp14:anchorId="180FAB79" wp14:editId="2403F2CC">
          <wp:simplePos x="0" y="0"/>
          <wp:positionH relativeFrom="column">
            <wp:posOffset>-731520</wp:posOffset>
          </wp:positionH>
          <wp:positionV relativeFrom="line">
            <wp:posOffset>97935</wp:posOffset>
          </wp:positionV>
          <wp:extent cx="7556400" cy="46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4EB5" w14:textId="77777777" w:rsidR="00026957" w:rsidRDefault="00026957">
      <w:pPr>
        <w:spacing w:after="0" w:line="240" w:lineRule="auto"/>
      </w:pPr>
      <w:r>
        <w:separator/>
      </w:r>
    </w:p>
  </w:footnote>
  <w:footnote w:type="continuationSeparator" w:id="0">
    <w:p w14:paraId="7B519BDA" w14:textId="77777777" w:rsidR="00026957" w:rsidRDefault="00026957">
      <w:pPr>
        <w:spacing w:after="0" w:line="240" w:lineRule="auto"/>
      </w:pPr>
      <w:r>
        <w:continuationSeparator/>
      </w:r>
    </w:p>
  </w:footnote>
  <w:footnote w:type="continuationNotice" w:id="1">
    <w:p w14:paraId="7ACD5ED5" w14:textId="77777777" w:rsidR="00026957" w:rsidRDefault="00026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01151"/>
      <w:docPartObj>
        <w:docPartGallery w:val="Page Numbers (Top of Page)"/>
        <w:docPartUnique/>
      </w:docPartObj>
    </w:sdtPr>
    <w:sdtEndPr>
      <w:rPr>
        <w:noProof/>
        <w:sz w:val="20"/>
        <w:szCs w:val="20"/>
        <w:lang w:eastAsia="x-none" w:bidi="en-US"/>
      </w:rPr>
    </w:sdtEndPr>
    <w:sdtContent>
      <w:p w14:paraId="0888E2CC" w14:textId="0233D072" w:rsidR="00085E41" w:rsidRPr="001E2B08" w:rsidRDefault="00085E41" w:rsidP="001E2B08">
        <w:pPr>
          <w:pStyle w:val="Header"/>
          <w:spacing w:after="0" w:line="240" w:lineRule="auto"/>
          <w:jc w:val="right"/>
          <w:rPr>
            <w:b/>
            <w:noProof/>
            <w:sz w:val="20"/>
            <w:szCs w:val="20"/>
            <w:lang w:eastAsia="x-none" w:bidi="en-US"/>
          </w:rPr>
        </w:pPr>
        <w:r w:rsidRPr="001E2B08">
          <w:rPr>
            <w:b/>
            <w:noProof/>
            <w:sz w:val="20"/>
            <w:szCs w:val="20"/>
            <w:lang w:eastAsia="x-none" w:bidi="en-US"/>
          </w:rPr>
          <w:fldChar w:fldCharType="begin"/>
        </w:r>
        <w:r w:rsidRPr="001E2B08">
          <w:rPr>
            <w:b/>
            <w:noProof/>
            <w:sz w:val="20"/>
            <w:szCs w:val="20"/>
            <w:lang w:eastAsia="x-none" w:bidi="en-US"/>
          </w:rPr>
          <w:instrText>PAGE   \* MERGEFORMAT</w:instrText>
        </w:r>
        <w:r w:rsidRPr="001E2B08">
          <w:rPr>
            <w:b/>
            <w:noProof/>
            <w:sz w:val="20"/>
            <w:szCs w:val="20"/>
            <w:lang w:eastAsia="x-none" w:bidi="en-US"/>
          </w:rPr>
          <w:fldChar w:fldCharType="separate"/>
        </w:r>
        <w:r w:rsidR="002B5D32">
          <w:rPr>
            <w:b/>
            <w:noProof/>
            <w:sz w:val="20"/>
            <w:szCs w:val="20"/>
            <w:lang w:eastAsia="x-none" w:bidi="en-US"/>
          </w:rPr>
          <w:t>3</w:t>
        </w:r>
        <w:r w:rsidRPr="001E2B08">
          <w:rPr>
            <w:b/>
            <w:noProof/>
            <w:sz w:val="20"/>
            <w:szCs w:val="20"/>
            <w:lang w:eastAsia="x-none" w:bidi="en-US"/>
          </w:rPr>
          <w:fldChar w:fldCharType="end"/>
        </w:r>
      </w:p>
      <w:p w14:paraId="0671552D" w14:textId="5F925760" w:rsidR="00623503" w:rsidRPr="00C77337" w:rsidRDefault="00085E41" w:rsidP="00C77337">
        <w:pPr>
          <w:pStyle w:val="Header"/>
          <w:spacing w:line="240" w:lineRule="auto"/>
          <w:jc w:val="right"/>
          <w:rPr>
            <w:noProof/>
            <w:sz w:val="20"/>
            <w:szCs w:val="20"/>
            <w:lang w:eastAsia="x-none" w:bidi="en-US"/>
          </w:rPr>
        </w:pPr>
        <w:r w:rsidRPr="00C77337">
          <w:rPr>
            <w:noProof/>
            <w:sz w:val="20"/>
            <w:szCs w:val="20"/>
            <w:lang w:eastAsia="x-none" w:bidi="en-US"/>
          </w:rPr>
          <w:t>EITI Board Paper</w:t>
        </w:r>
        <w:r w:rsidR="00FE4B1D">
          <w:rPr>
            <w:noProof/>
            <w:sz w:val="20"/>
            <w:szCs w:val="20"/>
            <w:lang w:eastAsia="x-none" w:bidi="en-US"/>
          </w:rPr>
          <w:t xml:space="preserve"> 36-</w:t>
        </w:r>
        <w:r w:rsidR="00E506AE">
          <w:rPr>
            <w:noProof/>
            <w:sz w:val="20"/>
            <w:szCs w:val="20"/>
            <w:lang w:eastAsia="x-none" w:bidi="en-US"/>
          </w:rPr>
          <w:t>5</w:t>
        </w:r>
        <w:r w:rsidR="00FE4B1D">
          <w:rPr>
            <w:noProof/>
            <w:sz w:val="20"/>
            <w:szCs w:val="20"/>
            <w:lang w:eastAsia="x-none" w:bidi="en-US"/>
          </w:rPr>
          <w:t>-</w:t>
        </w:r>
        <w:r w:rsidR="00E506AE">
          <w:rPr>
            <w:noProof/>
            <w:sz w:val="20"/>
            <w:szCs w:val="20"/>
            <w:lang w:eastAsia="x-none" w:bidi="en-US"/>
          </w:rPr>
          <w:t>G</w:t>
        </w:r>
        <w:r w:rsidR="00E506AE" w:rsidRPr="00C77337">
          <w:rPr>
            <w:noProof/>
            <w:sz w:val="20"/>
            <w:szCs w:val="20"/>
            <w:lang w:eastAsia="x-none" w:bidi="en-US"/>
          </w:rPr>
          <w:t xml:space="preserve"> </w:t>
        </w:r>
        <w:r w:rsidR="00A54CC4" w:rsidRPr="00C77337">
          <w:rPr>
            <w:noProof/>
            <w:sz w:val="20"/>
            <w:szCs w:val="20"/>
            <w:lang w:eastAsia="x-none" w:bidi="en-US"/>
          </w:rPr>
          <w:br/>
        </w:r>
        <w:r w:rsidR="00FE4B1D">
          <w:rPr>
            <w:noProof/>
            <w:sz w:val="20"/>
            <w:szCs w:val="20"/>
            <w:lang w:eastAsia="x-none" w:bidi="en-US"/>
          </w:rPr>
          <w:t>Solomon Islands Validation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4DD2" w14:textId="77777777" w:rsidR="00623503" w:rsidRDefault="00623503">
    <w:pPr>
      <w:pStyle w:val="Header"/>
      <w:rPr>
        <w:lang w:val="nb-NO" w:eastAsia="ar-SA"/>
      </w:rPr>
    </w:pPr>
    <w:r>
      <w:rPr>
        <w:noProof/>
        <w:lang w:val="en-AU" w:eastAsia="en-AU"/>
      </w:rPr>
      <w:drawing>
        <wp:anchor distT="0" distB="0" distL="114935" distR="114935" simplePos="0" relativeHeight="251655680" behindDoc="1" locked="0" layoutInCell="1" allowOverlap="1" wp14:anchorId="53A2B175" wp14:editId="237EB5A4">
          <wp:simplePos x="0" y="0"/>
          <wp:positionH relativeFrom="page">
            <wp:posOffset>720090</wp:posOffset>
          </wp:positionH>
          <wp:positionV relativeFrom="page">
            <wp:posOffset>360045</wp:posOffset>
          </wp:positionV>
          <wp:extent cx="2466340" cy="5041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C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8B1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302B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023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E893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5A94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8E25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1AE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15:restartNumberingAfterBreak="0">
    <w:nsid w:val="024B22DE"/>
    <w:multiLevelType w:val="hybridMultilevel"/>
    <w:tmpl w:val="A3C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B24D8A"/>
    <w:multiLevelType w:val="hybridMultilevel"/>
    <w:tmpl w:val="CD1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7E67E0"/>
    <w:multiLevelType w:val="hybridMultilevel"/>
    <w:tmpl w:val="B0AC4AF8"/>
    <w:lvl w:ilvl="0" w:tplc="E4B0CE38">
      <w:start w:val="1"/>
      <w:numFmt w:val="decimal"/>
      <w:lvlText w:val="%1."/>
      <w:lvlJc w:val="left"/>
      <w:pPr>
        <w:ind w:left="720" w:hanging="360"/>
      </w:pPr>
      <w:rPr>
        <w:color w:val="1F497D"/>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56F021D"/>
    <w:multiLevelType w:val="hybridMultilevel"/>
    <w:tmpl w:val="DACA1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9B74E5"/>
    <w:multiLevelType w:val="hybridMultilevel"/>
    <w:tmpl w:val="8D4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34D1D"/>
    <w:multiLevelType w:val="hybridMultilevel"/>
    <w:tmpl w:val="BD501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A64FE1"/>
    <w:multiLevelType w:val="hybridMultilevel"/>
    <w:tmpl w:val="CF3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E41D7"/>
    <w:multiLevelType w:val="hybridMultilevel"/>
    <w:tmpl w:val="1EE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E7B3F"/>
    <w:multiLevelType w:val="hybridMultilevel"/>
    <w:tmpl w:val="199AABAE"/>
    <w:lvl w:ilvl="0" w:tplc="A546DCB2">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A6B35"/>
    <w:multiLevelType w:val="hybridMultilevel"/>
    <w:tmpl w:val="1F9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6383B"/>
    <w:multiLevelType w:val="hybridMultilevel"/>
    <w:tmpl w:val="C5E4474E"/>
    <w:lvl w:ilvl="0" w:tplc="D57CB52A">
      <w:start w:val="1"/>
      <w:numFmt w:val="decimal"/>
      <w:lvlText w:val="%1."/>
      <w:lvlJc w:val="left"/>
      <w:pPr>
        <w:ind w:left="360" w:hanging="360"/>
      </w:pPr>
      <w:rPr>
        <w:rFonts w:hint="default"/>
        <w:i w:val="0"/>
        <w:strike w:val="0"/>
        <w:color w:val="auto"/>
      </w:rPr>
    </w:lvl>
    <w:lvl w:ilvl="1" w:tplc="FF1C5CE0">
      <w:start w:val="1"/>
      <w:numFmt w:val="lowerLetter"/>
      <w:lvlText w:val="%2."/>
      <w:lvlJc w:val="left"/>
      <w:pPr>
        <w:ind w:left="1080" w:hanging="360"/>
      </w:pPr>
      <w:rPr>
        <w:strike w:val="0"/>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3D85716"/>
    <w:multiLevelType w:val="hybridMultilevel"/>
    <w:tmpl w:val="3C3C2036"/>
    <w:lvl w:ilvl="0" w:tplc="D60AF2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7B80"/>
    <w:multiLevelType w:val="hybridMultilevel"/>
    <w:tmpl w:val="5ACA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8"/>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2"/>
  </w:num>
  <w:num w:numId="13">
    <w:abstractNumId w:val="25"/>
  </w:num>
  <w:num w:numId="14">
    <w:abstractNumId w:val="24"/>
  </w:num>
  <w:num w:numId="15">
    <w:abstractNumId w:val="24"/>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16"/>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59D9"/>
    <w:rsid w:val="00006516"/>
    <w:rsid w:val="00006590"/>
    <w:rsid w:val="000115F5"/>
    <w:rsid w:val="0001230C"/>
    <w:rsid w:val="00012715"/>
    <w:rsid w:val="00013A3E"/>
    <w:rsid w:val="00013AE0"/>
    <w:rsid w:val="0001417A"/>
    <w:rsid w:val="000157D8"/>
    <w:rsid w:val="00015C71"/>
    <w:rsid w:val="000210D4"/>
    <w:rsid w:val="000214CC"/>
    <w:rsid w:val="00024144"/>
    <w:rsid w:val="000249B2"/>
    <w:rsid w:val="0002500A"/>
    <w:rsid w:val="00025202"/>
    <w:rsid w:val="0002669A"/>
    <w:rsid w:val="00026957"/>
    <w:rsid w:val="0003013E"/>
    <w:rsid w:val="000312E9"/>
    <w:rsid w:val="00033069"/>
    <w:rsid w:val="000330B8"/>
    <w:rsid w:val="0003436B"/>
    <w:rsid w:val="000349DB"/>
    <w:rsid w:val="00035461"/>
    <w:rsid w:val="000360E8"/>
    <w:rsid w:val="00040593"/>
    <w:rsid w:val="00040824"/>
    <w:rsid w:val="000411DE"/>
    <w:rsid w:val="000418B4"/>
    <w:rsid w:val="000439D3"/>
    <w:rsid w:val="000519AF"/>
    <w:rsid w:val="00051F38"/>
    <w:rsid w:val="000521D7"/>
    <w:rsid w:val="00052ECE"/>
    <w:rsid w:val="0005339D"/>
    <w:rsid w:val="0005564B"/>
    <w:rsid w:val="00055F0C"/>
    <w:rsid w:val="00056BF6"/>
    <w:rsid w:val="00057A81"/>
    <w:rsid w:val="0006010F"/>
    <w:rsid w:val="00060A94"/>
    <w:rsid w:val="00061932"/>
    <w:rsid w:val="00062530"/>
    <w:rsid w:val="000625A3"/>
    <w:rsid w:val="0006322B"/>
    <w:rsid w:val="00065AF0"/>
    <w:rsid w:val="00067D1F"/>
    <w:rsid w:val="00070741"/>
    <w:rsid w:val="00070D85"/>
    <w:rsid w:val="000719F1"/>
    <w:rsid w:val="00072491"/>
    <w:rsid w:val="0007279A"/>
    <w:rsid w:val="000740DD"/>
    <w:rsid w:val="00075701"/>
    <w:rsid w:val="0007633A"/>
    <w:rsid w:val="00077639"/>
    <w:rsid w:val="000778B4"/>
    <w:rsid w:val="00081B37"/>
    <w:rsid w:val="00082444"/>
    <w:rsid w:val="000826E5"/>
    <w:rsid w:val="000832F1"/>
    <w:rsid w:val="00083514"/>
    <w:rsid w:val="00083537"/>
    <w:rsid w:val="000857BB"/>
    <w:rsid w:val="00085E41"/>
    <w:rsid w:val="000877BB"/>
    <w:rsid w:val="00091EFE"/>
    <w:rsid w:val="0009216F"/>
    <w:rsid w:val="00092EA8"/>
    <w:rsid w:val="0009391A"/>
    <w:rsid w:val="000948BD"/>
    <w:rsid w:val="00094933"/>
    <w:rsid w:val="00094A97"/>
    <w:rsid w:val="000957BD"/>
    <w:rsid w:val="000962CD"/>
    <w:rsid w:val="0009767D"/>
    <w:rsid w:val="000A0046"/>
    <w:rsid w:val="000A199B"/>
    <w:rsid w:val="000A224E"/>
    <w:rsid w:val="000A238B"/>
    <w:rsid w:val="000A2748"/>
    <w:rsid w:val="000A28AB"/>
    <w:rsid w:val="000A2F00"/>
    <w:rsid w:val="000A3554"/>
    <w:rsid w:val="000A3FEA"/>
    <w:rsid w:val="000A45F4"/>
    <w:rsid w:val="000A4FBC"/>
    <w:rsid w:val="000A52F9"/>
    <w:rsid w:val="000A589D"/>
    <w:rsid w:val="000A6E52"/>
    <w:rsid w:val="000A7013"/>
    <w:rsid w:val="000B14B6"/>
    <w:rsid w:val="000B22AF"/>
    <w:rsid w:val="000B2524"/>
    <w:rsid w:val="000B2E42"/>
    <w:rsid w:val="000B3A87"/>
    <w:rsid w:val="000B47A7"/>
    <w:rsid w:val="000B50A0"/>
    <w:rsid w:val="000B57D7"/>
    <w:rsid w:val="000B57E9"/>
    <w:rsid w:val="000B5926"/>
    <w:rsid w:val="000B5FF0"/>
    <w:rsid w:val="000B6BB7"/>
    <w:rsid w:val="000B78BE"/>
    <w:rsid w:val="000B7D5D"/>
    <w:rsid w:val="000C0588"/>
    <w:rsid w:val="000C102B"/>
    <w:rsid w:val="000C13EE"/>
    <w:rsid w:val="000C1436"/>
    <w:rsid w:val="000C1FE6"/>
    <w:rsid w:val="000C28B7"/>
    <w:rsid w:val="000C3813"/>
    <w:rsid w:val="000C5ADD"/>
    <w:rsid w:val="000C5C2F"/>
    <w:rsid w:val="000C5C53"/>
    <w:rsid w:val="000C687A"/>
    <w:rsid w:val="000C6B17"/>
    <w:rsid w:val="000D0BF7"/>
    <w:rsid w:val="000D11A0"/>
    <w:rsid w:val="000D1303"/>
    <w:rsid w:val="000D35DE"/>
    <w:rsid w:val="000D5235"/>
    <w:rsid w:val="000D543C"/>
    <w:rsid w:val="000D556D"/>
    <w:rsid w:val="000D65EF"/>
    <w:rsid w:val="000E04C3"/>
    <w:rsid w:val="000E0C32"/>
    <w:rsid w:val="000E1203"/>
    <w:rsid w:val="000E18C4"/>
    <w:rsid w:val="000E2BD6"/>
    <w:rsid w:val="000E3EAD"/>
    <w:rsid w:val="000E40BE"/>
    <w:rsid w:val="000E5320"/>
    <w:rsid w:val="000E553D"/>
    <w:rsid w:val="000E6E2E"/>
    <w:rsid w:val="000E792C"/>
    <w:rsid w:val="000E7D42"/>
    <w:rsid w:val="000E7EE2"/>
    <w:rsid w:val="000F1977"/>
    <w:rsid w:val="000F1FEE"/>
    <w:rsid w:val="000F7A25"/>
    <w:rsid w:val="001000F5"/>
    <w:rsid w:val="00103033"/>
    <w:rsid w:val="001052D0"/>
    <w:rsid w:val="00105BDC"/>
    <w:rsid w:val="00106ADB"/>
    <w:rsid w:val="00111CD4"/>
    <w:rsid w:val="00114912"/>
    <w:rsid w:val="00114917"/>
    <w:rsid w:val="00116844"/>
    <w:rsid w:val="0011717D"/>
    <w:rsid w:val="00117D77"/>
    <w:rsid w:val="001200CC"/>
    <w:rsid w:val="00120CEB"/>
    <w:rsid w:val="00121A99"/>
    <w:rsid w:val="00127277"/>
    <w:rsid w:val="00130ABA"/>
    <w:rsid w:val="00130FA7"/>
    <w:rsid w:val="00130FBD"/>
    <w:rsid w:val="001312D5"/>
    <w:rsid w:val="001322A4"/>
    <w:rsid w:val="00132D29"/>
    <w:rsid w:val="00133CE0"/>
    <w:rsid w:val="001343AA"/>
    <w:rsid w:val="00136CD4"/>
    <w:rsid w:val="00140DC6"/>
    <w:rsid w:val="00141243"/>
    <w:rsid w:val="00143558"/>
    <w:rsid w:val="00144C9C"/>
    <w:rsid w:val="00144E68"/>
    <w:rsid w:val="00145605"/>
    <w:rsid w:val="00145BC6"/>
    <w:rsid w:val="00147108"/>
    <w:rsid w:val="00147553"/>
    <w:rsid w:val="00147877"/>
    <w:rsid w:val="00152655"/>
    <w:rsid w:val="00153DD4"/>
    <w:rsid w:val="00153FB0"/>
    <w:rsid w:val="00154362"/>
    <w:rsid w:val="0015481E"/>
    <w:rsid w:val="00155E26"/>
    <w:rsid w:val="001563DE"/>
    <w:rsid w:val="0016074E"/>
    <w:rsid w:val="00161478"/>
    <w:rsid w:val="00161AA2"/>
    <w:rsid w:val="0016324D"/>
    <w:rsid w:val="00163495"/>
    <w:rsid w:val="00165656"/>
    <w:rsid w:val="00165FD4"/>
    <w:rsid w:val="001664C2"/>
    <w:rsid w:val="001673CE"/>
    <w:rsid w:val="00170A5A"/>
    <w:rsid w:val="00171CFB"/>
    <w:rsid w:val="0017315A"/>
    <w:rsid w:val="001731CE"/>
    <w:rsid w:val="00174C81"/>
    <w:rsid w:val="001751C0"/>
    <w:rsid w:val="00175448"/>
    <w:rsid w:val="00177020"/>
    <w:rsid w:val="00177ED9"/>
    <w:rsid w:val="00177F88"/>
    <w:rsid w:val="00180BF6"/>
    <w:rsid w:val="00180DFE"/>
    <w:rsid w:val="0018120D"/>
    <w:rsid w:val="00181486"/>
    <w:rsid w:val="00181C1D"/>
    <w:rsid w:val="00181DF4"/>
    <w:rsid w:val="001827AD"/>
    <w:rsid w:val="00184F45"/>
    <w:rsid w:val="00185B9C"/>
    <w:rsid w:val="00187CD7"/>
    <w:rsid w:val="00187E0B"/>
    <w:rsid w:val="001908ED"/>
    <w:rsid w:val="00194892"/>
    <w:rsid w:val="00195048"/>
    <w:rsid w:val="00195A06"/>
    <w:rsid w:val="00196A5A"/>
    <w:rsid w:val="00196BFA"/>
    <w:rsid w:val="001A0AAE"/>
    <w:rsid w:val="001A0E4E"/>
    <w:rsid w:val="001A309F"/>
    <w:rsid w:val="001A4F79"/>
    <w:rsid w:val="001A559D"/>
    <w:rsid w:val="001A65F7"/>
    <w:rsid w:val="001A77B0"/>
    <w:rsid w:val="001A7D44"/>
    <w:rsid w:val="001B1660"/>
    <w:rsid w:val="001B3047"/>
    <w:rsid w:val="001B3B8D"/>
    <w:rsid w:val="001B3BF2"/>
    <w:rsid w:val="001B3C38"/>
    <w:rsid w:val="001B4513"/>
    <w:rsid w:val="001B5D69"/>
    <w:rsid w:val="001B6B09"/>
    <w:rsid w:val="001B75A8"/>
    <w:rsid w:val="001C0BF4"/>
    <w:rsid w:val="001C1EED"/>
    <w:rsid w:val="001C2981"/>
    <w:rsid w:val="001C3087"/>
    <w:rsid w:val="001C3233"/>
    <w:rsid w:val="001C3E3E"/>
    <w:rsid w:val="001C3FB0"/>
    <w:rsid w:val="001C574E"/>
    <w:rsid w:val="001C7281"/>
    <w:rsid w:val="001C7DE7"/>
    <w:rsid w:val="001D1476"/>
    <w:rsid w:val="001D14D6"/>
    <w:rsid w:val="001D1801"/>
    <w:rsid w:val="001D1F80"/>
    <w:rsid w:val="001D2A73"/>
    <w:rsid w:val="001D4B09"/>
    <w:rsid w:val="001D5DC8"/>
    <w:rsid w:val="001D6A81"/>
    <w:rsid w:val="001D72E5"/>
    <w:rsid w:val="001D75D7"/>
    <w:rsid w:val="001D7DBC"/>
    <w:rsid w:val="001E1437"/>
    <w:rsid w:val="001E2B08"/>
    <w:rsid w:val="001E4A67"/>
    <w:rsid w:val="001E568F"/>
    <w:rsid w:val="001E5C6C"/>
    <w:rsid w:val="001E6289"/>
    <w:rsid w:val="001F17EE"/>
    <w:rsid w:val="001F186C"/>
    <w:rsid w:val="001F2F26"/>
    <w:rsid w:val="001F30A4"/>
    <w:rsid w:val="001F4AB3"/>
    <w:rsid w:val="001F4AC9"/>
    <w:rsid w:val="001F5705"/>
    <w:rsid w:val="001F6008"/>
    <w:rsid w:val="001F614E"/>
    <w:rsid w:val="001F6AC6"/>
    <w:rsid w:val="0020291D"/>
    <w:rsid w:val="0020348B"/>
    <w:rsid w:val="002042AF"/>
    <w:rsid w:val="00204DE7"/>
    <w:rsid w:val="00205CD8"/>
    <w:rsid w:val="00206945"/>
    <w:rsid w:val="00207100"/>
    <w:rsid w:val="00207293"/>
    <w:rsid w:val="002143B4"/>
    <w:rsid w:val="002158CF"/>
    <w:rsid w:val="00216EAA"/>
    <w:rsid w:val="0022009F"/>
    <w:rsid w:val="00220A51"/>
    <w:rsid w:val="002228CF"/>
    <w:rsid w:val="00223FFB"/>
    <w:rsid w:val="00225C6A"/>
    <w:rsid w:val="00225CD2"/>
    <w:rsid w:val="00225DE3"/>
    <w:rsid w:val="0022743C"/>
    <w:rsid w:val="00230DEC"/>
    <w:rsid w:val="002319F3"/>
    <w:rsid w:val="00231E48"/>
    <w:rsid w:val="00232531"/>
    <w:rsid w:val="00233552"/>
    <w:rsid w:val="00233AE2"/>
    <w:rsid w:val="00233B46"/>
    <w:rsid w:val="002344C4"/>
    <w:rsid w:val="00236194"/>
    <w:rsid w:val="0023621C"/>
    <w:rsid w:val="00236BC1"/>
    <w:rsid w:val="00236EDC"/>
    <w:rsid w:val="002375C1"/>
    <w:rsid w:val="002405D0"/>
    <w:rsid w:val="002409F6"/>
    <w:rsid w:val="00241D34"/>
    <w:rsid w:val="00241F44"/>
    <w:rsid w:val="00242E3D"/>
    <w:rsid w:val="002434EA"/>
    <w:rsid w:val="00244659"/>
    <w:rsid w:val="002469FC"/>
    <w:rsid w:val="00250135"/>
    <w:rsid w:val="002504DD"/>
    <w:rsid w:val="00250F3A"/>
    <w:rsid w:val="002510FA"/>
    <w:rsid w:val="00251A2B"/>
    <w:rsid w:val="00252F10"/>
    <w:rsid w:val="00253523"/>
    <w:rsid w:val="00253594"/>
    <w:rsid w:val="0025409D"/>
    <w:rsid w:val="0025766C"/>
    <w:rsid w:val="00262074"/>
    <w:rsid w:val="002629A5"/>
    <w:rsid w:val="00263A90"/>
    <w:rsid w:val="002646A7"/>
    <w:rsid w:val="00264C3C"/>
    <w:rsid w:val="00264DFE"/>
    <w:rsid w:val="00270EFB"/>
    <w:rsid w:val="00271DF8"/>
    <w:rsid w:val="002743B2"/>
    <w:rsid w:val="00276539"/>
    <w:rsid w:val="00276B35"/>
    <w:rsid w:val="00280DD8"/>
    <w:rsid w:val="002815B1"/>
    <w:rsid w:val="00282364"/>
    <w:rsid w:val="002823BC"/>
    <w:rsid w:val="0028550D"/>
    <w:rsid w:val="002861AB"/>
    <w:rsid w:val="00287BD1"/>
    <w:rsid w:val="00287F5B"/>
    <w:rsid w:val="00290123"/>
    <w:rsid w:val="00291DD2"/>
    <w:rsid w:val="00291FBE"/>
    <w:rsid w:val="00292792"/>
    <w:rsid w:val="00293166"/>
    <w:rsid w:val="00293304"/>
    <w:rsid w:val="002942D1"/>
    <w:rsid w:val="00294D74"/>
    <w:rsid w:val="00295EF2"/>
    <w:rsid w:val="002A2A22"/>
    <w:rsid w:val="002A31A1"/>
    <w:rsid w:val="002A380D"/>
    <w:rsid w:val="002A553F"/>
    <w:rsid w:val="002A7115"/>
    <w:rsid w:val="002A7D60"/>
    <w:rsid w:val="002B085E"/>
    <w:rsid w:val="002B1B26"/>
    <w:rsid w:val="002B24F9"/>
    <w:rsid w:val="002B25DC"/>
    <w:rsid w:val="002B2D9E"/>
    <w:rsid w:val="002B5D32"/>
    <w:rsid w:val="002B79D9"/>
    <w:rsid w:val="002B7D3B"/>
    <w:rsid w:val="002C05DC"/>
    <w:rsid w:val="002C2964"/>
    <w:rsid w:val="002C29E5"/>
    <w:rsid w:val="002C4D68"/>
    <w:rsid w:val="002C517F"/>
    <w:rsid w:val="002C60EC"/>
    <w:rsid w:val="002C69CD"/>
    <w:rsid w:val="002C6D12"/>
    <w:rsid w:val="002C7176"/>
    <w:rsid w:val="002C76E8"/>
    <w:rsid w:val="002D016D"/>
    <w:rsid w:val="002D076C"/>
    <w:rsid w:val="002D0D9D"/>
    <w:rsid w:val="002D1540"/>
    <w:rsid w:val="002D1545"/>
    <w:rsid w:val="002D1DC5"/>
    <w:rsid w:val="002D3B28"/>
    <w:rsid w:val="002D3B30"/>
    <w:rsid w:val="002D45FC"/>
    <w:rsid w:val="002D4E41"/>
    <w:rsid w:val="002D5110"/>
    <w:rsid w:val="002D5252"/>
    <w:rsid w:val="002D59D0"/>
    <w:rsid w:val="002D5E85"/>
    <w:rsid w:val="002D6A6C"/>
    <w:rsid w:val="002D6CD0"/>
    <w:rsid w:val="002D7566"/>
    <w:rsid w:val="002E02FB"/>
    <w:rsid w:val="002E0C9C"/>
    <w:rsid w:val="002E2B78"/>
    <w:rsid w:val="002E3517"/>
    <w:rsid w:val="002E3669"/>
    <w:rsid w:val="002E4601"/>
    <w:rsid w:val="002E4764"/>
    <w:rsid w:val="002E4877"/>
    <w:rsid w:val="002E4FA3"/>
    <w:rsid w:val="002E58B4"/>
    <w:rsid w:val="002E7704"/>
    <w:rsid w:val="002F05F2"/>
    <w:rsid w:val="002F0602"/>
    <w:rsid w:val="002F256F"/>
    <w:rsid w:val="002F2EDD"/>
    <w:rsid w:val="002F2F5F"/>
    <w:rsid w:val="002F3562"/>
    <w:rsid w:val="002F4CFD"/>
    <w:rsid w:val="002F4E4B"/>
    <w:rsid w:val="002F6581"/>
    <w:rsid w:val="002F74DF"/>
    <w:rsid w:val="003005FE"/>
    <w:rsid w:val="00300720"/>
    <w:rsid w:val="003009F4"/>
    <w:rsid w:val="00301155"/>
    <w:rsid w:val="00301BBB"/>
    <w:rsid w:val="00302630"/>
    <w:rsid w:val="00302C60"/>
    <w:rsid w:val="00303254"/>
    <w:rsid w:val="003035A5"/>
    <w:rsid w:val="00303AA1"/>
    <w:rsid w:val="00303E4A"/>
    <w:rsid w:val="00307092"/>
    <w:rsid w:val="003078F0"/>
    <w:rsid w:val="00307A94"/>
    <w:rsid w:val="00307F1B"/>
    <w:rsid w:val="0031001A"/>
    <w:rsid w:val="0031121E"/>
    <w:rsid w:val="00312AA8"/>
    <w:rsid w:val="0031558D"/>
    <w:rsid w:val="003157AD"/>
    <w:rsid w:val="00315FBE"/>
    <w:rsid w:val="003160BC"/>
    <w:rsid w:val="003171B9"/>
    <w:rsid w:val="00317C71"/>
    <w:rsid w:val="003214D9"/>
    <w:rsid w:val="0032344C"/>
    <w:rsid w:val="00323D05"/>
    <w:rsid w:val="00323DA2"/>
    <w:rsid w:val="00323DAF"/>
    <w:rsid w:val="00324BA8"/>
    <w:rsid w:val="00324C41"/>
    <w:rsid w:val="0032624A"/>
    <w:rsid w:val="00326B3A"/>
    <w:rsid w:val="00326EE7"/>
    <w:rsid w:val="0033081E"/>
    <w:rsid w:val="00331013"/>
    <w:rsid w:val="00332018"/>
    <w:rsid w:val="00334081"/>
    <w:rsid w:val="00334272"/>
    <w:rsid w:val="003354A1"/>
    <w:rsid w:val="003357DE"/>
    <w:rsid w:val="0033678C"/>
    <w:rsid w:val="003367AD"/>
    <w:rsid w:val="00337730"/>
    <w:rsid w:val="00337F6D"/>
    <w:rsid w:val="00340A75"/>
    <w:rsid w:val="00343468"/>
    <w:rsid w:val="00343C3B"/>
    <w:rsid w:val="00344612"/>
    <w:rsid w:val="00345CA4"/>
    <w:rsid w:val="0034615B"/>
    <w:rsid w:val="003471D3"/>
    <w:rsid w:val="003471F0"/>
    <w:rsid w:val="00352002"/>
    <w:rsid w:val="00352674"/>
    <w:rsid w:val="00352E30"/>
    <w:rsid w:val="00353ED3"/>
    <w:rsid w:val="00353FF4"/>
    <w:rsid w:val="0035478D"/>
    <w:rsid w:val="00354B54"/>
    <w:rsid w:val="00354BEE"/>
    <w:rsid w:val="00354E5F"/>
    <w:rsid w:val="00355CFB"/>
    <w:rsid w:val="003568EE"/>
    <w:rsid w:val="00356DED"/>
    <w:rsid w:val="00360343"/>
    <w:rsid w:val="00361F29"/>
    <w:rsid w:val="0036342D"/>
    <w:rsid w:val="003641CF"/>
    <w:rsid w:val="003649EE"/>
    <w:rsid w:val="003650B8"/>
    <w:rsid w:val="003655E1"/>
    <w:rsid w:val="00366DE9"/>
    <w:rsid w:val="003723E4"/>
    <w:rsid w:val="00375087"/>
    <w:rsid w:val="00375100"/>
    <w:rsid w:val="003757B7"/>
    <w:rsid w:val="00376481"/>
    <w:rsid w:val="00376A9D"/>
    <w:rsid w:val="003802AE"/>
    <w:rsid w:val="003806F4"/>
    <w:rsid w:val="00381360"/>
    <w:rsid w:val="0038223E"/>
    <w:rsid w:val="003851BD"/>
    <w:rsid w:val="00385594"/>
    <w:rsid w:val="0038715A"/>
    <w:rsid w:val="00387590"/>
    <w:rsid w:val="003907A0"/>
    <w:rsid w:val="0039128D"/>
    <w:rsid w:val="003936B1"/>
    <w:rsid w:val="00393AD4"/>
    <w:rsid w:val="003941E5"/>
    <w:rsid w:val="00395448"/>
    <w:rsid w:val="003A24B7"/>
    <w:rsid w:val="003A3C37"/>
    <w:rsid w:val="003A4057"/>
    <w:rsid w:val="003A46F6"/>
    <w:rsid w:val="003A47AD"/>
    <w:rsid w:val="003A5578"/>
    <w:rsid w:val="003A5656"/>
    <w:rsid w:val="003A6A71"/>
    <w:rsid w:val="003B321B"/>
    <w:rsid w:val="003B5B5D"/>
    <w:rsid w:val="003B6BAB"/>
    <w:rsid w:val="003B6E42"/>
    <w:rsid w:val="003B70A2"/>
    <w:rsid w:val="003B7199"/>
    <w:rsid w:val="003C09E0"/>
    <w:rsid w:val="003C2331"/>
    <w:rsid w:val="003C47E3"/>
    <w:rsid w:val="003C5BF1"/>
    <w:rsid w:val="003C72EF"/>
    <w:rsid w:val="003D18C0"/>
    <w:rsid w:val="003D2654"/>
    <w:rsid w:val="003E057C"/>
    <w:rsid w:val="003E09E4"/>
    <w:rsid w:val="003E1D58"/>
    <w:rsid w:val="003E2517"/>
    <w:rsid w:val="003E35B8"/>
    <w:rsid w:val="003E37CA"/>
    <w:rsid w:val="003E55F5"/>
    <w:rsid w:val="003E5F92"/>
    <w:rsid w:val="003E6F94"/>
    <w:rsid w:val="003E7B7E"/>
    <w:rsid w:val="003F2982"/>
    <w:rsid w:val="003F2A49"/>
    <w:rsid w:val="003F2CA5"/>
    <w:rsid w:val="003F44CA"/>
    <w:rsid w:val="003F5A6E"/>
    <w:rsid w:val="003F5EC0"/>
    <w:rsid w:val="003F66E3"/>
    <w:rsid w:val="00401EF9"/>
    <w:rsid w:val="00401F7C"/>
    <w:rsid w:val="004023D5"/>
    <w:rsid w:val="00403D13"/>
    <w:rsid w:val="00404C1B"/>
    <w:rsid w:val="00405CAC"/>
    <w:rsid w:val="00405DCA"/>
    <w:rsid w:val="004074A9"/>
    <w:rsid w:val="00407F1A"/>
    <w:rsid w:val="00412344"/>
    <w:rsid w:val="00412E5F"/>
    <w:rsid w:val="00414376"/>
    <w:rsid w:val="00414397"/>
    <w:rsid w:val="00415794"/>
    <w:rsid w:val="004158C2"/>
    <w:rsid w:val="00415929"/>
    <w:rsid w:val="00415EAE"/>
    <w:rsid w:val="00415EB2"/>
    <w:rsid w:val="00416456"/>
    <w:rsid w:val="00416EA5"/>
    <w:rsid w:val="00417452"/>
    <w:rsid w:val="00421346"/>
    <w:rsid w:val="00421C5D"/>
    <w:rsid w:val="004230A9"/>
    <w:rsid w:val="00423689"/>
    <w:rsid w:val="004247CD"/>
    <w:rsid w:val="00425AF9"/>
    <w:rsid w:val="00425F2A"/>
    <w:rsid w:val="0042641A"/>
    <w:rsid w:val="00426865"/>
    <w:rsid w:val="00426EC1"/>
    <w:rsid w:val="00431134"/>
    <w:rsid w:val="00432ED4"/>
    <w:rsid w:val="00433181"/>
    <w:rsid w:val="00434391"/>
    <w:rsid w:val="00437E4A"/>
    <w:rsid w:val="00440608"/>
    <w:rsid w:val="00442378"/>
    <w:rsid w:val="004426CE"/>
    <w:rsid w:val="00442FBC"/>
    <w:rsid w:val="00445508"/>
    <w:rsid w:val="00445BC3"/>
    <w:rsid w:val="00445CAC"/>
    <w:rsid w:val="00446380"/>
    <w:rsid w:val="004468DC"/>
    <w:rsid w:val="00447DD4"/>
    <w:rsid w:val="00450C7C"/>
    <w:rsid w:val="00451778"/>
    <w:rsid w:val="00451A9D"/>
    <w:rsid w:val="00452408"/>
    <w:rsid w:val="00452C71"/>
    <w:rsid w:val="004531DE"/>
    <w:rsid w:val="00453C5A"/>
    <w:rsid w:val="0045514A"/>
    <w:rsid w:val="00456328"/>
    <w:rsid w:val="00456843"/>
    <w:rsid w:val="00457082"/>
    <w:rsid w:val="004571D3"/>
    <w:rsid w:val="00457A43"/>
    <w:rsid w:val="00457F38"/>
    <w:rsid w:val="00460C31"/>
    <w:rsid w:val="00461D90"/>
    <w:rsid w:val="0046200C"/>
    <w:rsid w:val="004626AC"/>
    <w:rsid w:val="00462C1E"/>
    <w:rsid w:val="004641F7"/>
    <w:rsid w:val="00465082"/>
    <w:rsid w:val="00466469"/>
    <w:rsid w:val="0046693E"/>
    <w:rsid w:val="00470EC1"/>
    <w:rsid w:val="0047142A"/>
    <w:rsid w:val="00474765"/>
    <w:rsid w:val="004769C9"/>
    <w:rsid w:val="00477631"/>
    <w:rsid w:val="0048070E"/>
    <w:rsid w:val="0048256C"/>
    <w:rsid w:val="00482698"/>
    <w:rsid w:val="0048321D"/>
    <w:rsid w:val="00483A00"/>
    <w:rsid w:val="004841F8"/>
    <w:rsid w:val="00484BDA"/>
    <w:rsid w:val="00486347"/>
    <w:rsid w:val="00486BD4"/>
    <w:rsid w:val="00487BDC"/>
    <w:rsid w:val="00487C6C"/>
    <w:rsid w:val="00487E49"/>
    <w:rsid w:val="00491080"/>
    <w:rsid w:val="00491E3C"/>
    <w:rsid w:val="00492501"/>
    <w:rsid w:val="00492C92"/>
    <w:rsid w:val="00492CBC"/>
    <w:rsid w:val="0049332A"/>
    <w:rsid w:val="00493AC0"/>
    <w:rsid w:val="00493B03"/>
    <w:rsid w:val="00494829"/>
    <w:rsid w:val="00494B46"/>
    <w:rsid w:val="00494F84"/>
    <w:rsid w:val="00495894"/>
    <w:rsid w:val="00495F57"/>
    <w:rsid w:val="00496A48"/>
    <w:rsid w:val="00497687"/>
    <w:rsid w:val="00497AF0"/>
    <w:rsid w:val="00497B25"/>
    <w:rsid w:val="004A08FE"/>
    <w:rsid w:val="004A11BE"/>
    <w:rsid w:val="004A131A"/>
    <w:rsid w:val="004A1BE9"/>
    <w:rsid w:val="004A398D"/>
    <w:rsid w:val="004A69DA"/>
    <w:rsid w:val="004A7035"/>
    <w:rsid w:val="004B1142"/>
    <w:rsid w:val="004B2AC9"/>
    <w:rsid w:val="004B3164"/>
    <w:rsid w:val="004B45CA"/>
    <w:rsid w:val="004B72B4"/>
    <w:rsid w:val="004B7AF2"/>
    <w:rsid w:val="004B7BDE"/>
    <w:rsid w:val="004C0B5E"/>
    <w:rsid w:val="004C1E17"/>
    <w:rsid w:val="004C2599"/>
    <w:rsid w:val="004C276F"/>
    <w:rsid w:val="004C3062"/>
    <w:rsid w:val="004C349C"/>
    <w:rsid w:val="004C35A2"/>
    <w:rsid w:val="004C35D7"/>
    <w:rsid w:val="004C3871"/>
    <w:rsid w:val="004C43FD"/>
    <w:rsid w:val="004C5DCE"/>
    <w:rsid w:val="004D0325"/>
    <w:rsid w:val="004D2BCC"/>
    <w:rsid w:val="004D37D3"/>
    <w:rsid w:val="004D495A"/>
    <w:rsid w:val="004D5F20"/>
    <w:rsid w:val="004D5FFB"/>
    <w:rsid w:val="004D604E"/>
    <w:rsid w:val="004D663D"/>
    <w:rsid w:val="004E01FE"/>
    <w:rsid w:val="004E0578"/>
    <w:rsid w:val="004E2086"/>
    <w:rsid w:val="004E2C36"/>
    <w:rsid w:val="004E4A88"/>
    <w:rsid w:val="004E5405"/>
    <w:rsid w:val="004E5FA7"/>
    <w:rsid w:val="004F063F"/>
    <w:rsid w:val="004F0C49"/>
    <w:rsid w:val="004F1450"/>
    <w:rsid w:val="004F1C1E"/>
    <w:rsid w:val="004F2345"/>
    <w:rsid w:val="004F29C0"/>
    <w:rsid w:val="004F345F"/>
    <w:rsid w:val="004F368F"/>
    <w:rsid w:val="004F519F"/>
    <w:rsid w:val="004F6CCE"/>
    <w:rsid w:val="004F6DA3"/>
    <w:rsid w:val="004F7F85"/>
    <w:rsid w:val="00500E68"/>
    <w:rsid w:val="005029A8"/>
    <w:rsid w:val="00503383"/>
    <w:rsid w:val="005039E2"/>
    <w:rsid w:val="00503F92"/>
    <w:rsid w:val="005040EE"/>
    <w:rsid w:val="005050C6"/>
    <w:rsid w:val="005054E4"/>
    <w:rsid w:val="00505760"/>
    <w:rsid w:val="00506A4C"/>
    <w:rsid w:val="00506DA3"/>
    <w:rsid w:val="00510C58"/>
    <w:rsid w:val="00511890"/>
    <w:rsid w:val="005139A5"/>
    <w:rsid w:val="00513C68"/>
    <w:rsid w:val="00514E64"/>
    <w:rsid w:val="00517370"/>
    <w:rsid w:val="00520AFE"/>
    <w:rsid w:val="00520B11"/>
    <w:rsid w:val="00520BF5"/>
    <w:rsid w:val="00521053"/>
    <w:rsid w:val="005230A4"/>
    <w:rsid w:val="00523A28"/>
    <w:rsid w:val="005242D9"/>
    <w:rsid w:val="005245CF"/>
    <w:rsid w:val="00524D62"/>
    <w:rsid w:val="00525614"/>
    <w:rsid w:val="00526084"/>
    <w:rsid w:val="005263B0"/>
    <w:rsid w:val="005316A2"/>
    <w:rsid w:val="0053230B"/>
    <w:rsid w:val="00533139"/>
    <w:rsid w:val="00535D17"/>
    <w:rsid w:val="00537E0A"/>
    <w:rsid w:val="0054079D"/>
    <w:rsid w:val="005411F3"/>
    <w:rsid w:val="005426F0"/>
    <w:rsid w:val="005429D3"/>
    <w:rsid w:val="005435DC"/>
    <w:rsid w:val="00544E12"/>
    <w:rsid w:val="005460F3"/>
    <w:rsid w:val="00551CCB"/>
    <w:rsid w:val="005522CD"/>
    <w:rsid w:val="00552425"/>
    <w:rsid w:val="00553F16"/>
    <w:rsid w:val="005549FE"/>
    <w:rsid w:val="005554E3"/>
    <w:rsid w:val="005559AC"/>
    <w:rsid w:val="00555F0B"/>
    <w:rsid w:val="00556EF7"/>
    <w:rsid w:val="00560DC7"/>
    <w:rsid w:val="005612B1"/>
    <w:rsid w:val="00562712"/>
    <w:rsid w:val="00563F1B"/>
    <w:rsid w:val="0056469E"/>
    <w:rsid w:val="00564A54"/>
    <w:rsid w:val="005664FA"/>
    <w:rsid w:val="00566AE4"/>
    <w:rsid w:val="005676B2"/>
    <w:rsid w:val="00567755"/>
    <w:rsid w:val="0056793E"/>
    <w:rsid w:val="00567CFF"/>
    <w:rsid w:val="0057091C"/>
    <w:rsid w:val="00570B45"/>
    <w:rsid w:val="00570EA2"/>
    <w:rsid w:val="0057135B"/>
    <w:rsid w:val="00571CC3"/>
    <w:rsid w:val="005729DC"/>
    <w:rsid w:val="00573AD3"/>
    <w:rsid w:val="005749A6"/>
    <w:rsid w:val="00580915"/>
    <w:rsid w:val="00582982"/>
    <w:rsid w:val="00582F61"/>
    <w:rsid w:val="00583BD2"/>
    <w:rsid w:val="0058431C"/>
    <w:rsid w:val="0058464E"/>
    <w:rsid w:val="0058661E"/>
    <w:rsid w:val="00587C48"/>
    <w:rsid w:val="0059046D"/>
    <w:rsid w:val="005913E8"/>
    <w:rsid w:val="005921F3"/>
    <w:rsid w:val="005964B2"/>
    <w:rsid w:val="005975D2"/>
    <w:rsid w:val="00597813"/>
    <w:rsid w:val="00597AA5"/>
    <w:rsid w:val="005A08A4"/>
    <w:rsid w:val="005A1599"/>
    <w:rsid w:val="005A2700"/>
    <w:rsid w:val="005A4D19"/>
    <w:rsid w:val="005A5675"/>
    <w:rsid w:val="005A6095"/>
    <w:rsid w:val="005A6799"/>
    <w:rsid w:val="005A7AE6"/>
    <w:rsid w:val="005B009C"/>
    <w:rsid w:val="005B0332"/>
    <w:rsid w:val="005B04F9"/>
    <w:rsid w:val="005B1382"/>
    <w:rsid w:val="005B3A64"/>
    <w:rsid w:val="005B4A6F"/>
    <w:rsid w:val="005B5B28"/>
    <w:rsid w:val="005B67DB"/>
    <w:rsid w:val="005B731C"/>
    <w:rsid w:val="005B7994"/>
    <w:rsid w:val="005C05B8"/>
    <w:rsid w:val="005C39B7"/>
    <w:rsid w:val="005C3BDE"/>
    <w:rsid w:val="005C59C6"/>
    <w:rsid w:val="005C7238"/>
    <w:rsid w:val="005C7400"/>
    <w:rsid w:val="005C7803"/>
    <w:rsid w:val="005D05B6"/>
    <w:rsid w:val="005D07FF"/>
    <w:rsid w:val="005D495E"/>
    <w:rsid w:val="005D523A"/>
    <w:rsid w:val="005D6B8A"/>
    <w:rsid w:val="005E2ACC"/>
    <w:rsid w:val="005E42DD"/>
    <w:rsid w:val="005E55EB"/>
    <w:rsid w:val="005E62DD"/>
    <w:rsid w:val="005E6904"/>
    <w:rsid w:val="005F0661"/>
    <w:rsid w:val="005F282C"/>
    <w:rsid w:val="005F2A8F"/>
    <w:rsid w:val="005F3413"/>
    <w:rsid w:val="005F3623"/>
    <w:rsid w:val="005F38F0"/>
    <w:rsid w:val="005F45A7"/>
    <w:rsid w:val="00600204"/>
    <w:rsid w:val="00602624"/>
    <w:rsid w:val="006052A8"/>
    <w:rsid w:val="006062EA"/>
    <w:rsid w:val="0060697D"/>
    <w:rsid w:val="006102D2"/>
    <w:rsid w:val="00612846"/>
    <w:rsid w:val="00612FB1"/>
    <w:rsid w:val="006133F8"/>
    <w:rsid w:val="006136FD"/>
    <w:rsid w:val="0061451E"/>
    <w:rsid w:val="00614F36"/>
    <w:rsid w:val="0061588C"/>
    <w:rsid w:val="00615C74"/>
    <w:rsid w:val="00616038"/>
    <w:rsid w:val="0062045E"/>
    <w:rsid w:val="00621549"/>
    <w:rsid w:val="00623503"/>
    <w:rsid w:val="006251FB"/>
    <w:rsid w:val="0062548D"/>
    <w:rsid w:val="0062659E"/>
    <w:rsid w:val="00626CA9"/>
    <w:rsid w:val="006278AC"/>
    <w:rsid w:val="00627C6B"/>
    <w:rsid w:val="00630E28"/>
    <w:rsid w:val="00634053"/>
    <w:rsid w:val="00634EE7"/>
    <w:rsid w:val="00635A32"/>
    <w:rsid w:val="006371F6"/>
    <w:rsid w:val="00641A77"/>
    <w:rsid w:val="006421CA"/>
    <w:rsid w:val="00643244"/>
    <w:rsid w:val="00646AE1"/>
    <w:rsid w:val="00650011"/>
    <w:rsid w:val="006523B4"/>
    <w:rsid w:val="006525B5"/>
    <w:rsid w:val="00652B94"/>
    <w:rsid w:val="00653A06"/>
    <w:rsid w:val="00654EB5"/>
    <w:rsid w:val="00656B3A"/>
    <w:rsid w:val="00656F5D"/>
    <w:rsid w:val="00657969"/>
    <w:rsid w:val="00660995"/>
    <w:rsid w:val="00660A80"/>
    <w:rsid w:val="00661747"/>
    <w:rsid w:val="006617A0"/>
    <w:rsid w:val="006640BD"/>
    <w:rsid w:val="00664EE4"/>
    <w:rsid w:val="00665356"/>
    <w:rsid w:val="00666F67"/>
    <w:rsid w:val="0066717D"/>
    <w:rsid w:val="00667856"/>
    <w:rsid w:val="00667B9D"/>
    <w:rsid w:val="006708B4"/>
    <w:rsid w:val="006709DD"/>
    <w:rsid w:val="00671A85"/>
    <w:rsid w:val="00672415"/>
    <w:rsid w:val="0067420D"/>
    <w:rsid w:val="00674F8B"/>
    <w:rsid w:val="006752C9"/>
    <w:rsid w:val="006752E4"/>
    <w:rsid w:val="006762DC"/>
    <w:rsid w:val="0067695F"/>
    <w:rsid w:val="006777A9"/>
    <w:rsid w:val="00682960"/>
    <w:rsid w:val="0068298F"/>
    <w:rsid w:val="00683288"/>
    <w:rsid w:val="00683C90"/>
    <w:rsid w:val="006844A0"/>
    <w:rsid w:val="00685092"/>
    <w:rsid w:val="006855E3"/>
    <w:rsid w:val="00685B49"/>
    <w:rsid w:val="00685DB2"/>
    <w:rsid w:val="006869B2"/>
    <w:rsid w:val="006874CD"/>
    <w:rsid w:val="00690173"/>
    <w:rsid w:val="00690DAF"/>
    <w:rsid w:val="006919A8"/>
    <w:rsid w:val="00692407"/>
    <w:rsid w:val="006931A6"/>
    <w:rsid w:val="00693508"/>
    <w:rsid w:val="00694370"/>
    <w:rsid w:val="0069600C"/>
    <w:rsid w:val="00696913"/>
    <w:rsid w:val="006973C4"/>
    <w:rsid w:val="006A058E"/>
    <w:rsid w:val="006A17FD"/>
    <w:rsid w:val="006A1978"/>
    <w:rsid w:val="006A1B47"/>
    <w:rsid w:val="006A1FD2"/>
    <w:rsid w:val="006A20DA"/>
    <w:rsid w:val="006A3E3D"/>
    <w:rsid w:val="006A4037"/>
    <w:rsid w:val="006A40D5"/>
    <w:rsid w:val="006A4520"/>
    <w:rsid w:val="006A4D5E"/>
    <w:rsid w:val="006A52F5"/>
    <w:rsid w:val="006A55FE"/>
    <w:rsid w:val="006A689C"/>
    <w:rsid w:val="006A76E4"/>
    <w:rsid w:val="006B0C8B"/>
    <w:rsid w:val="006B163E"/>
    <w:rsid w:val="006B2B9A"/>
    <w:rsid w:val="006B36DD"/>
    <w:rsid w:val="006B47BA"/>
    <w:rsid w:val="006B4980"/>
    <w:rsid w:val="006B4F12"/>
    <w:rsid w:val="006B55F4"/>
    <w:rsid w:val="006B6B6E"/>
    <w:rsid w:val="006B78EF"/>
    <w:rsid w:val="006C0922"/>
    <w:rsid w:val="006C0FC5"/>
    <w:rsid w:val="006C1281"/>
    <w:rsid w:val="006C3BD3"/>
    <w:rsid w:val="006C52EC"/>
    <w:rsid w:val="006C73C1"/>
    <w:rsid w:val="006D09D9"/>
    <w:rsid w:val="006D2AEA"/>
    <w:rsid w:val="006D3153"/>
    <w:rsid w:val="006D491E"/>
    <w:rsid w:val="006D4E4A"/>
    <w:rsid w:val="006E1670"/>
    <w:rsid w:val="006E2825"/>
    <w:rsid w:val="006E3102"/>
    <w:rsid w:val="006E61A6"/>
    <w:rsid w:val="006E6352"/>
    <w:rsid w:val="006E6C25"/>
    <w:rsid w:val="006F0F9B"/>
    <w:rsid w:val="006F3809"/>
    <w:rsid w:val="006F59FC"/>
    <w:rsid w:val="006F6A17"/>
    <w:rsid w:val="006F6FD1"/>
    <w:rsid w:val="006F73AC"/>
    <w:rsid w:val="006F77B9"/>
    <w:rsid w:val="007004E5"/>
    <w:rsid w:val="00700DE6"/>
    <w:rsid w:val="00701789"/>
    <w:rsid w:val="00701C80"/>
    <w:rsid w:val="0070201F"/>
    <w:rsid w:val="0070231F"/>
    <w:rsid w:val="007037A9"/>
    <w:rsid w:val="00704271"/>
    <w:rsid w:val="00706B29"/>
    <w:rsid w:val="00710071"/>
    <w:rsid w:val="00710408"/>
    <w:rsid w:val="00710AD3"/>
    <w:rsid w:val="00710F46"/>
    <w:rsid w:val="00712D5E"/>
    <w:rsid w:val="00712F8F"/>
    <w:rsid w:val="00713065"/>
    <w:rsid w:val="00713132"/>
    <w:rsid w:val="007136A1"/>
    <w:rsid w:val="00714B3A"/>
    <w:rsid w:val="00715468"/>
    <w:rsid w:val="007157D6"/>
    <w:rsid w:val="00717CF7"/>
    <w:rsid w:val="0072103D"/>
    <w:rsid w:val="00724728"/>
    <w:rsid w:val="00724FD3"/>
    <w:rsid w:val="00725936"/>
    <w:rsid w:val="00725EF4"/>
    <w:rsid w:val="0072677F"/>
    <w:rsid w:val="00730F49"/>
    <w:rsid w:val="007317A0"/>
    <w:rsid w:val="007333DA"/>
    <w:rsid w:val="00733FD3"/>
    <w:rsid w:val="00735F1E"/>
    <w:rsid w:val="007371C4"/>
    <w:rsid w:val="007373A7"/>
    <w:rsid w:val="007400E9"/>
    <w:rsid w:val="007405C0"/>
    <w:rsid w:val="007407F4"/>
    <w:rsid w:val="00740823"/>
    <w:rsid w:val="00740E1E"/>
    <w:rsid w:val="0074115E"/>
    <w:rsid w:val="007412BE"/>
    <w:rsid w:val="0074194F"/>
    <w:rsid w:val="00741B6A"/>
    <w:rsid w:val="00741FC0"/>
    <w:rsid w:val="00743FAE"/>
    <w:rsid w:val="00744121"/>
    <w:rsid w:val="0074414A"/>
    <w:rsid w:val="007456B2"/>
    <w:rsid w:val="0074580E"/>
    <w:rsid w:val="00746DE6"/>
    <w:rsid w:val="00752238"/>
    <w:rsid w:val="007527E9"/>
    <w:rsid w:val="00753442"/>
    <w:rsid w:val="007569AF"/>
    <w:rsid w:val="00757211"/>
    <w:rsid w:val="00760F4A"/>
    <w:rsid w:val="0076198C"/>
    <w:rsid w:val="007628FC"/>
    <w:rsid w:val="007637CD"/>
    <w:rsid w:val="00764050"/>
    <w:rsid w:val="007653A2"/>
    <w:rsid w:val="007658FA"/>
    <w:rsid w:val="00766A4D"/>
    <w:rsid w:val="00766CC1"/>
    <w:rsid w:val="00766E04"/>
    <w:rsid w:val="007671F4"/>
    <w:rsid w:val="00770B2F"/>
    <w:rsid w:val="00771354"/>
    <w:rsid w:val="0077197B"/>
    <w:rsid w:val="00772B71"/>
    <w:rsid w:val="0077447B"/>
    <w:rsid w:val="00774DA5"/>
    <w:rsid w:val="00774E9C"/>
    <w:rsid w:val="00781E0D"/>
    <w:rsid w:val="0078228F"/>
    <w:rsid w:val="00782F83"/>
    <w:rsid w:val="007833DA"/>
    <w:rsid w:val="00784AA8"/>
    <w:rsid w:val="00784D37"/>
    <w:rsid w:val="00784EEE"/>
    <w:rsid w:val="00786E58"/>
    <w:rsid w:val="00787374"/>
    <w:rsid w:val="00787F94"/>
    <w:rsid w:val="007904A2"/>
    <w:rsid w:val="007905FB"/>
    <w:rsid w:val="00790739"/>
    <w:rsid w:val="007912B2"/>
    <w:rsid w:val="00792F93"/>
    <w:rsid w:val="0079395A"/>
    <w:rsid w:val="00793987"/>
    <w:rsid w:val="00793EE2"/>
    <w:rsid w:val="00794751"/>
    <w:rsid w:val="00794892"/>
    <w:rsid w:val="007950BA"/>
    <w:rsid w:val="0079797F"/>
    <w:rsid w:val="007A221B"/>
    <w:rsid w:val="007A2239"/>
    <w:rsid w:val="007A22D2"/>
    <w:rsid w:val="007A280E"/>
    <w:rsid w:val="007A2AE1"/>
    <w:rsid w:val="007A31D2"/>
    <w:rsid w:val="007A4272"/>
    <w:rsid w:val="007A4BC7"/>
    <w:rsid w:val="007A69A5"/>
    <w:rsid w:val="007A6CCF"/>
    <w:rsid w:val="007A79CD"/>
    <w:rsid w:val="007B00ED"/>
    <w:rsid w:val="007B0D52"/>
    <w:rsid w:val="007B2013"/>
    <w:rsid w:val="007B21E1"/>
    <w:rsid w:val="007B29EC"/>
    <w:rsid w:val="007B3E56"/>
    <w:rsid w:val="007B595E"/>
    <w:rsid w:val="007B6888"/>
    <w:rsid w:val="007C061B"/>
    <w:rsid w:val="007C07D4"/>
    <w:rsid w:val="007C0962"/>
    <w:rsid w:val="007C3DF9"/>
    <w:rsid w:val="007C4300"/>
    <w:rsid w:val="007C55CB"/>
    <w:rsid w:val="007C59BD"/>
    <w:rsid w:val="007C732B"/>
    <w:rsid w:val="007C7E47"/>
    <w:rsid w:val="007D00EE"/>
    <w:rsid w:val="007D0C39"/>
    <w:rsid w:val="007D1258"/>
    <w:rsid w:val="007D21D7"/>
    <w:rsid w:val="007D2F90"/>
    <w:rsid w:val="007D3361"/>
    <w:rsid w:val="007D5017"/>
    <w:rsid w:val="007D5331"/>
    <w:rsid w:val="007D591F"/>
    <w:rsid w:val="007D661C"/>
    <w:rsid w:val="007E0F6C"/>
    <w:rsid w:val="007E0FA3"/>
    <w:rsid w:val="007E1A89"/>
    <w:rsid w:val="007E1DCA"/>
    <w:rsid w:val="007E2250"/>
    <w:rsid w:val="007E284F"/>
    <w:rsid w:val="007E2A41"/>
    <w:rsid w:val="007E2B3E"/>
    <w:rsid w:val="007E3C32"/>
    <w:rsid w:val="007E49F7"/>
    <w:rsid w:val="007E515A"/>
    <w:rsid w:val="007E53C6"/>
    <w:rsid w:val="007E5A35"/>
    <w:rsid w:val="007E5E04"/>
    <w:rsid w:val="007E6293"/>
    <w:rsid w:val="007F1E2C"/>
    <w:rsid w:val="007F3FF8"/>
    <w:rsid w:val="007F46B8"/>
    <w:rsid w:val="007F485D"/>
    <w:rsid w:val="007F714F"/>
    <w:rsid w:val="007F78D2"/>
    <w:rsid w:val="0080002A"/>
    <w:rsid w:val="0080023B"/>
    <w:rsid w:val="00801827"/>
    <w:rsid w:val="00802C56"/>
    <w:rsid w:val="00803CBF"/>
    <w:rsid w:val="00805634"/>
    <w:rsid w:val="00806D44"/>
    <w:rsid w:val="008116CD"/>
    <w:rsid w:val="00811C14"/>
    <w:rsid w:val="00812AF4"/>
    <w:rsid w:val="008133B8"/>
    <w:rsid w:val="00814B7A"/>
    <w:rsid w:val="00815A2F"/>
    <w:rsid w:val="00816CB5"/>
    <w:rsid w:val="00816E9A"/>
    <w:rsid w:val="00817D03"/>
    <w:rsid w:val="0082008C"/>
    <w:rsid w:val="00820398"/>
    <w:rsid w:val="008218E9"/>
    <w:rsid w:val="00821ABA"/>
    <w:rsid w:val="008224B2"/>
    <w:rsid w:val="0082261E"/>
    <w:rsid w:val="0082268C"/>
    <w:rsid w:val="008241FA"/>
    <w:rsid w:val="008251AA"/>
    <w:rsid w:val="008266F8"/>
    <w:rsid w:val="00826AC5"/>
    <w:rsid w:val="00827B76"/>
    <w:rsid w:val="008305CA"/>
    <w:rsid w:val="00830D28"/>
    <w:rsid w:val="008316CB"/>
    <w:rsid w:val="00831FA4"/>
    <w:rsid w:val="00831FE3"/>
    <w:rsid w:val="00832799"/>
    <w:rsid w:val="0083302A"/>
    <w:rsid w:val="00834121"/>
    <w:rsid w:val="008343F4"/>
    <w:rsid w:val="00835796"/>
    <w:rsid w:val="00836B0B"/>
    <w:rsid w:val="0083766C"/>
    <w:rsid w:val="008414B5"/>
    <w:rsid w:val="00841A29"/>
    <w:rsid w:val="00841AFC"/>
    <w:rsid w:val="00844D53"/>
    <w:rsid w:val="00844E76"/>
    <w:rsid w:val="00845744"/>
    <w:rsid w:val="00846EB3"/>
    <w:rsid w:val="008476DD"/>
    <w:rsid w:val="0085056E"/>
    <w:rsid w:val="00851887"/>
    <w:rsid w:val="00852F78"/>
    <w:rsid w:val="00855E19"/>
    <w:rsid w:val="00856516"/>
    <w:rsid w:val="008565EA"/>
    <w:rsid w:val="00861807"/>
    <w:rsid w:val="00861F10"/>
    <w:rsid w:val="00862174"/>
    <w:rsid w:val="00862280"/>
    <w:rsid w:val="00862833"/>
    <w:rsid w:val="00862F48"/>
    <w:rsid w:val="008637FA"/>
    <w:rsid w:val="00863937"/>
    <w:rsid w:val="00863A9E"/>
    <w:rsid w:val="00863BDD"/>
    <w:rsid w:val="008646E2"/>
    <w:rsid w:val="00864DDC"/>
    <w:rsid w:val="00865838"/>
    <w:rsid w:val="008678BE"/>
    <w:rsid w:val="00870203"/>
    <w:rsid w:val="00870DCC"/>
    <w:rsid w:val="00871071"/>
    <w:rsid w:val="00872208"/>
    <w:rsid w:val="008737F9"/>
    <w:rsid w:val="00873CCB"/>
    <w:rsid w:val="00874032"/>
    <w:rsid w:val="008740A8"/>
    <w:rsid w:val="00874908"/>
    <w:rsid w:val="00874AC8"/>
    <w:rsid w:val="00874FA0"/>
    <w:rsid w:val="00875576"/>
    <w:rsid w:val="00876600"/>
    <w:rsid w:val="00877B48"/>
    <w:rsid w:val="008801D8"/>
    <w:rsid w:val="0088136D"/>
    <w:rsid w:val="00881947"/>
    <w:rsid w:val="00881D1A"/>
    <w:rsid w:val="008821AD"/>
    <w:rsid w:val="008823C3"/>
    <w:rsid w:val="00883419"/>
    <w:rsid w:val="00885496"/>
    <w:rsid w:val="008856B9"/>
    <w:rsid w:val="00886B18"/>
    <w:rsid w:val="00887D3F"/>
    <w:rsid w:val="00890372"/>
    <w:rsid w:val="00893246"/>
    <w:rsid w:val="00894AE6"/>
    <w:rsid w:val="00895075"/>
    <w:rsid w:val="00896111"/>
    <w:rsid w:val="0089693B"/>
    <w:rsid w:val="008A07DA"/>
    <w:rsid w:val="008A12CE"/>
    <w:rsid w:val="008A182E"/>
    <w:rsid w:val="008A2505"/>
    <w:rsid w:val="008A388B"/>
    <w:rsid w:val="008A4D55"/>
    <w:rsid w:val="008A630C"/>
    <w:rsid w:val="008A6574"/>
    <w:rsid w:val="008B0464"/>
    <w:rsid w:val="008B1528"/>
    <w:rsid w:val="008B2478"/>
    <w:rsid w:val="008B3AFF"/>
    <w:rsid w:val="008B58C9"/>
    <w:rsid w:val="008B6EEB"/>
    <w:rsid w:val="008C09A6"/>
    <w:rsid w:val="008C0DC5"/>
    <w:rsid w:val="008C0F86"/>
    <w:rsid w:val="008C12F6"/>
    <w:rsid w:val="008C1754"/>
    <w:rsid w:val="008C283F"/>
    <w:rsid w:val="008C28B2"/>
    <w:rsid w:val="008C3454"/>
    <w:rsid w:val="008C37F9"/>
    <w:rsid w:val="008C3939"/>
    <w:rsid w:val="008C3ADA"/>
    <w:rsid w:val="008C4B76"/>
    <w:rsid w:val="008C7AB9"/>
    <w:rsid w:val="008D041A"/>
    <w:rsid w:val="008D1690"/>
    <w:rsid w:val="008D4365"/>
    <w:rsid w:val="008D4F5A"/>
    <w:rsid w:val="008D564D"/>
    <w:rsid w:val="008D5E06"/>
    <w:rsid w:val="008D6109"/>
    <w:rsid w:val="008D642F"/>
    <w:rsid w:val="008D6AAD"/>
    <w:rsid w:val="008D6BD9"/>
    <w:rsid w:val="008D6FE5"/>
    <w:rsid w:val="008D7DC1"/>
    <w:rsid w:val="008E13C0"/>
    <w:rsid w:val="008E15FA"/>
    <w:rsid w:val="008E21CE"/>
    <w:rsid w:val="008E4357"/>
    <w:rsid w:val="008E490F"/>
    <w:rsid w:val="008E50A9"/>
    <w:rsid w:val="008E647A"/>
    <w:rsid w:val="008E69F1"/>
    <w:rsid w:val="008F0879"/>
    <w:rsid w:val="008F0AA7"/>
    <w:rsid w:val="008F0CED"/>
    <w:rsid w:val="008F12E2"/>
    <w:rsid w:val="008F2E05"/>
    <w:rsid w:val="008F2FAB"/>
    <w:rsid w:val="008F4110"/>
    <w:rsid w:val="008F41E1"/>
    <w:rsid w:val="008F501F"/>
    <w:rsid w:val="008F5DD7"/>
    <w:rsid w:val="008F5F9E"/>
    <w:rsid w:val="008F6007"/>
    <w:rsid w:val="008F76A1"/>
    <w:rsid w:val="00901224"/>
    <w:rsid w:val="009051ED"/>
    <w:rsid w:val="00905971"/>
    <w:rsid w:val="00905FE1"/>
    <w:rsid w:val="00906065"/>
    <w:rsid w:val="00906CFD"/>
    <w:rsid w:val="0090781B"/>
    <w:rsid w:val="009106B2"/>
    <w:rsid w:val="00911023"/>
    <w:rsid w:val="009113A8"/>
    <w:rsid w:val="00912196"/>
    <w:rsid w:val="009133F1"/>
    <w:rsid w:val="00913F1E"/>
    <w:rsid w:val="00915097"/>
    <w:rsid w:val="009150F4"/>
    <w:rsid w:val="00915611"/>
    <w:rsid w:val="009157EF"/>
    <w:rsid w:val="0091589A"/>
    <w:rsid w:val="00915F08"/>
    <w:rsid w:val="00916FE3"/>
    <w:rsid w:val="00920159"/>
    <w:rsid w:val="009216F2"/>
    <w:rsid w:val="00922068"/>
    <w:rsid w:val="00922843"/>
    <w:rsid w:val="009229D6"/>
    <w:rsid w:val="00924261"/>
    <w:rsid w:val="00924281"/>
    <w:rsid w:val="00925092"/>
    <w:rsid w:val="00926399"/>
    <w:rsid w:val="00927C0E"/>
    <w:rsid w:val="00932568"/>
    <w:rsid w:val="009340E9"/>
    <w:rsid w:val="00934F9F"/>
    <w:rsid w:val="00935B59"/>
    <w:rsid w:val="00936C46"/>
    <w:rsid w:val="00937982"/>
    <w:rsid w:val="009402CF"/>
    <w:rsid w:val="009418ED"/>
    <w:rsid w:val="009425B2"/>
    <w:rsid w:val="00942CF9"/>
    <w:rsid w:val="00944AC5"/>
    <w:rsid w:val="00945B08"/>
    <w:rsid w:val="00945EA2"/>
    <w:rsid w:val="00950026"/>
    <w:rsid w:val="00950C03"/>
    <w:rsid w:val="009523B9"/>
    <w:rsid w:val="009544E1"/>
    <w:rsid w:val="009545B2"/>
    <w:rsid w:val="00956504"/>
    <w:rsid w:val="00956530"/>
    <w:rsid w:val="009567BD"/>
    <w:rsid w:val="00957A71"/>
    <w:rsid w:val="00961384"/>
    <w:rsid w:val="0096283F"/>
    <w:rsid w:val="00963E53"/>
    <w:rsid w:val="00964545"/>
    <w:rsid w:val="00966893"/>
    <w:rsid w:val="00966C85"/>
    <w:rsid w:val="00970247"/>
    <w:rsid w:val="009706AC"/>
    <w:rsid w:val="00970D0A"/>
    <w:rsid w:val="009742D4"/>
    <w:rsid w:val="00976DA7"/>
    <w:rsid w:val="00977A98"/>
    <w:rsid w:val="00977D6B"/>
    <w:rsid w:val="00980233"/>
    <w:rsid w:val="00980C78"/>
    <w:rsid w:val="00981DDD"/>
    <w:rsid w:val="00982E98"/>
    <w:rsid w:val="0098309D"/>
    <w:rsid w:val="009835B7"/>
    <w:rsid w:val="00985788"/>
    <w:rsid w:val="00985D14"/>
    <w:rsid w:val="00986C02"/>
    <w:rsid w:val="00990918"/>
    <w:rsid w:val="009917AB"/>
    <w:rsid w:val="009935CC"/>
    <w:rsid w:val="00993CE9"/>
    <w:rsid w:val="00993DF7"/>
    <w:rsid w:val="009956C0"/>
    <w:rsid w:val="00995A83"/>
    <w:rsid w:val="00995E06"/>
    <w:rsid w:val="00997C09"/>
    <w:rsid w:val="009A03B3"/>
    <w:rsid w:val="009A1CA4"/>
    <w:rsid w:val="009A38A3"/>
    <w:rsid w:val="009A3ABC"/>
    <w:rsid w:val="009A3CF1"/>
    <w:rsid w:val="009A486C"/>
    <w:rsid w:val="009A5E3F"/>
    <w:rsid w:val="009A5FF9"/>
    <w:rsid w:val="009A6306"/>
    <w:rsid w:val="009A7B2C"/>
    <w:rsid w:val="009B0778"/>
    <w:rsid w:val="009B0834"/>
    <w:rsid w:val="009B18B1"/>
    <w:rsid w:val="009B1AAF"/>
    <w:rsid w:val="009B27BB"/>
    <w:rsid w:val="009B2FDD"/>
    <w:rsid w:val="009B330F"/>
    <w:rsid w:val="009B348E"/>
    <w:rsid w:val="009B3DC0"/>
    <w:rsid w:val="009B5223"/>
    <w:rsid w:val="009B6F1A"/>
    <w:rsid w:val="009C0CFE"/>
    <w:rsid w:val="009C1529"/>
    <w:rsid w:val="009C15B6"/>
    <w:rsid w:val="009C1CC5"/>
    <w:rsid w:val="009C214E"/>
    <w:rsid w:val="009C2C4E"/>
    <w:rsid w:val="009C3016"/>
    <w:rsid w:val="009C40E6"/>
    <w:rsid w:val="009C4D0E"/>
    <w:rsid w:val="009C679D"/>
    <w:rsid w:val="009C68E3"/>
    <w:rsid w:val="009C6CC1"/>
    <w:rsid w:val="009C71F6"/>
    <w:rsid w:val="009C77BD"/>
    <w:rsid w:val="009D143E"/>
    <w:rsid w:val="009D3A01"/>
    <w:rsid w:val="009D3DF8"/>
    <w:rsid w:val="009D4416"/>
    <w:rsid w:val="009D5128"/>
    <w:rsid w:val="009D6173"/>
    <w:rsid w:val="009D7D39"/>
    <w:rsid w:val="009E052E"/>
    <w:rsid w:val="009E096D"/>
    <w:rsid w:val="009E0D97"/>
    <w:rsid w:val="009E1A8E"/>
    <w:rsid w:val="009E1F96"/>
    <w:rsid w:val="009E2AF7"/>
    <w:rsid w:val="009E2DDC"/>
    <w:rsid w:val="009E4A72"/>
    <w:rsid w:val="009E6048"/>
    <w:rsid w:val="009E6A2E"/>
    <w:rsid w:val="009E72ED"/>
    <w:rsid w:val="009E7C80"/>
    <w:rsid w:val="009F0F3D"/>
    <w:rsid w:val="009F2FB0"/>
    <w:rsid w:val="009F5DE0"/>
    <w:rsid w:val="009F657B"/>
    <w:rsid w:val="009F6584"/>
    <w:rsid w:val="009F6A63"/>
    <w:rsid w:val="009F6C09"/>
    <w:rsid w:val="009F7FE0"/>
    <w:rsid w:val="00A01877"/>
    <w:rsid w:val="00A0332D"/>
    <w:rsid w:val="00A06E2E"/>
    <w:rsid w:val="00A0737C"/>
    <w:rsid w:val="00A075FD"/>
    <w:rsid w:val="00A1075D"/>
    <w:rsid w:val="00A13233"/>
    <w:rsid w:val="00A138FA"/>
    <w:rsid w:val="00A13CCF"/>
    <w:rsid w:val="00A14A57"/>
    <w:rsid w:val="00A14F93"/>
    <w:rsid w:val="00A20114"/>
    <w:rsid w:val="00A20268"/>
    <w:rsid w:val="00A2070A"/>
    <w:rsid w:val="00A21348"/>
    <w:rsid w:val="00A22F3C"/>
    <w:rsid w:val="00A23A47"/>
    <w:rsid w:val="00A23E4C"/>
    <w:rsid w:val="00A2648F"/>
    <w:rsid w:val="00A30622"/>
    <w:rsid w:val="00A31019"/>
    <w:rsid w:val="00A315C4"/>
    <w:rsid w:val="00A3224D"/>
    <w:rsid w:val="00A327A1"/>
    <w:rsid w:val="00A33235"/>
    <w:rsid w:val="00A33382"/>
    <w:rsid w:val="00A34AE8"/>
    <w:rsid w:val="00A34D65"/>
    <w:rsid w:val="00A34EFA"/>
    <w:rsid w:val="00A37642"/>
    <w:rsid w:val="00A40CE2"/>
    <w:rsid w:val="00A42198"/>
    <w:rsid w:val="00A42A88"/>
    <w:rsid w:val="00A42BD2"/>
    <w:rsid w:val="00A42D2D"/>
    <w:rsid w:val="00A430B4"/>
    <w:rsid w:val="00A44239"/>
    <w:rsid w:val="00A46433"/>
    <w:rsid w:val="00A52624"/>
    <w:rsid w:val="00A53AA8"/>
    <w:rsid w:val="00A54CC4"/>
    <w:rsid w:val="00A54D3D"/>
    <w:rsid w:val="00A56D86"/>
    <w:rsid w:val="00A57577"/>
    <w:rsid w:val="00A579BA"/>
    <w:rsid w:val="00A57E9A"/>
    <w:rsid w:val="00A602E5"/>
    <w:rsid w:val="00A619E9"/>
    <w:rsid w:val="00A63032"/>
    <w:rsid w:val="00A6357C"/>
    <w:rsid w:val="00A63996"/>
    <w:rsid w:val="00A63E0A"/>
    <w:rsid w:val="00A652AC"/>
    <w:rsid w:val="00A658BE"/>
    <w:rsid w:val="00A6694E"/>
    <w:rsid w:val="00A66E45"/>
    <w:rsid w:val="00A6753B"/>
    <w:rsid w:val="00A676B4"/>
    <w:rsid w:val="00A67B40"/>
    <w:rsid w:val="00A67F86"/>
    <w:rsid w:val="00A7078C"/>
    <w:rsid w:val="00A71990"/>
    <w:rsid w:val="00A72701"/>
    <w:rsid w:val="00A739EE"/>
    <w:rsid w:val="00A7462B"/>
    <w:rsid w:val="00A74B1A"/>
    <w:rsid w:val="00A74E7F"/>
    <w:rsid w:val="00A74FE6"/>
    <w:rsid w:val="00A751B3"/>
    <w:rsid w:val="00A7574D"/>
    <w:rsid w:val="00A758AE"/>
    <w:rsid w:val="00A769BB"/>
    <w:rsid w:val="00A76EF7"/>
    <w:rsid w:val="00A76F36"/>
    <w:rsid w:val="00A82505"/>
    <w:rsid w:val="00A83521"/>
    <w:rsid w:val="00A84C2B"/>
    <w:rsid w:val="00A87355"/>
    <w:rsid w:val="00A87810"/>
    <w:rsid w:val="00A87DAD"/>
    <w:rsid w:val="00A87F3B"/>
    <w:rsid w:val="00A9112D"/>
    <w:rsid w:val="00A9115F"/>
    <w:rsid w:val="00A932AD"/>
    <w:rsid w:val="00A93885"/>
    <w:rsid w:val="00A940BE"/>
    <w:rsid w:val="00A94DD8"/>
    <w:rsid w:val="00A9614D"/>
    <w:rsid w:val="00AA04D5"/>
    <w:rsid w:val="00AA05E2"/>
    <w:rsid w:val="00AA0F97"/>
    <w:rsid w:val="00AA38E3"/>
    <w:rsid w:val="00AA47F5"/>
    <w:rsid w:val="00AA61BD"/>
    <w:rsid w:val="00AB1874"/>
    <w:rsid w:val="00AB296E"/>
    <w:rsid w:val="00AB2DF7"/>
    <w:rsid w:val="00AB44DE"/>
    <w:rsid w:val="00AB49C2"/>
    <w:rsid w:val="00AB4CAC"/>
    <w:rsid w:val="00AB7409"/>
    <w:rsid w:val="00AC0308"/>
    <w:rsid w:val="00AC05E2"/>
    <w:rsid w:val="00AC14FC"/>
    <w:rsid w:val="00AC19BF"/>
    <w:rsid w:val="00AC2582"/>
    <w:rsid w:val="00AC610A"/>
    <w:rsid w:val="00AC663A"/>
    <w:rsid w:val="00AC79F6"/>
    <w:rsid w:val="00AC7F3E"/>
    <w:rsid w:val="00AD0713"/>
    <w:rsid w:val="00AD0FDC"/>
    <w:rsid w:val="00AD21BB"/>
    <w:rsid w:val="00AD2EBB"/>
    <w:rsid w:val="00AD3147"/>
    <w:rsid w:val="00AD3A9A"/>
    <w:rsid w:val="00AD3E7A"/>
    <w:rsid w:val="00AD45E0"/>
    <w:rsid w:val="00AD4DD0"/>
    <w:rsid w:val="00AD5320"/>
    <w:rsid w:val="00AD605D"/>
    <w:rsid w:val="00AD6F56"/>
    <w:rsid w:val="00AD7517"/>
    <w:rsid w:val="00AE0094"/>
    <w:rsid w:val="00AE13A6"/>
    <w:rsid w:val="00AE480F"/>
    <w:rsid w:val="00AE67FE"/>
    <w:rsid w:val="00AE6976"/>
    <w:rsid w:val="00AE6C37"/>
    <w:rsid w:val="00AE7E56"/>
    <w:rsid w:val="00AF2F8C"/>
    <w:rsid w:val="00AF3890"/>
    <w:rsid w:val="00AF4828"/>
    <w:rsid w:val="00AF49F3"/>
    <w:rsid w:val="00AF566A"/>
    <w:rsid w:val="00AF5BEC"/>
    <w:rsid w:val="00AF5E31"/>
    <w:rsid w:val="00AF7641"/>
    <w:rsid w:val="00B00575"/>
    <w:rsid w:val="00B0360D"/>
    <w:rsid w:val="00B039BC"/>
    <w:rsid w:val="00B0676D"/>
    <w:rsid w:val="00B0723C"/>
    <w:rsid w:val="00B07CDC"/>
    <w:rsid w:val="00B10AB9"/>
    <w:rsid w:val="00B11E69"/>
    <w:rsid w:val="00B1333C"/>
    <w:rsid w:val="00B14F53"/>
    <w:rsid w:val="00B15797"/>
    <w:rsid w:val="00B16392"/>
    <w:rsid w:val="00B16A14"/>
    <w:rsid w:val="00B17307"/>
    <w:rsid w:val="00B17342"/>
    <w:rsid w:val="00B17E6D"/>
    <w:rsid w:val="00B20E80"/>
    <w:rsid w:val="00B218BC"/>
    <w:rsid w:val="00B2243A"/>
    <w:rsid w:val="00B22BBB"/>
    <w:rsid w:val="00B22EF3"/>
    <w:rsid w:val="00B23275"/>
    <w:rsid w:val="00B2419F"/>
    <w:rsid w:val="00B24337"/>
    <w:rsid w:val="00B25658"/>
    <w:rsid w:val="00B25AEC"/>
    <w:rsid w:val="00B2705F"/>
    <w:rsid w:val="00B27297"/>
    <w:rsid w:val="00B2794C"/>
    <w:rsid w:val="00B3011F"/>
    <w:rsid w:val="00B33C59"/>
    <w:rsid w:val="00B3459C"/>
    <w:rsid w:val="00B34B83"/>
    <w:rsid w:val="00B34D65"/>
    <w:rsid w:val="00B35148"/>
    <w:rsid w:val="00B35496"/>
    <w:rsid w:val="00B35E9F"/>
    <w:rsid w:val="00B36C69"/>
    <w:rsid w:val="00B36F74"/>
    <w:rsid w:val="00B40B1E"/>
    <w:rsid w:val="00B40DEE"/>
    <w:rsid w:val="00B41986"/>
    <w:rsid w:val="00B41D52"/>
    <w:rsid w:val="00B43AEE"/>
    <w:rsid w:val="00B43AF4"/>
    <w:rsid w:val="00B43EC4"/>
    <w:rsid w:val="00B4701A"/>
    <w:rsid w:val="00B50CCE"/>
    <w:rsid w:val="00B51FDE"/>
    <w:rsid w:val="00B53EFF"/>
    <w:rsid w:val="00B561E5"/>
    <w:rsid w:val="00B60172"/>
    <w:rsid w:val="00B6035D"/>
    <w:rsid w:val="00B60C24"/>
    <w:rsid w:val="00B60CE6"/>
    <w:rsid w:val="00B62FEA"/>
    <w:rsid w:val="00B63D32"/>
    <w:rsid w:val="00B64CA8"/>
    <w:rsid w:val="00B64F99"/>
    <w:rsid w:val="00B6545A"/>
    <w:rsid w:val="00B66967"/>
    <w:rsid w:val="00B66A6C"/>
    <w:rsid w:val="00B66A8F"/>
    <w:rsid w:val="00B6747E"/>
    <w:rsid w:val="00B678DA"/>
    <w:rsid w:val="00B70438"/>
    <w:rsid w:val="00B715C0"/>
    <w:rsid w:val="00B72BC8"/>
    <w:rsid w:val="00B735C9"/>
    <w:rsid w:val="00B74BB9"/>
    <w:rsid w:val="00B757A3"/>
    <w:rsid w:val="00B75F29"/>
    <w:rsid w:val="00B76CB2"/>
    <w:rsid w:val="00B76FCF"/>
    <w:rsid w:val="00B7756A"/>
    <w:rsid w:val="00B83580"/>
    <w:rsid w:val="00B83820"/>
    <w:rsid w:val="00B854A0"/>
    <w:rsid w:val="00B8563C"/>
    <w:rsid w:val="00B859F0"/>
    <w:rsid w:val="00B863BA"/>
    <w:rsid w:val="00B86EA7"/>
    <w:rsid w:val="00B8755F"/>
    <w:rsid w:val="00B902F0"/>
    <w:rsid w:val="00B90C7D"/>
    <w:rsid w:val="00B919DF"/>
    <w:rsid w:val="00B92609"/>
    <w:rsid w:val="00B940E2"/>
    <w:rsid w:val="00BA1891"/>
    <w:rsid w:val="00BA1FF8"/>
    <w:rsid w:val="00BA21FC"/>
    <w:rsid w:val="00BA29C1"/>
    <w:rsid w:val="00BA30E1"/>
    <w:rsid w:val="00BA3C9D"/>
    <w:rsid w:val="00BA4744"/>
    <w:rsid w:val="00BA4945"/>
    <w:rsid w:val="00BA51EA"/>
    <w:rsid w:val="00BA5B5F"/>
    <w:rsid w:val="00BA6D37"/>
    <w:rsid w:val="00BA78DF"/>
    <w:rsid w:val="00BA7E90"/>
    <w:rsid w:val="00BB080D"/>
    <w:rsid w:val="00BB0CD7"/>
    <w:rsid w:val="00BB1055"/>
    <w:rsid w:val="00BB187F"/>
    <w:rsid w:val="00BB1AEF"/>
    <w:rsid w:val="00BB23E2"/>
    <w:rsid w:val="00BB3960"/>
    <w:rsid w:val="00BB3D67"/>
    <w:rsid w:val="00BB3ED2"/>
    <w:rsid w:val="00BB4116"/>
    <w:rsid w:val="00BB5CD0"/>
    <w:rsid w:val="00BB7765"/>
    <w:rsid w:val="00BB790F"/>
    <w:rsid w:val="00BB7F18"/>
    <w:rsid w:val="00BC1881"/>
    <w:rsid w:val="00BC1F45"/>
    <w:rsid w:val="00BC31A1"/>
    <w:rsid w:val="00BC3221"/>
    <w:rsid w:val="00BC4866"/>
    <w:rsid w:val="00BC5D89"/>
    <w:rsid w:val="00BD1652"/>
    <w:rsid w:val="00BD39DC"/>
    <w:rsid w:val="00BD5315"/>
    <w:rsid w:val="00BD5495"/>
    <w:rsid w:val="00BD6014"/>
    <w:rsid w:val="00BD7560"/>
    <w:rsid w:val="00BE0E6C"/>
    <w:rsid w:val="00BE1A5A"/>
    <w:rsid w:val="00BE251A"/>
    <w:rsid w:val="00BE25C7"/>
    <w:rsid w:val="00BE46C7"/>
    <w:rsid w:val="00BE562D"/>
    <w:rsid w:val="00BF13A4"/>
    <w:rsid w:val="00BF25B4"/>
    <w:rsid w:val="00BF2A0C"/>
    <w:rsid w:val="00BF2BE4"/>
    <w:rsid w:val="00BF318A"/>
    <w:rsid w:val="00BF4999"/>
    <w:rsid w:val="00BF5517"/>
    <w:rsid w:val="00BF59A9"/>
    <w:rsid w:val="00BF5A44"/>
    <w:rsid w:val="00BF5D60"/>
    <w:rsid w:val="00BF7A13"/>
    <w:rsid w:val="00C003FE"/>
    <w:rsid w:val="00C007CE"/>
    <w:rsid w:val="00C010C7"/>
    <w:rsid w:val="00C01F5C"/>
    <w:rsid w:val="00C022DE"/>
    <w:rsid w:val="00C02D6E"/>
    <w:rsid w:val="00C03231"/>
    <w:rsid w:val="00C032F8"/>
    <w:rsid w:val="00C03DA4"/>
    <w:rsid w:val="00C04DC3"/>
    <w:rsid w:val="00C06D38"/>
    <w:rsid w:val="00C1086D"/>
    <w:rsid w:val="00C10A47"/>
    <w:rsid w:val="00C12F6F"/>
    <w:rsid w:val="00C13859"/>
    <w:rsid w:val="00C13C85"/>
    <w:rsid w:val="00C14FDE"/>
    <w:rsid w:val="00C15031"/>
    <w:rsid w:val="00C15A94"/>
    <w:rsid w:val="00C20568"/>
    <w:rsid w:val="00C21992"/>
    <w:rsid w:val="00C21A27"/>
    <w:rsid w:val="00C21B3E"/>
    <w:rsid w:val="00C2225E"/>
    <w:rsid w:val="00C22295"/>
    <w:rsid w:val="00C22857"/>
    <w:rsid w:val="00C22F24"/>
    <w:rsid w:val="00C250D5"/>
    <w:rsid w:val="00C25346"/>
    <w:rsid w:val="00C25358"/>
    <w:rsid w:val="00C273BF"/>
    <w:rsid w:val="00C27C6B"/>
    <w:rsid w:val="00C27CB9"/>
    <w:rsid w:val="00C31973"/>
    <w:rsid w:val="00C3310B"/>
    <w:rsid w:val="00C37994"/>
    <w:rsid w:val="00C40E57"/>
    <w:rsid w:val="00C41925"/>
    <w:rsid w:val="00C429DE"/>
    <w:rsid w:val="00C42E45"/>
    <w:rsid w:val="00C44D78"/>
    <w:rsid w:val="00C454B7"/>
    <w:rsid w:val="00C45624"/>
    <w:rsid w:val="00C45C09"/>
    <w:rsid w:val="00C46394"/>
    <w:rsid w:val="00C477A4"/>
    <w:rsid w:val="00C50C8B"/>
    <w:rsid w:val="00C50D62"/>
    <w:rsid w:val="00C51FC2"/>
    <w:rsid w:val="00C5461D"/>
    <w:rsid w:val="00C54BC6"/>
    <w:rsid w:val="00C576DD"/>
    <w:rsid w:val="00C60141"/>
    <w:rsid w:val="00C601D0"/>
    <w:rsid w:val="00C61734"/>
    <w:rsid w:val="00C62EE3"/>
    <w:rsid w:val="00C63688"/>
    <w:rsid w:val="00C64DB7"/>
    <w:rsid w:val="00C66CF8"/>
    <w:rsid w:val="00C70534"/>
    <w:rsid w:val="00C727B6"/>
    <w:rsid w:val="00C7334E"/>
    <w:rsid w:val="00C748CF"/>
    <w:rsid w:val="00C766D8"/>
    <w:rsid w:val="00C77337"/>
    <w:rsid w:val="00C8047D"/>
    <w:rsid w:val="00C80AF6"/>
    <w:rsid w:val="00C8314A"/>
    <w:rsid w:val="00C8332E"/>
    <w:rsid w:val="00C840C0"/>
    <w:rsid w:val="00C85792"/>
    <w:rsid w:val="00C86CEB"/>
    <w:rsid w:val="00C86E5F"/>
    <w:rsid w:val="00C870DE"/>
    <w:rsid w:val="00C879E2"/>
    <w:rsid w:val="00C914EE"/>
    <w:rsid w:val="00C92C93"/>
    <w:rsid w:val="00C93F4F"/>
    <w:rsid w:val="00C952C3"/>
    <w:rsid w:val="00C96CF1"/>
    <w:rsid w:val="00CA0EAC"/>
    <w:rsid w:val="00CA2638"/>
    <w:rsid w:val="00CA2725"/>
    <w:rsid w:val="00CA5BC0"/>
    <w:rsid w:val="00CA648B"/>
    <w:rsid w:val="00CA6A62"/>
    <w:rsid w:val="00CA79DE"/>
    <w:rsid w:val="00CA7D8B"/>
    <w:rsid w:val="00CB07BB"/>
    <w:rsid w:val="00CB0EAF"/>
    <w:rsid w:val="00CB26DD"/>
    <w:rsid w:val="00CB409F"/>
    <w:rsid w:val="00CB4C47"/>
    <w:rsid w:val="00CB7BCF"/>
    <w:rsid w:val="00CB7D93"/>
    <w:rsid w:val="00CB7F87"/>
    <w:rsid w:val="00CC0716"/>
    <w:rsid w:val="00CC148C"/>
    <w:rsid w:val="00CC4209"/>
    <w:rsid w:val="00CC6EF8"/>
    <w:rsid w:val="00CC7A89"/>
    <w:rsid w:val="00CC7B69"/>
    <w:rsid w:val="00CD3D04"/>
    <w:rsid w:val="00CD5814"/>
    <w:rsid w:val="00CD5DB9"/>
    <w:rsid w:val="00CD6DE8"/>
    <w:rsid w:val="00CD6F31"/>
    <w:rsid w:val="00CD6FF3"/>
    <w:rsid w:val="00CD7852"/>
    <w:rsid w:val="00CE3422"/>
    <w:rsid w:val="00CE4B2E"/>
    <w:rsid w:val="00CE522C"/>
    <w:rsid w:val="00CE5D51"/>
    <w:rsid w:val="00CE5E55"/>
    <w:rsid w:val="00CE6D28"/>
    <w:rsid w:val="00CF0BD6"/>
    <w:rsid w:val="00CF0F57"/>
    <w:rsid w:val="00CF156B"/>
    <w:rsid w:val="00CF1572"/>
    <w:rsid w:val="00CF25E3"/>
    <w:rsid w:val="00CF2F72"/>
    <w:rsid w:val="00CF444D"/>
    <w:rsid w:val="00CF50B5"/>
    <w:rsid w:val="00CF5841"/>
    <w:rsid w:val="00CF5B4C"/>
    <w:rsid w:val="00CF69E1"/>
    <w:rsid w:val="00CF7DCF"/>
    <w:rsid w:val="00D0008E"/>
    <w:rsid w:val="00D003AE"/>
    <w:rsid w:val="00D012AA"/>
    <w:rsid w:val="00D01D82"/>
    <w:rsid w:val="00D02027"/>
    <w:rsid w:val="00D03410"/>
    <w:rsid w:val="00D054AE"/>
    <w:rsid w:val="00D058C8"/>
    <w:rsid w:val="00D10E03"/>
    <w:rsid w:val="00D10E37"/>
    <w:rsid w:val="00D12B35"/>
    <w:rsid w:val="00D13144"/>
    <w:rsid w:val="00D13C94"/>
    <w:rsid w:val="00D13D67"/>
    <w:rsid w:val="00D15A98"/>
    <w:rsid w:val="00D16732"/>
    <w:rsid w:val="00D20BA6"/>
    <w:rsid w:val="00D20EFE"/>
    <w:rsid w:val="00D21B8B"/>
    <w:rsid w:val="00D2287C"/>
    <w:rsid w:val="00D2301A"/>
    <w:rsid w:val="00D277A3"/>
    <w:rsid w:val="00D31B90"/>
    <w:rsid w:val="00D33A07"/>
    <w:rsid w:val="00D34017"/>
    <w:rsid w:val="00D3439E"/>
    <w:rsid w:val="00D34740"/>
    <w:rsid w:val="00D35408"/>
    <w:rsid w:val="00D3618F"/>
    <w:rsid w:val="00D36631"/>
    <w:rsid w:val="00D37A12"/>
    <w:rsid w:val="00D37E6A"/>
    <w:rsid w:val="00D37F09"/>
    <w:rsid w:val="00D41421"/>
    <w:rsid w:val="00D41F28"/>
    <w:rsid w:val="00D42560"/>
    <w:rsid w:val="00D42ECD"/>
    <w:rsid w:val="00D43746"/>
    <w:rsid w:val="00D4392F"/>
    <w:rsid w:val="00D43A04"/>
    <w:rsid w:val="00D43CEE"/>
    <w:rsid w:val="00D44677"/>
    <w:rsid w:val="00D44B7D"/>
    <w:rsid w:val="00D44C6D"/>
    <w:rsid w:val="00D44D6E"/>
    <w:rsid w:val="00D5359D"/>
    <w:rsid w:val="00D53878"/>
    <w:rsid w:val="00D5398E"/>
    <w:rsid w:val="00D54C77"/>
    <w:rsid w:val="00D5513D"/>
    <w:rsid w:val="00D55264"/>
    <w:rsid w:val="00D60078"/>
    <w:rsid w:val="00D617CF"/>
    <w:rsid w:val="00D627A6"/>
    <w:rsid w:val="00D6328A"/>
    <w:rsid w:val="00D64EF4"/>
    <w:rsid w:val="00D65369"/>
    <w:rsid w:val="00D655B3"/>
    <w:rsid w:val="00D668A7"/>
    <w:rsid w:val="00D70AB8"/>
    <w:rsid w:val="00D70C2C"/>
    <w:rsid w:val="00D71637"/>
    <w:rsid w:val="00D71C3E"/>
    <w:rsid w:val="00D71FDC"/>
    <w:rsid w:val="00D72A98"/>
    <w:rsid w:val="00D72B71"/>
    <w:rsid w:val="00D73715"/>
    <w:rsid w:val="00D759A8"/>
    <w:rsid w:val="00D75A4C"/>
    <w:rsid w:val="00D77351"/>
    <w:rsid w:val="00D77A07"/>
    <w:rsid w:val="00D80006"/>
    <w:rsid w:val="00D81E0C"/>
    <w:rsid w:val="00D8469F"/>
    <w:rsid w:val="00D84D81"/>
    <w:rsid w:val="00D84F8E"/>
    <w:rsid w:val="00D85896"/>
    <w:rsid w:val="00D87660"/>
    <w:rsid w:val="00D876C7"/>
    <w:rsid w:val="00D87F7E"/>
    <w:rsid w:val="00D903F1"/>
    <w:rsid w:val="00D919BD"/>
    <w:rsid w:val="00D920FF"/>
    <w:rsid w:val="00D92DA5"/>
    <w:rsid w:val="00D943F6"/>
    <w:rsid w:val="00D96A0A"/>
    <w:rsid w:val="00D96FBB"/>
    <w:rsid w:val="00DA35DA"/>
    <w:rsid w:val="00DA3905"/>
    <w:rsid w:val="00DA39B2"/>
    <w:rsid w:val="00DA40DB"/>
    <w:rsid w:val="00DA521F"/>
    <w:rsid w:val="00DA5E5D"/>
    <w:rsid w:val="00DA7887"/>
    <w:rsid w:val="00DA7E33"/>
    <w:rsid w:val="00DB02BF"/>
    <w:rsid w:val="00DB0AF2"/>
    <w:rsid w:val="00DB1828"/>
    <w:rsid w:val="00DB1B1C"/>
    <w:rsid w:val="00DB1C28"/>
    <w:rsid w:val="00DB2772"/>
    <w:rsid w:val="00DB2B93"/>
    <w:rsid w:val="00DB3219"/>
    <w:rsid w:val="00DB5B91"/>
    <w:rsid w:val="00DB6FFA"/>
    <w:rsid w:val="00DB7209"/>
    <w:rsid w:val="00DB7272"/>
    <w:rsid w:val="00DB7940"/>
    <w:rsid w:val="00DC21D6"/>
    <w:rsid w:val="00DC3230"/>
    <w:rsid w:val="00DC406C"/>
    <w:rsid w:val="00DC46F2"/>
    <w:rsid w:val="00DC4AC6"/>
    <w:rsid w:val="00DC4E09"/>
    <w:rsid w:val="00DC7627"/>
    <w:rsid w:val="00DC77BA"/>
    <w:rsid w:val="00DD1CB5"/>
    <w:rsid w:val="00DD22C6"/>
    <w:rsid w:val="00DD475A"/>
    <w:rsid w:val="00DD5479"/>
    <w:rsid w:val="00DD5C4C"/>
    <w:rsid w:val="00DD6650"/>
    <w:rsid w:val="00DD7214"/>
    <w:rsid w:val="00DD7631"/>
    <w:rsid w:val="00DE170A"/>
    <w:rsid w:val="00DE2CDE"/>
    <w:rsid w:val="00DE3E3D"/>
    <w:rsid w:val="00DE43AE"/>
    <w:rsid w:val="00DE47E0"/>
    <w:rsid w:val="00DE5CD6"/>
    <w:rsid w:val="00DE5D0D"/>
    <w:rsid w:val="00DE6ED2"/>
    <w:rsid w:val="00DE73C6"/>
    <w:rsid w:val="00DE7FA7"/>
    <w:rsid w:val="00DF02D9"/>
    <w:rsid w:val="00DF194D"/>
    <w:rsid w:val="00DF30D3"/>
    <w:rsid w:val="00DF45D4"/>
    <w:rsid w:val="00DF4DF4"/>
    <w:rsid w:val="00DF5E4E"/>
    <w:rsid w:val="00DF6B58"/>
    <w:rsid w:val="00DF7D91"/>
    <w:rsid w:val="00E00D5D"/>
    <w:rsid w:val="00E0492D"/>
    <w:rsid w:val="00E04B1B"/>
    <w:rsid w:val="00E05F83"/>
    <w:rsid w:val="00E06271"/>
    <w:rsid w:val="00E06463"/>
    <w:rsid w:val="00E07359"/>
    <w:rsid w:val="00E10652"/>
    <w:rsid w:val="00E116B4"/>
    <w:rsid w:val="00E1212A"/>
    <w:rsid w:val="00E1396C"/>
    <w:rsid w:val="00E15333"/>
    <w:rsid w:val="00E163CA"/>
    <w:rsid w:val="00E2048D"/>
    <w:rsid w:val="00E22BF5"/>
    <w:rsid w:val="00E22E4F"/>
    <w:rsid w:val="00E245BC"/>
    <w:rsid w:val="00E24F83"/>
    <w:rsid w:val="00E250BA"/>
    <w:rsid w:val="00E25D11"/>
    <w:rsid w:val="00E26E4A"/>
    <w:rsid w:val="00E300EB"/>
    <w:rsid w:val="00E31186"/>
    <w:rsid w:val="00E3335E"/>
    <w:rsid w:val="00E33565"/>
    <w:rsid w:val="00E335D6"/>
    <w:rsid w:val="00E342BE"/>
    <w:rsid w:val="00E35421"/>
    <w:rsid w:val="00E356A9"/>
    <w:rsid w:val="00E36087"/>
    <w:rsid w:val="00E37294"/>
    <w:rsid w:val="00E405EF"/>
    <w:rsid w:val="00E41480"/>
    <w:rsid w:val="00E42EB7"/>
    <w:rsid w:val="00E4319B"/>
    <w:rsid w:val="00E43B9C"/>
    <w:rsid w:val="00E505D5"/>
    <w:rsid w:val="00E506AE"/>
    <w:rsid w:val="00E53192"/>
    <w:rsid w:val="00E5424E"/>
    <w:rsid w:val="00E549E4"/>
    <w:rsid w:val="00E55727"/>
    <w:rsid w:val="00E565A8"/>
    <w:rsid w:val="00E60C8C"/>
    <w:rsid w:val="00E61ADD"/>
    <w:rsid w:val="00E62290"/>
    <w:rsid w:val="00E62C43"/>
    <w:rsid w:val="00E64316"/>
    <w:rsid w:val="00E64830"/>
    <w:rsid w:val="00E652B8"/>
    <w:rsid w:val="00E65EAE"/>
    <w:rsid w:val="00E6721F"/>
    <w:rsid w:val="00E6736A"/>
    <w:rsid w:val="00E67D8A"/>
    <w:rsid w:val="00E7090A"/>
    <w:rsid w:val="00E7146B"/>
    <w:rsid w:val="00E71488"/>
    <w:rsid w:val="00E71F3F"/>
    <w:rsid w:val="00E7257B"/>
    <w:rsid w:val="00E7304B"/>
    <w:rsid w:val="00E73CEE"/>
    <w:rsid w:val="00E77568"/>
    <w:rsid w:val="00E80F6A"/>
    <w:rsid w:val="00E8105C"/>
    <w:rsid w:val="00E8140D"/>
    <w:rsid w:val="00E81BC4"/>
    <w:rsid w:val="00E829A4"/>
    <w:rsid w:val="00E83FA2"/>
    <w:rsid w:val="00E849D7"/>
    <w:rsid w:val="00E84E09"/>
    <w:rsid w:val="00E850A5"/>
    <w:rsid w:val="00E87000"/>
    <w:rsid w:val="00E906B0"/>
    <w:rsid w:val="00E9237A"/>
    <w:rsid w:val="00E93A22"/>
    <w:rsid w:val="00E94BB5"/>
    <w:rsid w:val="00E958A2"/>
    <w:rsid w:val="00E965F9"/>
    <w:rsid w:val="00E96D4C"/>
    <w:rsid w:val="00EA09D8"/>
    <w:rsid w:val="00EA2456"/>
    <w:rsid w:val="00EA27F6"/>
    <w:rsid w:val="00EA4BC2"/>
    <w:rsid w:val="00EA4E2E"/>
    <w:rsid w:val="00EA5AE0"/>
    <w:rsid w:val="00EA5E47"/>
    <w:rsid w:val="00EA6A6D"/>
    <w:rsid w:val="00EA6FD0"/>
    <w:rsid w:val="00EA7160"/>
    <w:rsid w:val="00EB42C5"/>
    <w:rsid w:val="00EB5BF5"/>
    <w:rsid w:val="00EB5E4D"/>
    <w:rsid w:val="00EC0591"/>
    <w:rsid w:val="00EC182A"/>
    <w:rsid w:val="00EC2B63"/>
    <w:rsid w:val="00EC32CC"/>
    <w:rsid w:val="00EC4B86"/>
    <w:rsid w:val="00EC4CC2"/>
    <w:rsid w:val="00EC5026"/>
    <w:rsid w:val="00EC5D1E"/>
    <w:rsid w:val="00EC701D"/>
    <w:rsid w:val="00ED1969"/>
    <w:rsid w:val="00ED1CB0"/>
    <w:rsid w:val="00ED1D26"/>
    <w:rsid w:val="00ED278D"/>
    <w:rsid w:val="00ED2E9C"/>
    <w:rsid w:val="00ED2EB6"/>
    <w:rsid w:val="00ED3B77"/>
    <w:rsid w:val="00ED4F0C"/>
    <w:rsid w:val="00ED5A4F"/>
    <w:rsid w:val="00ED619F"/>
    <w:rsid w:val="00ED715A"/>
    <w:rsid w:val="00EE04B1"/>
    <w:rsid w:val="00EE154F"/>
    <w:rsid w:val="00EE1609"/>
    <w:rsid w:val="00EE1EB4"/>
    <w:rsid w:val="00EE3E88"/>
    <w:rsid w:val="00EE4443"/>
    <w:rsid w:val="00EE5F20"/>
    <w:rsid w:val="00EF0C30"/>
    <w:rsid w:val="00EF0CA8"/>
    <w:rsid w:val="00EF1427"/>
    <w:rsid w:val="00EF14E0"/>
    <w:rsid w:val="00EF312C"/>
    <w:rsid w:val="00EF44E2"/>
    <w:rsid w:val="00EF4A23"/>
    <w:rsid w:val="00EF631B"/>
    <w:rsid w:val="00EF6832"/>
    <w:rsid w:val="00EF69FD"/>
    <w:rsid w:val="00EF7138"/>
    <w:rsid w:val="00F0035A"/>
    <w:rsid w:val="00F006DE"/>
    <w:rsid w:val="00F00C21"/>
    <w:rsid w:val="00F02BE8"/>
    <w:rsid w:val="00F04CCC"/>
    <w:rsid w:val="00F057B3"/>
    <w:rsid w:val="00F05D6C"/>
    <w:rsid w:val="00F070DA"/>
    <w:rsid w:val="00F07243"/>
    <w:rsid w:val="00F076A0"/>
    <w:rsid w:val="00F07A08"/>
    <w:rsid w:val="00F106DF"/>
    <w:rsid w:val="00F10AD1"/>
    <w:rsid w:val="00F1141E"/>
    <w:rsid w:val="00F12CFF"/>
    <w:rsid w:val="00F1431C"/>
    <w:rsid w:val="00F147AE"/>
    <w:rsid w:val="00F149CB"/>
    <w:rsid w:val="00F152A8"/>
    <w:rsid w:val="00F15803"/>
    <w:rsid w:val="00F16EC6"/>
    <w:rsid w:val="00F1753B"/>
    <w:rsid w:val="00F21639"/>
    <w:rsid w:val="00F21B39"/>
    <w:rsid w:val="00F2215C"/>
    <w:rsid w:val="00F2221E"/>
    <w:rsid w:val="00F227A5"/>
    <w:rsid w:val="00F22B6F"/>
    <w:rsid w:val="00F257A1"/>
    <w:rsid w:val="00F25E76"/>
    <w:rsid w:val="00F26AFB"/>
    <w:rsid w:val="00F279A4"/>
    <w:rsid w:val="00F309F1"/>
    <w:rsid w:val="00F30E3F"/>
    <w:rsid w:val="00F3146A"/>
    <w:rsid w:val="00F32E1B"/>
    <w:rsid w:val="00F33AD3"/>
    <w:rsid w:val="00F3430D"/>
    <w:rsid w:val="00F34C3D"/>
    <w:rsid w:val="00F34E17"/>
    <w:rsid w:val="00F365B4"/>
    <w:rsid w:val="00F40AFD"/>
    <w:rsid w:val="00F40E17"/>
    <w:rsid w:val="00F438E0"/>
    <w:rsid w:val="00F448F9"/>
    <w:rsid w:val="00F44A38"/>
    <w:rsid w:val="00F4525C"/>
    <w:rsid w:val="00F46076"/>
    <w:rsid w:val="00F46C25"/>
    <w:rsid w:val="00F47204"/>
    <w:rsid w:val="00F47645"/>
    <w:rsid w:val="00F47C71"/>
    <w:rsid w:val="00F47E21"/>
    <w:rsid w:val="00F52B00"/>
    <w:rsid w:val="00F53003"/>
    <w:rsid w:val="00F548CD"/>
    <w:rsid w:val="00F55D40"/>
    <w:rsid w:val="00F5643A"/>
    <w:rsid w:val="00F56B32"/>
    <w:rsid w:val="00F604C7"/>
    <w:rsid w:val="00F62143"/>
    <w:rsid w:val="00F623DB"/>
    <w:rsid w:val="00F62E1F"/>
    <w:rsid w:val="00F6326C"/>
    <w:rsid w:val="00F637AB"/>
    <w:rsid w:val="00F64F58"/>
    <w:rsid w:val="00F651C6"/>
    <w:rsid w:val="00F65B4C"/>
    <w:rsid w:val="00F66055"/>
    <w:rsid w:val="00F677E6"/>
    <w:rsid w:val="00F679A9"/>
    <w:rsid w:val="00F70794"/>
    <w:rsid w:val="00F72173"/>
    <w:rsid w:val="00F72612"/>
    <w:rsid w:val="00F72AB4"/>
    <w:rsid w:val="00F7348A"/>
    <w:rsid w:val="00F745A7"/>
    <w:rsid w:val="00F74853"/>
    <w:rsid w:val="00F74C80"/>
    <w:rsid w:val="00F75EED"/>
    <w:rsid w:val="00F80D58"/>
    <w:rsid w:val="00F83476"/>
    <w:rsid w:val="00F84759"/>
    <w:rsid w:val="00F856FD"/>
    <w:rsid w:val="00F875C3"/>
    <w:rsid w:val="00F87865"/>
    <w:rsid w:val="00F87D06"/>
    <w:rsid w:val="00F90243"/>
    <w:rsid w:val="00F910C1"/>
    <w:rsid w:val="00F929BF"/>
    <w:rsid w:val="00F9361F"/>
    <w:rsid w:val="00F93A2B"/>
    <w:rsid w:val="00F95AA8"/>
    <w:rsid w:val="00FA006E"/>
    <w:rsid w:val="00FA0B71"/>
    <w:rsid w:val="00FA12EF"/>
    <w:rsid w:val="00FA5683"/>
    <w:rsid w:val="00FA66E5"/>
    <w:rsid w:val="00FA74DD"/>
    <w:rsid w:val="00FB0082"/>
    <w:rsid w:val="00FB28AB"/>
    <w:rsid w:val="00FB2E8B"/>
    <w:rsid w:val="00FB5EDB"/>
    <w:rsid w:val="00FB5EF8"/>
    <w:rsid w:val="00FB65B9"/>
    <w:rsid w:val="00FB6E0D"/>
    <w:rsid w:val="00FB70BA"/>
    <w:rsid w:val="00FC04A8"/>
    <w:rsid w:val="00FC426E"/>
    <w:rsid w:val="00FC4F01"/>
    <w:rsid w:val="00FC66F6"/>
    <w:rsid w:val="00FC71D7"/>
    <w:rsid w:val="00FC7298"/>
    <w:rsid w:val="00FC7EFF"/>
    <w:rsid w:val="00FD016C"/>
    <w:rsid w:val="00FD1BC8"/>
    <w:rsid w:val="00FD22B0"/>
    <w:rsid w:val="00FD3047"/>
    <w:rsid w:val="00FD3AE7"/>
    <w:rsid w:val="00FD3F33"/>
    <w:rsid w:val="00FD444F"/>
    <w:rsid w:val="00FE48C3"/>
    <w:rsid w:val="00FE4B1D"/>
    <w:rsid w:val="00FE5DC5"/>
    <w:rsid w:val="00FE5FF2"/>
    <w:rsid w:val="00FE6EE9"/>
    <w:rsid w:val="00FE7985"/>
    <w:rsid w:val="00FF5D3E"/>
    <w:rsid w:val="00FF75A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5752A"/>
  <w15:docId w15:val="{BA8F80E1-DC19-4BB1-8B9D-F754651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7DBC"/>
    <w:pPr>
      <w:widowControl w:val="0"/>
      <w:suppressAutoHyphens/>
      <w:spacing w:after="360" w:line="264" w:lineRule="auto"/>
    </w:pPr>
    <w:rPr>
      <w:rFonts w:ascii="Calibri" w:hAnsi="Calibri" w:cs="Calibri"/>
      <w:sz w:val="22"/>
      <w:szCs w:val="22"/>
    </w:rPr>
  </w:style>
  <w:style w:type="paragraph" w:styleId="Heading1">
    <w:name w:val="heading 1"/>
    <w:basedOn w:val="Normal"/>
    <w:next w:val="Normal"/>
    <w:link w:val="Heading1Char"/>
    <w:qFormat/>
    <w:rsid w:val="003357DE"/>
    <w:pPr>
      <w:keepNext/>
      <w:keepLines/>
      <w:spacing w:before="480" w:after="240"/>
      <w:outlineLvl w:val="0"/>
    </w:pPr>
    <w:rPr>
      <w:bCs/>
      <w:color w:val="365F91"/>
      <w:sz w:val="32"/>
      <w:szCs w:val="28"/>
    </w:rPr>
  </w:style>
  <w:style w:type="paragraph" w:styleId="Heading2">
    <w:name w:val="heading 2"/>
    <w:basedOn w:val="Normal"/>
    <w:next w:val="Normal"/>
    <w:link w:val="Heading2Char"/>
    <w:uiPriority w:val="99"/>
    <w:qFormat/>
    <w:rsid w:val="003357DE"/>
    <w:pPr>
      <w:keepNext/>
      <w:keepLines/>
      <w:tabs>
        <w:tab w:val="num" w:pos="0"/>
      </w:tabs>
      <w:spacing w:before="480" w:after="240"/>
      <w:ind w:left="578" w:hanging="578"/>
      <w:outlineLvl w:val="1"/>
    </w:pPr>
    <w:rPr>
      <w:b/>
      <w:bCs/>
      <w:color w:val="4F81BD"/>
      <w:sz w:val="28"/>
      <w:szCs w:val="26"/>
    </w:rPr>
  </w:style>
  <w:style w:type="paragraph" w:styleId="Heading3">
    <w:name w:val="heading 3"/>
    <w:basedOn w:val="Normal"/>
    <w:next w:val="Normal"/>
    <w:link w:val="Heading3Char"/>
    <w:uiPriority w:val="99"/>
    <w:qFormat/>
    <w:rsid w:val="003357DE"/>
    <w:pPr>
      <w:keepNext/>
      <w:keepLines/>
      <w:tabs>
        <w:tab w:val="num" w:pos="0"/>
      </w:tabs>
      <w:spacing w:before="480" w:after="120"/>
      <w:outlineLvl w:val="2"/>
    </w:pPr>
    <w:rPr>
      <w:b/>
      <w:bCs/>
      <w:color w:val="4F81BD"/>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rsid w:val="003357DE"/>
    <w:rPr>
      <w:rFonts w:ascii="Calibri" w:hAnsi="Calibri" w:cs="Calibri"/>
      <w:bCs/>
      <w:color w:val="365F91"/>
      <w:sz w:val="32"/>
      <w:szCs w:val="28"/>
    </w:rPr>
  </w:style>
  <w:style w:type="character" w:customStyle="1" w:styleId="Heading2Char">
    <w:name w:val="Heading 2 Char"/>
    <w:basedOn w:val="DefaultParagraphFont1"/>
    <w:link w:val="Heading2"/>
    <w:uiPriority w:val="99"/>
    <w:rsid w:val="003357DE"/>
    <w:rPr>
      <w:rFonts w:ascii="Calibri" w:hAnsi="Calibri" w:cs="Calibri"/>
      <w:b/>
      <w:bCs/>
      <w:color w:val="4F81BD"/>
      <w:sz w:val="28"/>
      <w:szCs w:val="26"/>
    </w:rPr>
  </w:style>
  <w:style w:type="character" w:customStyle="1" w:styleId="Heading3Char">
    <w:name w:val="Heading 3 Char"/>
    <w:basedOn w:val="DefaultParagraphFont1"/>
    <w:link w:val="Heading3"/>
    <w:uiPriority w:val="99"/>
    <w:rsid w:val="003357DE"/>
    <w:rPr>
      <w:rFonts w:ascii="Calibri" w:hAnsi="Calibri" w:cs="Calibri"/>
      <w:b/>
      <w:bCs/>
      <w:color w:val="4F81BD"/>
      <w:sz w:val="24"/>
      <w:szCs w:val="22"/>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99"/>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187E0B"/>
    <w:rPr>
      <w:rFonts w:ascii="Calibri" w:hAnsi="Calibri" w:cs="Times New Roman"/>
      <w:color w:val="0084B4"/>
      <w:u w:val="single"/>
    </w:rPr>
  </w:style>
  <w:style w:type="character" w:customStyle="1" w:styleId="HeaderChar">
    <w:name w:val="Header Char"/>
    <w:basedOn w:val="DefaultParagraphFont1"/>
    <w:uiPriority w:val="99"/>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basedOn w:val="DefaultParagraphFont"/>
    <w:link w:val="Header"/>
    <w:uiPriority w:val="99"/>
    <w:semiHidden/>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3009F4"/>
    <w:pPr>
      <w:pBdr>
        <w:bottom w:val="single" w:sz="8" w:space="4" w:color="808080"/>
      </w:pBdr>
      <w:spacing w:after="300" w:line="240" w:lineRule="auto"/>
    </w:pPr>
    <w:rPr>
      <w:caps/>
      <w:color w:val="17365D"/>
      <w:spacing w:val="5"/>
      <w:kern w:val="1"/>
      <w:sz w:val="52"/>
      <w:szCs w:val="52"/>
    </w:rPr>
  </w:style>
  <w:style w:type="character" w:customStyle="1" w:styleId="TitleChar1">
    <w:name w:val="Title Char1"/>
    <w:basedOn w:val="DefaultParagraphFont"/>
    <w:link w:val="Title"/>
    <w:uiPriority w:val="10"/>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basedOn w:val="Normal"/>
    <w:uiPriority w:val="34"/>
    <w:qFormat/>
    <w:rsid w:val="00874908"/>
    <w:pPr>
      <w:numPr>
        <w:numId w:val="14"/>
      </w:numPr>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rsid w:val="003E6F94"/>
    <w:rPr>
      <w:sz w:val="20"/>
      <w:szCs w:val="20"/>
    </w:rPr>
  </w:style>
  <w:style w:type="character" w:customStyle="1" w:styleId="FootnoteTextChar1">
    <w:name w:val="Footnote Text Char1"/>
    <w:basedOn w:val="DefaultParagraphFont"/>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rsid w:val="00AF7641"/>
    <w:rPr>
      <w:rFonts w:cs="Times New Roman"/>
      <w:vertAlign w:val="superscript"/>
    </w:rPr>
  </w:style>
  <w:style w:type="paragraph" w:customStyle="1" w:styleId="BodyText1">
    <w:name w:val="Body Text1"/>
    <w:aliases w:val="OPM"/>
    <w:basedOn w:val="Normal"/>
    <w:link w:val="BodytextChar0"/>
    <w:qFormat/>
    <w:rsid w:val="007E1A89"/>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815A2F"/>
    <w:pPr>
      <w:spacing w:before="120" w:after="0"/>
    </w:pPr>
    <w:rPr>
      <w:b/>
      <w:bCs/>
      <w:sz w:val="24"/>
      <w:szCs w:val="24"/>
    </w:rPr>
  </w:style>
  <w:style w:type="paragraph" w:styleId="TOC2">
    <w:name w:val="toc 2"/>
    <w:basedOn w:val="Normal"/>
    <w:next w:val="Normal"/>
    <w:autoRedefine/>
    <w:uiPriority w:val="39"/>
    <w:unhideWhenUsed/>
    <w:qFormat/>
    <w:rsid w:val="00815A2F"/>
    <w:pPr>
      <w:spacing w:after="0"/>
      <w:ind w:left="220"/>
    </w:pPr>
    <w:rPr>
      <w:b/>
      <w:bCs/>
    </w:rPr>
  </w:style>
  <w:style w:type="paragraph" w:styleId="TOC3">
    <w:name w:val="toc 3"/>
    <w:basedOn w:val="Normal"/>
    <w:next w:val="Normal"/>
    <w:autoRedefine/>
    <w:uiPriority w:val="39"/>
    <w:unhideWhenUsed/>
    <w:qFormat/>
    <w:rsid w:val="00815A2F"/>
    <w:pPr>
      <w:spacing w:after="0"/>
      <w:ind w:left="440"/>
    </w:p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character" w:customStyle="1" w:styleId="Heading3Char1">
    <w:name w:val="Heading 3 Char1"/>
    <w:basedOn w:val="DefaultParagraphFont"/>
    <w:uiPriority w:val="99"/>
    <w:rsid w:val="00743FAE"/>
    <w:rPr>
      <w:rFonts w:ascii="Myriad Pro SemiCond" w:hAnsi="Myriad Pro SemiCond"/>
      <w:b/>
      <w:bCs/>
      <w:color w:val="4F81BD"/>
      <w:szCs w:val="22"/>
      <w:lang w:val="en-GB" w:eastAsia="en-US" w:bidi="en-US"/>
    </w:rPr>
  </w:style>
  <w:style w:type="paragraph" w:styleId="Caption">
    <w:name w:val="caption"/>
    <w:basedOn w:val="Normal"/>
    <w:next w:val="Normal"/>
    <w:uiPriority w:val="35"/>
    <w:qFormat/>
    <w:rsid w:val="00743FAE"/>
    <w:pPr>
      <w:widowControl/>
      <w:suppressAutoHyphens w:val="0"/>
      <w:spacing w:after="0" w:line="240" w:lineRule="auto"/>
    </w:pPr>
    <w:rPr>
      <w:rFonts w:cs="Times New Roman"/>
      <w:b/>
      <w:bCs/>
      <w:color w:val="4F81BD"/>
      <w:sz w:val="18"/>
      <w:szCs w:val="18"/>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paragraph" w:customStyle="1" w:styleId="Default">
    <w:name w:val="Default"/>
    <w:rsid w:val="00743FAE"/>
    <w:pPr>
      <w:autoSpaceDE w:val="0"/>
      <w:autoSpaceDN w:val="0"/>
      <w:adjustRightInd w:val="0"/>
      <w:spacing w:after="200" w:line="276" w:lineRule="auto"/>
    </w:pPr>
    <w:rPr>
      <w:rFonts w:ascii="Arial" w:hAnsi="Arial" w:cs="Arial"/>
      <w:color w:val="000000"/>
      <w:sz w:val="24"/>
      <w:szCs w:val="24"/>
      <w:lang w:val="en-US"/>
    </w:rPr>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0">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Boxedtextfront">
    <w:name w:val="Boxed text front"/>
    <w:basedOn w:val="Normal"/>
    <w:next w:val="Normal"/>
    <w:qFormat/>
    <w:rsid w:val="002D3B30"/>
    <w:pPr>
      <w:spacing w:after="240"/>
      <w:ind w:left="57" w:right="57"/>
      <w:jc w:val="both"/>
      <w:outlineLvl w:val="0"/>
    </w:pPr>
    <w:rPr>
      <w:rFonts w:eastAsia="Arial"/>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2646A7"/>
    <w:pPr>
      <w:tabs>
        <w:tab w:val="right" w:pos="9069"/>
      </w:tabs>
      <w:spacing w:after="120"/>
    </w:pPr>
    <w:rPr>
      <w:rFonts w:asciiTheme="majorHAnsi" w:hAnsiTheme="majorHAnsi"/>
      <w:lang w:eastAsia="nb-NO"/>
    </w:rPr>
  </w:style>
  <w:style w:type="paragraph" w:customStyle="1" w:styleId="Boxedtext">
    <w:name w:val="Boxed text"/>
    <w:basedOn w:val="Normal"/>
    <w:rsid w:val="002D3B30"/>
    <w:pPr>
      <w:framePr w:hSpace="181" w:vSpace="181" w:wrap="around" w:hAnchor="text" w:yAlign="top"/>
      <w:spacing w:after="240"/>
    </w:pPr>
    <w:rPr>
      <w:lang w:bidi="en-US"/>
    </w:rPr>
  </w:style>
  <w:style w:type="paragraph" w:customStyle="1" w:styleId="Titletitlepage">
    <w:name w:val="Title titlepage"/>
    <w:basedOn w:val="Normal"/>
    <w:qFormat/>
    <w:rsid w:val="000A3554"/>
    <w:rPr>
      <w:rFonts w:asciiTheme="majorHAnsi" w:hAnsiTheme="majorHAnsi"/>
      <w:sz w:val="80"/>
    </w:rPr>
  </w:style>
  <w:style w:type="table" w:styleId="PlainTable5">
    <w:name w:val="Plain Table 5"/>
    <w:basedOn w:val="TableNormal"/>
    <w:uiPriority w:val="45"/>
    <w:rsid w:val="000E18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2D45FC"/>
    <w:pPr>
      <w:spacing w:before="120" w:after="120"/>
    </w:pPr>
    <w:rPr>
      <w:b/>
      <w:bCs/>
      <w:color w:val="FFFFFF"/>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421726922">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940526736">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sites/default/files/validation_report_for_the_solomon_islands.pdf" TargetMode="External"/><Relationship Id="rId18" Type="http://schemas.openxmlformats.org/officeDocument/2006/relationships/hyperlink" Target="https://eiti.org/document/standar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iti.org/sites/default/files/validation_report_for_the_solomon_island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iti.org/document/standar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iti.org/sites/default/files/si_comments_from_the_national_secretariat_on_the_initial_assessment.pdf" TargetMode="External"/><Relationship Id="rId20" Type="http://schemas.openxmlformats.org/officeDocument/2006/relationships/hyperlink" Target="https://eiti.org/sites/default/files/si_comments_from_the_national_secretariat_on_the_initial_assess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iti.org/sites/default/files/secretariats_initial_assessment_of_the_solomon_islands.pdf" TargetMode="External"/><Relationship Id="rId23" Type="http://schemas.openxmlformats.org/officeDocument/2006/relationships/image" Target="media/image3.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iti.org/sites/default/files/secretariats_initial_assessment_of_the_solomon_islan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si_comments_from_the_national_secretariat_on_the_validation_report.pdf" TargetMode="External"/><Relationship Id="rId22" Type="http://schemas.openxmlformats.org/officeDocument/2006/relationships/hyperlink" Target="https://eiti.org/sites/default/files/si_comments_from_the_national_secretariat_on_the_validation_report.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5A5E-0AAB-450D-9344-24C78861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8188A-0213-4638-99F0-986824B0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 International Secretariat</cp:lastModifiedBy>
  <cp:revision>3</cp:revision>
  <cp:lastPrinted>2015-03-31T11:33:00Z</cp:lastPrinted>
  <dcterms:created xsi:type="dcterms:W3CDTF">2017-02-10T14:05:00Z</dcterms:created>
  <dcterms:modified xsi:type="dcterms:W3CDTF">2017-02-10T14:06:00Z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