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EED79" w14:textId="77777777" w:rsidR="00113075" w:rsidRPr="00303906" w:rsidRDefault="001500CF" w:rsidP="00113075">
      <w:pPr>
        <w:pStyle w:val="Header"/>
        <w:rPr>
          <w:lang w:eastAsia="ar-SA"/>
        </w:rPr>
      </w:pPr>
      <w:bookmarkStart w:id="0" w:name="_Toc439883219"/>
      <w:bookmarkStart w:id="1" w:name="_GoBack"/>
      <w:bookmarkEnd w:id="1"/>
      <w:permStart w:id="1528768259" w:edGrp="everyone"/>
      <w:r>
        <w:rPr>
          <w:noProof/>
          <w:lang w:val="en-AU" w:eastAsia="en-AU" w:bidi="ar-SA"/>
        </w:rPr>
        <w:drawing>
          <wp:anchor distT="0" distB="0" distL="114935" distR="114935" simplePos="0" relativeHeight="251658752" behindDoc="1" locked="0" layoutInCell="1" allowOverlap="1" wp14:anchorId="30D3CD78" wp14:editId="487E49F0">
            <wp:simplePos x="0" y="0"/>
            <wp:positionH relativeFrom="page">
              <wp:posOffset>720090</wp:posOffset>
            </wp:positionH>
            <wp:positionV relativeFrom="page">
              <wp:posOffset>360045</wp:posOffset>
            </wp:positionV>
            <wp:extent cx="2466340" cy="50419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66340" cy="5041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ermEnd w:id="1528768259"/>
    </w:p>
    <w:p w14:paraId="4C4925F5" w14:textId="77777777" w:rsidR="00113075" w:rsidRPr="00303906" w:rsidRDefault="00113075" w:rsidP="00113075"/>
    <w:p w14:paraId="0C78249E" w14:textId="77777777" w:rsidR="00976EB1" w:rsidRPr="005F45A7" w:rsidRDefault="00976EB1" w:rsidP="00976EB1">
      <w:pPr>
        <w:pStyle w:val="Header"/>
        <w:rPr>
          <w:rFonts w:asciiTheme="majorHAnsi" w:hAnsiTheme="majorHAnsi"/>
        </w:rPr>
      </w:pPr>
      <w:r w:rsidRPr="005F45A7">
        <w:rPr>
          <w:rFonts w:asciiTheme="majorHAnsi" w:hAnsiTheme="majorHAnsi"/>
          <w:noProof/>
          <w:lang w:val="en-AU" w:eastAsia="en-AU" w:bidi="ar-SA"/>
        </w:rPr>
        <mc:AlternateContent>
          <mc:Choice Requires="wps">
            <w:drawing>
              <wp:anchor distT="0" distB="0" distL="114300" distR="114300" simplePos="0" relativeHeight="251660800" behindDoc="1" locked="0" layoutInCell="1" allowOverlap="1" wp14:anchorId="679A9D16" wp14:editId="7E23E983">
                <wp:simplePos x="0" y="0"/>
                <wp:positionH relativeFrom="column">
                  <wp:posOffset>-958215</wp:posOffset>
                </wp:positionH>
                <wp:positionV relativeFrom="paragraph">
                  <wp:posOffset>294640</wp:posOffset>
                </wp:positionV>
                <wp:extent cx="8307705" cy="352425"/>
                <wp:effectExtent l="0" t="0" r="17145"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07705" cy="352425"/>
                        </a:xfrm>
                        <a:prstGeom prst="rect">
                          <a:avLst/>
                        </a:prstGeom>
                        <a:solidFill>
                          <a:srgbClr val="000000"/>
                        </a:solidFill>
                        <a:ln w="9525">
                          <a:solidFill>
                            <a:srgbClr val="000000"/>
                          </a:solidFill>
                          <a:miter lim="800000"/>
                          <a:headEnd/>
                          <a:tailEnd/>
                        </a:ln>
                      </wps:spPr>
                      <wps:txbx>
                        <w:txbxContent>
                          <w:p w14:paraId="30E5F722" w14:textId="77777777" w:rsidR="00E15024" w:rsidRDefault="00E15024" w:rsidP="00976E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A9D16" id="Rectangle 6" o:spid="_x0000_s1026" style="position:absolute;margin-left:-75.45pt;margin-top:23.2pt;width:654.15pt;height:27.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" fillcolor="black">
                <v:textbox>
                  <w:txbxContent>
                    <w:p w14:paraId="30E5F722" w14:textId="77777777" w:rsidR="00E15024" w:rsidRDefault="00E15024" w:rsidP="00976EB1"/>
                  </w:txbxContent>
                </v:textbox>
              </v:rect>
            </w:pict>
          </mc:Fallback>
        </mc:AlternateContent>
      </w:r>
      <w:r w:rsidRPr="005F45A7">
        <w:rPr>
          <w:rFonts w:asciiTheme="majorHAnsi" w:hAnsiTheme="majorHAnsi"/>
          <w:noProof/>
          <w:lang w:val="en-AU" w:eastAsia="en-AU" w:bidi="ar-SA"/>
        </w:rPr>
        <w:drawing>
          <wp:anchor distT="0" distB="0" distL="114935" distR="114935" simplePos="0" relativeHeight="251661824" behindDoc="1" locked="0" layoutInCell="1" allowOverlap="1" wp14:anchorId="777D2B8C" wp14:editId="17FC90C6">
            <wp:simplePos x="0" y="0"/>
            <wp:positionH relativeFrom="page">
              <wp:posOffset>720090</wp:posOffset>
            </wp:positionH>
            <wp:positionV relativeFrom="page">
              <wp:posOffset>360045</wp:posOffset>
            </wp:positionV>
            <wp:extent cx="2466340" cy="504190"/>
            <wp:effectExtent l="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66340" cy="50419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78218236" w14:textId="3C23CF5B" w:rsidR="00976EB1" w:rsidRPr="005F45A7" w:rsidRDefault="00976EB1" w:rsidP="00976EB1">
      <w:pPr>
        <w:tabs>
          <w:tab w:val="left" w:pos="720"/>
          <w:tab w:val="left" w:pos="2535"/>
          <w:tab w:val="right" w:pos="9356"/>
        </w:tabs>
        <w:spacing w:after="120"/>
        <w:rPr>
          <w:rFonts w:asciiTheme="majorHAnsi" w:hAnsiTheme="majorHAnsi"/>
          <w:color w:val="FFFFFF"/>
          <w:sz w:val="36"/>
          <w:szCs w:val="36"/>
        </w:rPr>
      </w:pPr>
      <w:r w:rsidRPr="005F45A7">
        <w:rPr>
          <w:rFonts w:asciiTheme="majorHAnsi" w:hAnsiTheme="majorHAnsi"/>
          <w:noProof/>
          <w:color w:val="A8D08D" w:themeColor="accent6" w:themeTint="99"/>
          <w:lang w:val="en-AU" w:eastAsia="en-AU" w:bidi="ar-SA"/>
        </w:rPr>
        <w:drawing>
          <wp:anchor distT="0" distB="0" distL="114935" distR="114935" simplePos="0" relativeHeight="251662848" behindDoc="1" locked="0" layoutInCell="1" allowOverlap="1" wp14:anchorId="4F4AB998" wp14:editId="379CB7BD">
            <wp:simplePos x="0" y="0"/>
            <wp:positionH relativeFrom="column">
              <wp:posOffset>-1379855</wp:posOffset>
            </wp:positionH>
            <wp:positionV relativeFrom="paragraph">
              <wp:posOffset>325120</wp:posOffset>
            </wp:positionV>
            <wp:extent cx="8517890" cy="413467"/>
            <wp:effectExtent l="0" t="0" r="0" b="5715"/>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17890" cy="413467"/>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5F45A7">
        <w:rPr>
          <w:rFonts w:asciiTheme="majorHAnsi" w:hAnsiTheme="majorHAnsi"/>
          <w:bCs/>
          <w:color w:val="FFFFFF" w:themeColor="background1"/>
          <w:sz w:val="36"/>
          <w:szCs w:val="36"/>
          <w:lang w:eastAsia="nb-NO"/>
        </w:rPr>
        <w:t>Board Paper</w:t>
      </w:r>
      <w:r w:rsidRPr="005F45A7">
        <w:rPr>
          <w:rFonts w:asciiTheme="majorHAnsi" w:hAnsiTheme="majorHAnsi"/>
          <w:color w:val="FFFFFF" w:themeColor="background1"/>
        </w:rPr>
        <w:t xml:space="preserve"> </w:t>
      </w:r>
      <w:r w:rsidRPr="005F45A7">
        <w:rPr>
          <w:rFonts w:asciiTheme="majorHAnsi" w:hAnsiTheme="majorHAnsi"/>
          <w:color w:val="FFFFFF" w:themeColor="background1"/>
          <w:sz w:val="36"/>
          <w:szCs w:val="36"/>
        </w:rPr>
        <w:t>36-</w:t>
      </w:r>
      <w:r>
        <w:rPr>
          <w:rFonts w:asciiTheme="majorHAnsi" w:hAnsiTheme="majorHAnsi"/>
          <w:color w:val="FFFFFF" w:themeColor="background1"/>
          <w:sz w:val="36"/>
          <w:szCs w:val="36"/>
        </w:rPr>
        <w:t>5</w:t>
      </w:r>
      <w:r w:rsidRPr="005F45A7">
        <w:rPr>
          <w:rFonts w:asciiTheme="majorHAnsi" w:hAnsiTheme="majorHAnsi"/>
          <w:color w:val="FFFFFF" w:themeColor="background1"/>
          <w:sz w:val="36"/>
          <w:szCs w:val="36"/>
        </w:rPr>
        <w:t>-</w:t>
      </w:r>
      <w:r w:rsidR="007572A6">
        <w:rPr>
          <w:rFonts w:asciiTheme="majorHAnsi" w:hAnsiTheme="majorHAnsi"/>
          <w:color w:val="FFFFFF" w:themeColor="background1"/>
          <w:sz w:val="36"/>
          <w:szCs w:val="36"/>
        </w:rPr>
        <w:t>H</w:t>
      </w:r>
      <w:r w:rsidRPr="005F45A7">
        <w:rPr>
          <w:rFonts w:asciiTheme="majorHAnsi" w:hAnsiTheme="majorHAnsi"/>
          <w:color w:val="FFFFFF" w:themeColor="background1"/>
        </w:rPr>
        <w:tab/>
      </w:r>
      <w:r w:rsidRPr="005F45A7">
        <w:rPr>
          <w:rFonts w:asciiTheme="majorHAnsi" w:hAnsiTheme="majorHAnsi"/>
          <w:color w:val="FFFFFF" w:themeColor="background1"/>
          <w:sz w:val="36"/>
          <w:szCs w:val="36"/>
        </w:rPr>
        <w:t>Bogota, 8-9 March 2017</w:t>
      </w:r>
    </w:p>
    <w:p w14:paraId="388D3B87" w14:textId="77777777" w:rsidR="00976EB1" w:rsidRPr="005F45A7" w:rsidRDefault="00976EB1" w:rsidP="00976EB1">
      <w:pPr>
        <w:tabs>
          <w:tab w:val="left" w:pos="720"/>
          <w:tab w:val="left" w:pos="2535"/>
          <w:tab w:val="right" w:pos="9356"/>
        </w:tabs>
        <w:rPr>
          <w:rFonts w:asciiTheme="majorHAnsi" w:hAnsiTheme="majorHAnsi"/>
          <w:color w:val="FFFFFF"/>
          <w:sz w:val="28"/>
          <w:szCs w:val="28"/>
        </w:rPr>
      </w:pPr>
      <w:r w:rsidRPr="005F45A7">
        <w:rPr>
          <w:rFonts w:asciiTheme="majorHAnsi" w:hAnsiTheme="majorHAnsi"/>
          <w:bCs/>
          <w:sz w:val="32"/>
          <w:szCs w:val="36"/>
          <w:lang w:eastAsia="nb-NO"/>
        </w:rPr>
        <w:t xml:space="preserve">Submitted by: Validation Committee </w:t>
      </w:r>
      <w:r w:rsidRPr="005F45A7">
        <w:rPr>
          <w:rFonts w:asciiTheme="majorHAnsi" w:hAnsiTheme="majorHAnsi"/>
          <w:bCs/>
          <w:sz w:val="32"/>
          <w:szCs w:val="36"/>
          <w:lang w:eastAsia="nb-NO"/>
        </w:rPr>
        <w:tab/>
        <w:t>on</w:t>
      </w:r>
      <w:r w:rsidRPr="00E506AE">
        <w:rPr>
          <w:rFonts w:asciiTheme="majorHAnsi" w:hAnsiTheme="majorHAnsi"/>
          <w:bCs/>
          <w:sz w:val="32"/>
          <w:szCs w:val="36"/>
          <w:lang w:eastAsia="nb-NO"/>
        </w:rPr>
        <w:t xml:space="preserve">: </w:t>
      </w:r>
      <w:r w:rsidRPr="00E357C8">
        <w:rPr>
          <w:rFonts w:asciiTheme="majorHAnsi" w:hAnsiTheme="majorHAnsi"/>
          <w:bCs/>
          <w:sz w:val="32"/>
          <w:szCs w:val="36"/>
          <w:lang w:eastAsia="nb-NO"/>
        </w:rPr>
        <w:t>22 February 2017</w:t>
      </w:r>
    </w:p>
    <w:p w14:paraId="1D318D7A" w14:textId="6A475E7D" w:rsidR="00976EB1" w:rsidRPr="005F45A7" w:rsidRDefault="00976EB1" w:rsidP="00976EB1">
      <w:pPr>
        <w:pStyle w:val="Titletitlepage"/>
        <w:rPr>
          <w:bCs/>
          <w:sz w:val="36"/>
          <w:szCs w:val="36"/>
          <w:lang w:eastAsia="nb-NO"/>
        </w:rPr>
      </w:pPr>
      <w:r w:rsidRPr="005F45A7">
        <w:rPr>
          <w:sz w:val="48"/>
        </w:rPr>
        <w:br/>
      </w:r>
      <w:r w:rsidRPr="00303906">
        <w:rPr>
          <w:rFonts w:ascii="Calibri" w:hAnsi="Calibri"/>
          <w:szCs w:val="80"/>
        </w:rPr>
        <w:t>Tajikistan</w:t>
      </w:r>
      <w:r w:rsidRPr="005F45A7">
        <w:t xml:space="preserve"> Validation</w:t>
      </w:r>
    </w:p>
    <w:p w14:paraId="110D3639" w14:textId="77777777" w:rsidR="00976EB1" w:rsidRPr="005F45A7" w:rsidRDefault="00976EB1" w:rsidP="00976EB1">
      <w:pPr>
        <w:tabs>
          <w:tab w:val="left" w:pos="2835"/>
          <w:tab w:val="left" w:pos="5670"/>
        </w:tabs>
        <w:rPr>
          <w:rFonts w:asciiTheme="majorHAnsi" w:hAnsiTheme="majorHAnsi"/>
          <w:bCs/>
          <w:sz w:val="36"/>
          <w:szCs w:val="36"/>
          <w:lang w:eastAsia="nb-NO"/>
        </w:rPr>
      </w:pPr>
      <w:r w:rsidRPr="005F45A7">
        <w:rPr>
          <w:rFonts w:asciiTheme="majorHAnsi" w:hAnsiTheme="majorHAnsi"/>
          <w:bCs/>
          <w:sz w:val="36"/>
          <w:szCs w:val="36"/>
          <w:u w:val="single"/>
          <w:lang w:eastAsia="nb-NO"/>
        </w:rPr>
        <w:t>For decision</w:t>
      </w:r>
      <w:r w:rsidRPr="005F45A7">
        <w:rPr>
          <w:rFonts w:asciiTheme="majorHAnsi" w:hAnsiTheme="majorHAnsi"/>
          <w:bCs/>
          <w:sz w:val="36"/>
          <w:szCs w:val="36"/>
          <w:lang w:eastAsia="nb-NO"/>
        </w:rPr>
        <w:tab/>
      </w:r>
      <w:r w:rsidRPr="005F45A7">
        <w:rPr>
          <w:rFonts w:asciiTheme="majorHAnsi" w:hAnsiTheme="majorHAnsi"/>
          <w:bCs/>
          <w:color w:val="BFBFBF" w:themeColor="background1" w:themeShade="BF"/>
          <w:sz w:val="36"/>
          <w:szCs w:val="36"/>
          <w:lang w:eastAsia="nb-NO"/>
        </w:rPr>
        <w:t>For discussion</w:t>
      </w:r>
      <w:r w:rsidRPr="005F45A7">
        <w:rPr>
          <w:rFonts w:asciiTheme="majorHAnsi" w:hAnsiTheme="majorHAnsi"/>
          <w:bCs/>
          <w:color w:val="BFBFBF" w:themeColor="background1" w:themeShade="BF"/>
          <w:sz w:val="36"/>
          <w:szCs w:val="36"/>
          <w:lang w:eastAsia="nb-NO"/>
        </w:rPr>
        <w:tab/>
        <w:t>For information</w:t>
      </w:r>
    </w:p>
    <w:p w14:paraId="42E5E553" w14:textId="77777777" w:rsidR="00976EB1" w:rsidRPr="005F45A7" w:rsidRDefault="00976EB1" w:rsidP="00976EB1">
      <w:pPr>
        <w:tabs>
          <w:tab w:val="left" w:pos="2835"/>
          <w:tab w:val="left" w:pos="5670"/>
        </w:tabs>
        <w:rPr>
          <w:rFonts w:asciiTheme="majorHAnsi" w:hAnsiTheme="majorHAnsi"/>
          <w:bCs/>
          <w:sz w:val="36"/>
          <w:szCs w:val="36"/>
          <w:lang w:eastAsia="nb-NO"/>
        </w:rPr>
      </w:pPr>
    </w:p>
    <w:tbl>
      <w:tblPr>
        <w:tblStyle w:val="TableGrid"/>
        <w:tblW w:w="9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9485"/>
      </w:tblGrid>
      <w:tr w:rsidR="00976EB1" w:rsidRPr="005F45A7" w14:paraId="4F7C9770" w14:textId="77777777" w:rsidTr="00E15024">
        <w:tc>
          <w:tcPr>
            <w:tcW w:w="9485" w:type="dxa"/>
            <w:shd w:val="clear" w:color="auto" w:fill="E7E6E6" w:themeFill="background2"/>
            <w:tcMar>
              <w:top w:w="108" w:type="dxa"/>
              <w:bottom w:w="108" w:type="dxa"/>
            </w:tcMar>
          </w:tcPr>
          <w:p w14:paraId="089B78F9" w14:textId="315E588E" w:rsidR="00976EB1" w:rsidRPr="005F45A7" w:rsidRDefault="00976EB1" w:rsidP="005B4C8E">
            <w:pPr>
              <w:pStyle w:val="Boxedtextfront"/>
              <w:spacing w:after="120"/>
              <w:jc w:val="left"/>
              <w:rPr>
                <w:rFonts w:asciiTheme="majorHAnsi" w:hAnsiTheme="majorHAnsi"/>
                <w:b/>
                <w:lang w:val="en-GB"/>
              </w:rPr>
            </w:pPr>
            <w:bookmarkStart w:id="2" w:name="_Toc474480944"/>
            <w:bookmarkStart w:id="3" w:name="_Toc474481028"/>
            <w:r w:rsidRPr="00303906">
              <w:t xml:space="preserve">The Validation Committee recommends </w:t>
            </w:r>
            <w:r w:rsidRPr="005323E3">
              <w:t xml:space="preserve">that </w:t>
            </w:r>
            <w:r w:rsidRPr="00303906">
              <w:rPr>
                <w:color w:val="000000"/>
              </w:rPr>
              <w:t xml:space="preserve">the EITI Board agrees that </w:t>
            </w:r>
            <w:r w:rsidRPr="00033D3C">
              <w:t>Tajikistan has made</w:t>
            </w:r>
            <w:r w:rsidRPr="00033D3C" w:rsidDel="0030237A">
              <w:t xml:space="preserve"> </w:t>
            </w:r>
            <w:r w:rsidRPr="00033D3C">
              <w:t>inadequate progress in implementing the 2016 EITI Standard. As a consequence, in accorda</w:t>
            </w:r>
            <w:r w:rsidRPr="006B05A7">
              <w:rPr>
                <w:color w:val="000000"/>
              </w:rPr>
              <w:t>nce with requirement 8.3.c.iii, Tajikistan w</w:t>
            </w:r>
            <w:r>
              <w:rPr>
                <w:color w:val="000000"/>
              </w:rPr>
              <w:t>ould</w:t>
            </w:r>
            <w:r w:rsidRPr="006B05A7">
              <w:rPr>
                <w:color w:val="000000"/>
              </w:rPr>
              <w:t xml:space="preserve"> be suspended and will need to take corrective actions </w:t>
            </w:r>
            <w:r>
              <w:rPr>
                <w:color w:val="000000"/>
              </w:rPr>
              <w:t xml:space="preserve">as </w:t>
            </w:r>
            <w:r w:rsidRPr="006B05A7">
              <w:rPr>
                <w:color w:val="000000"/>
              </w:rPr>
              <w:t>outlined below</w:t>
            </w:r>
            <w:r w:rsidRPr="005F45A7">
              <w:rPr>
                <w:rFonts w:asciiTheme="majorHAnsi" w:hAnsiTheme="majorHAnsi"/>
                <w:lang w:val="en-GB"/>
              </w:rPr>
              <w:t>.</w:t>
            </w:r>
            <w:bookmarkEnd w:id="2"/>
            <w:bookmarkEnd w:id="3"/>
          </w:p>
        </w:tc>
      </w:tr>
    </w:tbl>
    <w:p w14:paraId="79CA7941" w14:textId="77777777" w:rsidR="00976EB1" w:rsidRPr="005F45A7" w:rsidRDefault="00976EB1" w:rsidP="00976EB1">
      <w:pPr>
        <w:tabs>
          <w:tab w:val="right" w:pos="9069"/>
        </w:tabs>
        <w:spacing w:before="120"/>
        <w:rPr>
          <w:rFonts w:asciiTheme="majorHAnsi" w:hAnsiTheme="majorHAnsi"/>
          <w:b/>
        </w:rPr>
      </w:pPr>
    </w:p>
    <w:p w14:paraId="19ED98D7" w14:textId="77777777" w:rsidR="00976EB1" w:rsidRDefault="00976EB1" w:rsidP="00976EB1">
      <w:pPr>
        <w:pStyle w:val="Title"/>
      </w:pPr>
      <w:r>
        <w:br w:type="page"/>
      </w:r>
    </w:p>
    <w:p w14:paraId="1A1F59F3" w14:textId="259D87E7" w:rsidR="00976EB1" w:rsidRDefault="00976EB1" w:rsidP="00976EB1">
      <w:pPr>
        <w:pStyle w:val="Title"/>
        <w:rPr>
          <w:rFonts w:asciiTheme="majorHAnsi" w:hAnsiTheme="majorHAnsi"/>
        </w:rPr>
      </w:pPr>
      <w:r>
        <w:rPr>
          <w:rFonts w:asciiTheme="majorHAnsi" w:hAnsiTheme="majorHAnsi"/>
        </w:rPr>
        <w:lastRenderedPageBreak/>
        <w:t>Tajikistan</w:t>
      </w:r>
      <w:r w:rsidRPr="005F45A7">
        <w:rPr>
          <w:rFonts w:asciiTheme="majorHAnsi" w:hAnsiTheme="majorHAnsi"/>
        </w:rPr>
        <w:t xml:space="preserve"> validation</w:t>
      </w:r>
    </w:p>
    <w:sdt>
      <w:sdtPr>
        <w:rPr>
          <w:lang w:eastAsia="en-US" w:bidi="ar-SA"/>
        </w:rPr>
        <w:id w:val="1940323301"/>
        <w:docPartObj>
          <w:docPartGallery w:val="Table of Contents"/>
          <w:docPartUnique/>
        </w:docPartObj>
      </w:sdtPr>
      <w:sdtEndPr>
        <w:rPr>
          <w:b/>
        </w:rPr>
      </w:sdtEndPr>
      <w:sdtContent>
        <w:p w14:paraId="21395109" w14:textId="77777777" w:rsidR="00976EB1" w:rsidRPr="00976EB1" w:rsidRDefault="00976EB1" w:rsidP="00976EB1">
          <w:pPr>
            <w:keepNext/>
            <w:keepLines/>
            <w:spacing w:before="480" w:after="240" w:line="264" w:lineRule="auto"/>
            <w:rPr>
              <w:bCs/>
              <w:color w:val="365F91"/>
              <w:sz w:val="32"/>
              <w:szCs w:val="28"/>
              <w:lang w:eastAsia="en-US" w:bidi="ar-SA"/>
            </w:rPr>
          </w:pPr>
          <w:r w:rsidRPr="00976EB1">
            <w:rPr>
              <w:bCs/>
              <w:color w:val="365F91"/>
              <w:sz w:val="32"/>
              <w:szCs w:val="28"/>
              <w:lang w:eastAsia="en-US" w:bidi="ar-SA"/>
            </w:rPr>
            <w:t>Table of Contents</w:t>
          </w:r>
        </w:p>
        <w:p w14:paraId="48EEBF03" w14:textId="3AEDE7A0" w:rsidR="00E15024" w:rsidRDefault="00976EB1" w:rsidP="00640311">
          <w:pPr>
            <w:pStyle w:val="TOC2"/>
            <w:tabs>
              <w:tab w:val="right" w:leader="dot" w:pos="9740"/>
            </w:tabs>
            <w:spacing w:after="0"/>
            <w:rPr>
              <w:rFonts w:asciiTheme="minorHAnsi" w:eastAsiaTheme="minorEastAsia" w:hAnsiTheme="minorHAnsi" w:cstheme="minorBidi"/>
              <w:noProof/>
              <w:lang w:val="en-AU" w:eastAsia="en-AU" w:bidi="ar-SA"/>
            </w:rPr>
          </w:pPr>
          <w:r w:rsidRPr="00976EB1">
            <w:rPr>
              <w:lang w:eastAsia="en-US" w:bidi="ar-SA"/>
            </w:rPr>
            <w:fldChar w:fldCharType="begin"/>
          </w:r>
          <w:r w:rsidRPr="00976EB1">
            <w:rPr>
              <w:lang w:eastAsia="en-US" w:bidi="ar-SA"/>
            </w:rPr>
            <w:instrText xml:space="preserve"> TOC \o "2-3" \t "Heading 1;1" </w:instrText>
          </w:r>
          <w:r w:rsidRPr="00976EB1">
            <w:rPr>
              <w:lang w:eastAsia="en-US" w:bidi="ar-SA"/>
            </w:rPr>
            <w:fldChar w:fldCharType="separate"/>
          </w:r>
          <w:r w:rsidR="00E15024" w:rsidRPr="0040327C">
            <w:rPr>
              <w:rFonts w:asciiTheme="majorHAnsi" w:hAnsiTheme="majorHAnsi"/>
              <w:noProof/>
            </w:rPr>
            <w:t>Recommendation</w:t>
          </w:r>
          <w:r w:rsidR="00E15024">
            <w:rPr>
              <w:noProof/>
            </w:rPr>
            <w:tab/>
          </w:r>
          <w:r w:rsidR="00E15024">
            <w:rPr>
              <w:noProof/>
            </w:rPr>
            <w:fldChar w:fldCharType="begin"/>
          </w:r>
          <w:r w:rsidR="00E15024">
            <w:rPr>
              <w:noProof/>
            </w:rPr>
            <w:instrText xml:space="preserve"> PAGEREF _Toc474482075 \h </w:instrText>
          </w:r>
          <w:r w:rsidR="00E15024">
            <w:rPr>
              <w:noProof/>
            </w:rPr>
          </w:r>
          <w:r w:rsidR="00E15024">
            <w:rPr>
              <w:noProof/>
            </w:rPr>
            <w:fldChar w:fldCharType="separate"/>
          </w:r>
          <w:r w:rsidR="00E15024">
            <w:rPr>
              <w:noProof/>
            </w:rPr>
            <w:t>2</w:t>
          </w:r>
          <w:r w:rsidR="00E15024">
            <w:rPr>
              <w:noProof/>
            </w:rPr>
            <w:fldChar w:fldCharType="end"/>
          </w:r>
        </w:p>
        <w:p w14:paraId="0A22BDB8" w14:textId="30BE1574" w:rsidR="00E15024" w:rsidRDefault="00E15024" w:rsidP="00640311">
          <w:pPr>
            <w:pStyle w:val="TOC2"/>
            <w:tabs>
              <w:tab w:val="right" w:leader="dot" w:pos="9740"/>
            </w:tabs>
            <w:spacing w:after="0"/>
            <w:rPr>
              <w:rFonts w:asciiTheme="minorHAnsi" w:eastAsiaTheme="minorEastAsia" w:hAnsiTheme="minorHAnsi" w:cstheme="minorBidi"/>
              <w:noProof/>
              <w:lang w:val="en-AU" w:eastAsia="en-AU" w:bidi="ar-SA"/>
            </w:rPr>
          </w:pPr>
          <w:r w:rsidRPr="0040327C">
            <w:rPr>
              <w:rFonts w:asciiTheme="majorHAnsi" w:hAnsiTheme="majorHAnsi"/>
              <w:noProof/>
            </w:rPr>
            <w:t>Background</w:t>
          </w:r>
          <w:r>
            <w:rPr>
              <w:noProof/>
            </w:rPr>
            <w:tab/>
          </w:r>
          <w:r>
            <w:rPr>
              <w:noProof/>
            </w:rPr>
            <w:fldChar w:fldCharType="begin"/>
          </w:r>
          <w:r>
            <w:rPr>
              <w:noProof/>
            </w:rPr>
            <w:instrText xml:space="preserve"> PAGEREF _Toc474482076 \h </w:instrText>
          </w:r>
          <w:r>
            <w:rPr>
              <w:noProof/>
            </w:rPr>
          </w:r>
          <w:r>
            <w:rPr>
              <w:noProof/>
            </w:rPr>
            <w:fldChar w:fldCharType="separate"/>
          </w:r>
          <w:r>
            <w:rPr>
              <w:noProof/>
            </w:rPr>
            <w:t>4</w:t>
          </w:r>
          <w:r>
            <w:rPr>
              <w:noProof/>
            </w:rPr>
            <w:fldChar w:fldCharType="end"/>
          </w:r>
        </w:p>
        <w:p w14:paraId="71D4F756" w14:textId="37F457C1" w:rsidR="00E15024" w:rsidRDefault="00E15024" w:rsidP="00640311">
          <w:pPr>
            <w:pStyle w:val="TOC2"/>
            <w:tabs>
              <w:tab w:val="right" w:leader="dot" w:pos="9740"/>
            </w:tabs>
            <w:spacing w:after="0"/>
            <w:rPr>
              <w:rFonts w:asciiTheme="minorHAnsi" w:eastAsiaTheme="minorEastAsia" w:hAnsiTheme="minorHAnsi" w:cstheme="minorBidi"/>
              <w:noProof/>
              <w:lang w:val="en-AU" w:eastAsia="en-AU" w:bidi="ar-SA"/>
            </w:rPr>
          </w:pPr>
          <w:r w:rsidRPr="0040327C">
            <w:rPr>
              <w:rFonts w:asciiTheme="majorHAnsi" w:hAnsiTheme="majorHAnsi"/>
              <w:noProof/>
            </w:rPr>
            <w:t>Assessment card</w:t>
          </w:r>
          <w:r>
            <w:rPr>
              <w:noProof/>
            </w:rPr>
            <w:tab/>
          </w:r>
          <w:r>
            <w:rPr>
              <w:noProof/>
            </w:rPr>
            <w:fldChar w:fldCharType="begin"/>
          </w:r>
          <w:r>
            <w:rPr>
              <w:noProof/>
            </w:rPr>
            <w:instrText xml:space="preserve"> PAGEREF _Toc474482077 \h </w:instrText>
          </w:r>
          <w:r>
            <w:rPr>
              <w:noProof/>
            </w:rPr>
          </w:r>
          <w:r>
            <w:rPr>
              <w:noProof/>
            </w:rPr>
            <w:fldChar w:fldCharType="separate"/>
          </w:r>
          <w:r>
            <w:rPr>
              <w:noProof/>
            </w:rPr>
            <w:t>4</w:t>
          </w:r>
          <w:r>
            <w:rPr>
              <w:noProof/>
            </w:rPr>
            <w:fldChar w:fldCharType="end"/>
          </w:r>
        </w:p>
        <w:p w14:paraId="122180A0" w14:textId="654B295E" w:rsidR="00E15024" w:rsidRDefault="00E15024" w:rsidP="00640311">
          <w:pPr>
            <w:pStyle w:val="TOC2"/>
            <w:tabs>
              <w:tab w:val="right" w:leader="dot" w:pos="9740"/>
            </w:tabs>
            <w:spacing w:after="0"/>
            <w:rPr>
              <w:rFonts w:asciiTheme="minorHAnsi" w:eastAsiaTheme="minorEastAsia" w:hAnsiTheme="minorHAnsi" w:cstheme="minorBidi"/>
              <w:noProof/>
              <w:lang w:val="en-AU" w:eastAsia="en-AU" w:bidi="ar-SA"/>
            </w:rPr>
          </w:pPr>
          <w:r w:rsidRPr="0040327C">
            <w:rPr>
              <w:rFonts w:asciiTheme="majorHAnsi" w:hAnsiTheme="majorHAnsi"/>
              <w:noProof/>
            </w:rPr>
            <w:t>Corrective actions</w:t>
          </w:r>
          <w:r>
            <w:rPr>
              <w:noProof/>
            </w:rPr>
            <w:tab/>
          </w:r>
          <w:r>
            <w:rPr>
              <w:noProof/>
            </w:rPr>
            <w:fldChar w:fldCharType="begin"/>
          </w:r>
          <w:r>
            <w:rPr>
              <w:noProof/>
            </w:rPr>
            <w:instrText xml:space="preserve"> PAGEREF _Toc474482078 \h </w:instrText>
          </w:r>
          <w:r>
            <w:rPr>
              <w:noProof/>
            </w:rPr>
          </w:r>
          <w:r>
            <w:rPr>
              <w:noProof/>
            </w:rPr>
            <w:fldChar w:fldCharType="separate"/>
          </w:r>
          <w:r>
            <w:rPr>
              <w:noProof/>
            </w:rPr>
            <w:t>5</w:t>
          </w:r>
          <w:r>
            <w:rPr>
              <w:noProof/>
            </w:rPr>
            <w:fldChar w:fldCharType="end"/>
          </w:r>
        </w:p>
        <w:p w14:paraId="50A6663F" w14:textId="5AB410A0" w:rsidR="00976EB1" w:rsidRPr="00976EB1" w:rsidRDefault="00976EB1" w:rsidP="00640311">
          <w:pPr>
            <w:spacing w:after="0" w:line="264" w:lineRule="auto"/>
            <w:rPr>
              <w:lang w:eastAsia="en-US" w:bidi="ar-SA"/>
            </w:rPr>
          </w:pPr>
          <w:r w:rsidRPr="00976EB1">
            <w:rPr>
              <w:bCs/>
              <w:sz w:val="24"/>
              <w:szCs w:val="24"/>
              <w:lang w:eastAsia="en-US" w:bidi="ar-SA"/>
            </w:rPr>
            <w:fldChar w:fldCharType="end"/>
          </w:r>
        </w:p>
      </w:sdtContent>
    </w:sdt>
    <w:p w14:paraId="2447DE8F" w14:textId="66C71F92" w:rsidR="00E15024" w:rsidRPr="00640311" w:rsidRDefault="00E15024" w:rsidP="00976EB1">
      <w:pPr>
        <w:spacing w:before="120" w:after="120" w:line="264" w:lineRule="auto"/>
        <w:rPr>
          <w:bCs/>
          <w:sz w:val="20"/>
          <w:lang w:eastAsia="nb-NO" w:bidi="ar-SA"/>
        </w:rPr>
      </w:pPr>
    </w:p>
    <w:p w14:paraId="1AAD6DB5" w14:textId="0403E3D4" w:rsidR="00976EB1" w:rsidRPr="00976EB1" w:rsidRDefault="00976EB1" w:rsidP="00640311">
      <w:pPr>
        <w:spacing w:after="0" w:line="260" w:lineRule="exact"/>
        <w:contextualSpacing/>
        <w:rPr>
          <w:b/>
          <w:bCs/>
          <w:sz w:val="20"/>
          <w:lang w:eastAsia="nb-NO" w:bidi="ar-SA"/>
        </w:rPr>
      </w:pPr>
      <w:r w:rsidRPr="00976EB1">
        <w:rPr>
          <w:b/>
          <w:bCs/>
          <w:sz w:val="20"/>
          <w:lang w:eastAsia="nb-NO" w:bidi="ar-SA"/>
        </w:rPr>
        <w:t xml:space="preserve">Supporting documentation </w:t>
      </w:r>
    </w:p>
    <w:p w14:paraId="71EE8037" w14:textId="208788B9" w:rsidR="00976EB1" w:rsidRPr="005B4C8E" w:rsidRDefault="00E15024" w:rsidP="00640311">
      <w:pPr>
        <w:spacing w:after="0" w:line="260" w:lineRule="exact"/>
        <w:contextualSpacing/>
        <w:rPr>
          <w:rFonts w:asciiTheme="majorHAnsi" w:hAnsiTheme="majorHAnsi"/>
          <w:bCs/>
          <w:sz w:val="20"/>
          <w:szCs w:val="20"/>
          <w:lang w:eastAsia="nb-NO"/>
        </w:rPr>
      </w:pPr>
      <w:hyperlink r:id="rId16" w:history="1">
        <w:r w:rsidR="00976EB1" w:rsidRPr="005B4C8E">
          <w:rPr>
            <w:rStyle w:val="Hyperlink"/>
            <w:rFonts w:asciiTheme="majorHAnsi" w:hAnsiTheme="majorHAnsi"/>
            <w:bCs/>
            <w:sz w:val="20"/>
            <w:szCs w:val="20"/>
            <w:lang w:eastAsia="nb-NO"/>
          </w:rPr>
          <w:t>Validation Report</w:t>
        </w:r>
      </w:hyperlink>
    </w:p>
    <w:p w14:paraId="65B9BBC8" w14:textId="09EBFF5B" w:rsidR="00976EB1" w:rsidRPr="005B4C8E" w:rsidRDefault="00E15024" w:rsidP="00640311">
      <w:pPr>
        <w:spacing w:after="0" w:line="260" w:lineRule="exact"/>
        <w:contextualSpacing/>
        <w:rPr>
          <w:rFonts w:asciiTheme="majorHAnsi" w:hAnsiTheme="majorHAnsi"/>
          <w:bCs/>
          <w:sz w:val="20"/>
          <w:szCs w:val="20"/>
          <w:lang w:eastAsia="nb-NO"/>
        </w:rPr>
      </w:pPr>
      <w:hyperlink r:id="rId17" w:history="1">
        <w:r w:rsidR="00976EB1" w:rsidRPr="005B4C8E">
          <w:rPr>
            <w:rStyle w:val="Hyperlink"/>
            <w:rFonts w:asciiTheme="majorHAnsi" w:hAnsiTheme="majorHAnsi"/>
            <w:bCs/>
            <w:sz w:val="20"/>
            <w:szCs w:val="20"/>
            <w:lang w:eastAsia="nb-NO"/>
          </w:rPr>
          <w:t xml:space="preserve">Comments on the Validation Report by the </w:t>
        </w:r>
        <w:r w:rsidRPr="00E15024">
          <w:rPr>
            <w:rStyle w:val="Hyperlink"/>
            <w:rFonts w:asciiTheme="majorHAnsi" w:hAnsiTheme="majorHAnsi"/>
            <w:bCs/>
            <w:sz w:val="20"/>
            <w:szCs w:val="20"/>
            <w:lang w:eastAsia="nb-NO"/>
          </w:rPr>
          <w:t>MSG</w:t>
        </w:r>
      </w:hyperlink>
    </w:p>
    <w:p w14:paraId="5E53A6FA" w14:textId="4F16FD27" w:rsidR="00E15024" w:rsidRDefault="006859F0" w:rsidP="00640311">
      <w:pPr>
        <w:spacing w:after="0" w:line="260" w:lineRule="exact"/>
        <w:contextualSpacing/>
        <w:rPr>
          <w:rFonts w:asciiTheme="majorHAnsi" w:hAnsiTheme="majorHAnsi"/>
          <w:bCs/>
          <w:sz w:val="20"/>
          <w:szCs w:val="20"/>
          <w:lang w:eastAsia="nb-NO"/>
        </w:rPr>
      </w:pPr>
      <w:hyperlink r:id="rId18" w:history="1">
        <w:r w:rsidR="005B4C8E" w:rsidRPr="00640311">
          <w:rPr>
            <w:rStyle w:val="Hyperlink"/>
            <w:rFonts w:asciiTheme="majorHAnsi" w:hAnsiTheme="majorHAnsi"/>
            <w:sz w:val="20"/>
            <w:szCs w:val="20"/>
          </w:rPr>
          <w:t>Initial</w:t>
        </w:r>
        <w:r w:rsidR="005B4C8E" w:rsidRPr="006859F0">
          <w:rPr>
            <w:rStyle w:val="Hyperlink"/>
            <w:rFonts w:asciiTheme="majorHAnsi" w:hAnsiTheme="majorHAnsi"/>
            <w:bCs/>
            <w:sz w:val="20"/>
            <w:szCs w:val="20"/>
            <w:lang w:eastAsia="nb-NO"/>
          </w:rPr>
          <w:t xml:space="preserve"> assessment by the International Secretariat</w:t>
        </w:r>
      </w:hyperlink>
    </w:p>
    <w:p w14:paraId="5D5A3625" w14:textId="3740733C" w:rsidR="00976EB1" w:rsidRPr="005B4C8E" w:rsidRDefault="00976EB1" w:rsidP="00640311">
      <w:pPr>
        <w:spacing w:after="0" w:line="260" w:lineRule="exact"/>
        <w:contextualSpacing/>
        <w:rPr>
          <w:rFonts w:asciiTheme="majorHAnsi" w:hAnsiTheme="majorHAnsi"/>
          <w:bCs/>
          <w:sz w:val="20"/>
          <w:szCs w:val="20"/>
          <w:lang w:eastAsia="nb-NO"/>
        </w:rPr>
      </w:pPr>
      <w:r w:rsidRPr="00640311">
        <w:rPr>
          <w:szCs w:val="20"/>
        </w:rPr>
        <w:t xml:space="preserve">Comments on the Initial Assessment by the </w:t>
      </w:r>
      <w:hyperlink r:id="rId19" w:history="1">
        <w:r w:rsidRPr="005B4C8E">
          <w:rPr>
            <w:rStyle w:val="Hyperlink"/>
            <w:rFonts w:asciiTheme="majorHAnsi" w:hAnsiTheme="majorHAnsi"/>
            <w:bCs/>
            <w:sz w:val="20"/>
            <w:szCs w:val="20"/>
            <w:lang w:eastAsia="nb-NO"/>
          </w:rPr>
          <w:t>National Secretariat</w:t>
        </w:r>
      </w:hyperlink>
      <w:r w:rsidR="00E15024">
        <w:rPr>
          <w:rFonts w:asciiTheme="majorHAnsi" w:hAnsiTheme="majorHAnsi"/>
          <w:bCs/>
          <w:sz w:val="20"/>
          <w:szCs w:val="20"/>
          <w:lang w:eastAsia="nb-NO"/>
        </w:rPr>
        <w:t xml:space="preserve"> and the </w:t>
      </w:r>
      <w:hyperlink r:id="rId20" w:history="1">
        <w:r w:rsidR="00E15024" w:rsidRPr="00E15024">
          <w:rPr>
            <w:rStyle w:val="Hyperlink"/>
            <w:rFonts w:asciiTheme="majorHAnsi" w:hAnsiTheme="majorHAnsi"/>
            <w:bCs/>
            <w:sz w:val="20"/>
            <w:szCs w:val="20"/>
            <w:lang w:eastAsia="nb-NO"/>
          </w:rPr>
          <w:t>MSG Chair</w:t>
        </w:r>
      </w:hyperlink>
    </w:p>
    <w:p w14:paraId="4EFE3C22" w14:textId="77777777" w:rsidR="00E15024" w:rsidRDefault="00E15024" w:rsidP="00640311">
      <w:pPr>
        <w:spacing w:after="0" w:line="260" w:lineRule="exact"/>
        <w:contextualSpacing/>
        <w:rPr>
          <w:rFonts w:asciiTheme="majorHAnsi" w:hAnsiTheme="majorHAnsi"/>
          <w:b/>
          <w:bCs/>
          <w:sz w:val="20"/>
          <w:lang w:eastAsia="nb-NO"/>
        </w:rPr>
      </w:pPr>
    </w:p>
    <w:p w14:paraId="68DC0DEB" w14:textId="42EE6750" w:rsidR="00976EB1" w:rsidRPr="00E357C8" w:rsidRDefault="00976EB1" w:rsidP="00640311">
      <w:pPr>
        <w:spacing w:after="0" w:line="260" w:lineRule="exact"/>
        <w:contextualSpacing/>
        <w:rPr>
          <w:rFonts w:asciiTheme="majorHAnsi" w:hAnsiTheme="majorHAnsi"/>
          <w:b/>
          <w:bCs/>
          <w:sz w:val="20"/>
          <w:lang w:eastAsia="nb-NO"/>
        </w:rPr>
      </w:pPr>
      <w:r w:rsidRPr="00E357C8">
        <w:rPr>
          <w:rFonts w:asciiTheme="majorHAnsi" w:hAnsiTheme="majorHAnsi"/>
          <w:b/>
          <w:bCs/>
          <w:sz w:val="20"/>
          <w:lang w:eastAsia="nb-NO"/>
        </w:rPr>
        <w:t>Has the EITI competence for any proposed actions been considered?</w:t>
      </w:r>
    </w:p>
    <w:p w14:paraId="5D0EE076" w14:textId="77777777" w:rsidR="00976EB1" w:rsidRPr="00E357C8" w:rsidRDefault="00976EB1" w:rsidP="00640311">
      <w:pPr>
        <w:spacing w:after="0" w:line="260" w:lineRule="exact"/>
        <w:contextualSpacing/>
        <w:rPr>
          <w:rFonts w:asciiTheme="majorHAnsi" w:hAnsiTheme="majorHAnsi"/>
          <w:bCs/>
          <w:sz w:val="20"/>
          <w:lang w:eastAsia="nb-NO"/>
        </w:rPr>
      </w:pPr>
      <w:r w:rsidRPr="00E357C8">
        <w:rPr>
          <w:rFonts w:asciiTheme="majorHAnsi" w:hAnsiTheme="majorHAnsi"/>
          <w:bCs/>
          <w:sz w:val="20"/>
          <w:lang w:eastAsia="nb-NO"/>
        </w:rPr>
        <w:t>The Articles of Association mandate the Board to classify implementing countries as candidate countries or compliant countries (Article 5(2)(i)(a)). The EITI Standard (</w:t>
      </w:r>
      <w:hyperlink r:id="rId21" w:anchor="r8-3" w:history="1">
        <w:r w:rsidRPr="00E357C8">
          <w:rPr>
            <w:rStyle w:val="Hyperlink"/>
            <w:rFonts w:asciiTheme="majorHAnsi" w:hAnsiTheme="majorHAnsi"/>
            <w:bCs/>
            <w:sz w:val="20"/>
            <w:lang w:eastAsia="nb-NO"/>
          </w:rPr>
          <w:t>Requirement 8.3</w:t>
        </w:r>
      </w:hyperlink>
      <w:r w:rsidRPr="00E357C8">
        <w:rPr>
          <w:rFonts w:asciiTheme="majorHAnsi" w:hAnsiTheme="majorHAnsi"/>
          <w:bCs/>
          <w:sz w:val="20"/>
          <w:lang w:eastAsia="nb-NO"/>
        </w:rPr>
        <w:t xml:space="preserve">) addresses </w:t>
      </w:r>
      <w:hyperlink r:id="rId22" w:anchor="r8-3" w:history="1">
        <w:r w:rsidRPr="00E357C8">
          <w:rPr>
            <w:rStyle w:val="Hyperlink"/>
            <w:rFonts w:asciiTheme="majorHAnsi" w:hAnsiTheme="majorHAnsi"/>
            <w:bCs/>
            <w:sz w:val="20"/>
            <w:lang w:eastAsia="nb-NO"/>
          </w:rPr>
          <w:t>EITI Validation deadlines and the consequences</w:t>
        </w:r>
      </w:hyperlink>
      <w:r w:rsidRPr="00E357C8">
        <w:rPr>
          <w:rFonts w:asciiTheme="majorHAnsi" w:hAnsiTheme="majorHAnsi"/>
          <w:bCs/>
          <w:sz w:val="20"/>
          <w:lang w:eastAsia="nb-NO"/>
        </w:rPr>
        <w:t xml:space="preserve"> following Validation. </w:t>
      </w:r>
    </w:p>
    <w:p w14:paraId="768AE0BC" w14:textId="77777777" w:rsidR="00E15024" w:rsidRDefault="00E15024" w:rsidP="00640311">
      <w:pPr>
        <w:spacing w:after="0" w:line="260" w:lineRule="exact"/>
        <w:contextualSpacing/>
        <w:rPr>
          <w:rFonts w:asciiTheme="majorHAnsi" w:hAnsiTheme="majorHAnsi"/>
          <w:b/>
          <w:bCs/>
          <w:sz w:val="20"/>
          <w:lang w:eastAsia="nb-NO"/>
        </w:rPr>
      </w:pPr>
    </w:p>
    <w:p w14:paraId="1EC604E2" w14:textId="159454EE" w:rsidR="00976EB1" w:rsidRPr="00E357C8" w:rsidRDefault="00976EB1" w:rsidP="00640311">
      <w:pPr>
        <w:spacing w:after="0" w:line="260" w:lineRule="exact"/>
        <w:contextualSpacing/>
        <w:rPr>
          <w:rFonts w:asciiTheme="majorHAnsi" w:hAnsiTheme="majorHAnsi"/>
          <w:b/>
          <w:bCs/>
          <w:sz w:val="20"/>
          <w:lang w:eastAsia="nb-NO"/>
        </w:rPr>
      </w:pPr>
      <w:r w:rsidRPr="00E357C8">
        <w:rPr>
          <w:rFonts w:asciiTheme="majorHAnsi" w:hAnsiTheme="majorHAnsi"/>
          <w:b/>
          <w:bCs/>
          <w:sz w:val="20"/>
          <w:lang w:eastAsia="nb-NO"/>
        </w:rPr>
        <w:t>Financial implications of any actions</w:t>
      </w:r>
    </w:p>
    <w:p w14:paraId="2DB608CD" w14:textId="6FCF73A2" w:rsidR="00976EB1" w:rsidRPr="00E357C8" w:rsidRDefault="00976EB1" w:rsidP="00640311">
      <w:pPr>
        <w:spacing w:after="0" w:line="260" w:lineRule="exact"/>
        <w:contextualSpacing/>
        <w:rPr>
          <w:rFonts w:asciiTheme="majorHAnsi" w:hAnsiTheme="majorHAnsi"/>
          <w:bCs/>
          <w:sz w:val="20"/>
          <w:lang w:eastAsia="nb-NO"/>
        </w:rPr>
      </w:pPr>
      <w:r w:rsidRPr="00E357C8">
        <w:rPr>
          <w:rFonts w:asciiTheme="majorHAnsi" w:hAnsiTheme="majorHAnsi"/>
          <w:bCs/>
          <w:sz w:val="20"/>
          <w:lang w:eastAsia="nb-NO"/>
        </w:rPr>
        <w:t xml:space="preserve">The recommendation implies a second Validation commencing in </w:t>
      </w:r>
      <w:r w:rsidR="005B4C8E">
        <w:rPr>
          <w:rFonts w:asciiTheme="majorHAnsi" w:hAnsiTheme="majorHAnsi"/>
          <w:bCs/>
          <w:sz w:val="20"/>
          <w:lang w:eastAsia="nb-NO"/>
        </w:rPr>
        <w:t>late</w:t>
      </w:r>
      <w:r w:rsidRPr="00E357C8">
        <w:rPr>
          <w:rFonts w:asciiTheme="majorHAnsi" w:hAnsiTheme="majorHAnsi"/>
          <w:bCs/>
          <w:sz w:val="20"/>
          <w:lang w:eastAsia="nb-NO"/>
        </w:rPr>
        <w:t xml:space="preserve"> 2018. The cost of second Validations varies depending on the size of the country and the extractive industries and the scope of the corrective actions. In this case, a second Validation is expected to cost circa </w:t>
      </w:r>
      <w:r>
        <w:rPr>
          <w:rFonts w:asciiTheme="majorHAnsi" w:hAnsiTheme="majorHAnsi"/>
          <w:bCs/>
          <w:sz w:val="20"/>
          <w:lang w:eastAsia="nb-NO"/>
        </w:rPr>
        <w:t>3</w:t>
      </w:r>
      <w:r w:rsidRPr="00E357C8">
        <w:rPr>
          <w:rFonts w:asciiTheme="majorHAnsi" w:hAnsiTheme="majorHAnsi"/>
          <w:bCs/>
          <w:sz w:val="20"/>
          <w:lang w:eastAsia="nb-NO"/>
        </w:rPr>
        <w:t>5 000 USD, including staff time, travel and the cost of engaging the Independent Validator.</w:t>
      </w:r>
    </w:p>
    <w:p w14:paraId="6E2C315F" w14:textId="77777777" w:rsidR="00E15024" w:rsidRDefault="00E15024" w:rsidP="00640311">
      <w:pPr>
        <w:spacing w:after="0" w:line="260" w:lineRule="exact"/>
        <w:contextualSpacing/>
        <w:rPr>
          <w:rFonts w:asciiTheme="majorHAnsi" w:hAnsiTheme="majorHAnsi"/>
          <w:b/>
          <w:bCs/>
          <w:sz w:val="20"/>
          <w:lang w:eastAsia="nb-NO"/>
        </w:rPr>
      </w:pPr>
    </w:p>
    <w:p w14:paraId="3B7C6AE1" w14:textId="30E8CDCE" w:rsidR="00976EB1" w:rsidRPr="00E357C8" w:rsidRDefault="00976EB1" w:rsidP="00640311">
      <w:pPr>
        <w:spacing w:after="0" w:line="260" w:lineRule="exact"/>
        <w:contextualSpacing/>
        <w:rPr>
          <w:rFonts w:asciiTheme="majorHAnsi" w:hAnsiTheme="majorHAnsi"/>
          <w:b/>
          <w:bCs/>
          <w:sz w:val="20"/>
          <w:lang w:eastAsia="nb-NO"/>
        </w:rPr>
      </w:pPr>
      <w:r w:rsidRPr="00E357C8">
        <w:rPr>
          <w:rFonts w:asciiTheme="majorHAnsi" w:hAnsiTheme="majorHAnsi"/>
          <w:b/>
          <w:bCs/>
          <w:sz w:val="20"/>
          <w:lang w:eastAsia="nb-NO"/>
        </w:rPr>
        <w:t>Document history</w:t>
      </w:r>
    </w:p>
    <w:tbl>
      <w:tblPr>
        <w:tblStyle w:val="TableGrid"/>
        <w:tblW w:w="0" w:type="auto"/>
        <w:tblLook w:val="04A0" w:firstRow="1" w:lastRow="0" w:firstColumn="1" w:lastColumn="0" w:noHBand="0" w:noVBand="1"/>
      </w:tblPr>
      <w:tblGrid>
        <w:gridCol w:w="4855"/>
        <w:gridCol w:w="2483"/>
      </w:tblGrid>
      <w:tr w:rsidR="00976EB1" w:rsidRPr="00525614" w14:paraId="27B19565" w14:textId="77777777" w:rsidTr="00E15024">
        <w:tc>
          <w:tcPr>
            <w:tcW w:w="4855" w:type="dxa"/>
            <w:vAlign w:val="center"/>
          </w:tcPr>
          <w:p w14:paraId="2F1CFB60" w14:textId="77777777" w:rsidR="00976EB1" w:rsidRPr="00E357C8" w:rsidRDefault="00976EB1" w:rsidP="00640311">
            <w:pPr>
              <w:spacing w:after="0" w:line="260" w:lineRule="exact"/>
              <w:contextualSpacing/>
              <w:rPr>
                <w:rFonts w:asciiTheme="majorHAnsi" w:hAnsiTheme="majorHAnsi"/>
                <w:sz w:val="20"/>
              </w:rPr>
            </w:pPr>
            <w:r w:rsidRPr="00E357C8">
              <w:rPr>
                <w:rFonts w:asciiTheme="majorHAnsi" w:hAnsiTheme="majorHAnsi"/>
                <w:sz w:val="20"/>
              </w:rPr>
              <w:t>Comparison table and supporting documentation reviewed by the Validation Committee</w:t>
            </w:r>
          </w:p>
        </w:tc>
        <w:tc>
          <w:tcPr>
            <w:tcW w:w="2483" w:type="dxa"/>
            <w:vAlign w:val="center"/>
          </w:tcPr>
          <w:p w14:paraId="05E47037" w14:textId="54A75C62" w:rsidR="00976EB1" w:rsidRPr="00E357C8" w:rsidRDefault="00E15024" w:rsidP="00640311">
            <w:pPr>
              <w:spacing w:after="0" w:line="260" w:lineRule="exact"/>
              <w:contextualSpacing/>
              <w:rPr>
                <w:rFonts w:asciiTheme="majorHAnsi" w:hAnsiTheme="majorHAnsi"/>
                <w:sz w:val="20"/>
              </w:rPr>
            </w:pPr>
            <w:r>
              <w:rPr>
                <w:rFonts w:asciiTheme="majorHAnsi" w:hAnsiTheme="majorHAnsi"/>
                <w:sz w:val="20"/>
              </w:rPr>
              <w:t>12</w:t>
            </w:r>
            <w:r w:rsidR="00976EB1" w:rsidRPr="00E357C8">
              <w:rPr>
                <w:rFonts w:asciiTheme="majorHAnsi" w:hAnsiTheme="majorHAnsi"/>
                <w:sz w:val="20"/>
              </w:rPr>
              <w:t xml:space="preserve"> </w:t>
            </w:r>
            <w:r>
              <w:rPr>
                <w:rFonts w:asciiTheme="majorHAnsi" w:hAnsiTheme="majorHAnsi"/>
                <w:sz w:val="20"/>
              </w:rPr>
              <w:t>December</w:t>
            </w:r>
            <w:r w:rsidR="00976EB1" w:rsidRPr="00E357C8">
              <w:rPr>
                <w:rFonts w:asciiTheme="majorHAnsi" w:hAnsiTheme="majorHAnsi"/>
                <w:sz w:val="20"/>
              </w:rPr>
              <w:t xml:space="preserve"> 201</w:t>
            </w:r>
            <w:r>
              <w:rPr>
                <w:rFonts w:asciiTheme="majorHAnsi" w:hAnsiTheme="majorHAnsi"/>
                <w:sz w:val="20"/>
              </w:rPr>
              <w:t>6</w:t>
            </w:r>
          </w:p>
        </w:tc>
      </w:tr>
      <w:tr w:rsidR="00E15024" w:rsidRPr="00525614" w14:paraId="4AFDFD2F" w14:textId="77777777" w:rsidTr="00E15024">
        <w:tc>
          <w:tcPr>
            <w:tcW w:w="4855" w:type="dxa"/>
            <w:vAlign w:val="center"/>
          </w:tcPr>
          <w:p w14:paraId="09CF8AE3" w14:textId="5EE7FAA0" w:rsidR="00E15024" w:rsidRPr="00E357C8" w:rsidRDefault="00E15024" w:rsidP="00640311">
            <w:pPr>
              <w:spacing w:after="0" w:line="260" w:lineRule="exact"/>
              <w:contextualSpacing/>
              <w:rPr>
                <w:rFonts w:asciiTheme="majorHAnsi" w:hAnsiTheme="majorHAnsi"/>
                <w:sz w:val="20"/>
              </w:rPr>
            </w:pPr>
            <w:r w:rsidRPr="00E357C8">
              <w:rPr>
                <w:rFonts w:asciiTheme="majorHAnsi" w:hAnsiTheme="majorHAnsi"/>
                <w:sz w:val="20"/>
              </w:rPr>
              <w:t xml:space="preserve">Validation Committee agreement on </w:t>
            </w:r>
            <w:r>
              <w:rPr>
                <w:rFonts w:asciiTheme="majorHAnsi" w:hAnsiTheme="majorHAnsi"/>
                <w:sz w:val="20"/>
              </w:rPr>
              <w:t>recommendation</w:t>
            </w:r>
            <w:r w:rsidRPr="00E357C8" w:rsidDel="003806F4">
              <w:rPr>
                <w:rFonts w:asciiTheme="majorHAnsi" w:hAnsiTheme="majorHAnsi"/>
                <w:sz w:val="20"/>
              </w:rPr>
              <w:t xml:space="preserve"> </w:t>
            </w:r>
          </w:p>
        </w:tc>
        <w:tc>
          <w:tcPr>
            <w:tcW w:w="2483" w:type="dxa"/>
            <w:vAlign w:val="center"/>
          </w:tcPr>
          <w:p w14:paraId="7A0FCB7A" w14:textId="2465005E" w:rsidR="00E15024" w:rsidRPr="00E357C8" w:rsidRDefault="00E15024" w:rsidP="00640311">
            <w:pPr>
              <w:spacing w:after="0" w:line="260" w:lineRule="exact"/>
              <w:contextualSpacing/>
              <w:rPr>
                <w:rFonts w:asciiTheme="majorHAnsi" w:hAnsiTheme="majorHAnsi"/>
                <w:sz w:val="20"/>
              </w:rPr>
            </w:pPr>
            <w:r>
              <w:rPr>
                <w:rFonts w:asciiTheme="majorHAnsi" w:hAnsiTheme="majorHAnsi"/>
                <w:sz w:val="20"/>
              </w:rPr>
              <w:t xml:space="preserve">15 December </w:t>
            </w:r>
            <w:r w:rsidRPr="00E357C8">
              <w:rPr>
                <w:rFonts w:asciiTheme="majorHAnsi" w:hAnsiTheme="majorHAnsi"/>
                <w:sz w:val="20"/>
              </w:rPr>
              <w:t>201</w:t>
            </w:r>
            <w:r>
              <w:rPr>
                <w:rFonts w:asciiTheme="majorHAnsi" w:hAnsiTheme="majorHAnsi"/>
                <w:sz w:val="20"/>
              </w:rPr>
              <w:t>6</w:t>
            </w:r>
          </w:p>
        </w:tc>
      </w:tr>
      <w:tr w:rsidR="00E15024" w:rsidRPr="00525614" w14:paraId="26D6F22A" w14:textId="77777777" w:rsidTr="00E15024">
        <w:tc>
          <w:tcPr>
            <w:tcW w:w="4855" w:type="dxa"/>
            <w:vAlign w:val="center"/>
          </w:tcPr>
          <w:p w14:paraId="23783440" w14:textId="77777777" w:rsidR="00E15024" w:rsidRPr="00E357C8" w:rsidRDefault="00E15024" w:rsidP="00E15024">
            <w:pPr>
              <w:spacing w:after="0" w:line="260" w:lineRule="exact"/>
              <w:contextualSpacing/>
              <w:rPr>
                <w:rFonts w:asciiTheme="majorHAnsi" w:hAnsiTheme="majorHAnsi"/>
                <w:sz w:val="20"/>
              </w:rPr>
            </w:pPr>
            <w:r w:rsidRPr="00E357C8">
              <w:rPr>
                <w:rFonts w:asciiTheme="majorHAnsi" w:hAnsiTheme="majorHAnsi"/>
                <w:sz w:val="20"/>
              </w:rPr>
              <w:t>Validation Committee agreement on a Board Paper</w:t>
            </w:r>
            <w:r w:rsidRPr="00E357C8" w:rsidDel="003806F4">
              <w:rPr>
                <w:rFonts w:asciiTheme="majorHAnsi" w:hAnsiTheme="majorHAnsi"/>
                <w:sz w:val="20"/>
              </w:rPr>
              <w:t xml:space="preserve"> </w:t>
            </w:r>
          </w:p>
        </w:tc>
        <w:tc>
          <w:tcPr>
            <w:tcW w:w="2483" w:type="dxa"/>
            <w:vAlign w:val="center"/>
          </w:tcPr>
          <w:p w14:paraId="55793AF0" w14:textId="69A50D3F" w:rsidR="00E15024" w:rsidRPr="00E357C8" w:rsidRDefault="00E15024" w:rsidP="00E15024">
            <w:pPr>
              <w:spacing w:after="0" w:line="260" w:lineRule="exact"/>
              <w:contextualSpacing/>
              <w:rPr>
                <w:rFonts w:asciiTheme="majorHAnsi" w:hAnsiTheme="majorHAnsi"/>
                <w:sz w:val="20"/>
              </w:rPr>
            </w:pPr>
            <w:r>
              <w:rPr>
                <w:rFonts w:asciiTheme="majorHAnsi" w:hAnsiTheme="majorHAnsi"/>
                <w:sz w:val="20"/>
              </w:rPr>
              <w:t xml:space="preserve">22 December </w:t>
            </w:r>
            <w:r w:rsidRPr="00E357C8">
              <w:rPr>
                <w:rFonts w:asciiTheme="majorHAnsi" w:hAnsiTheme="majorHAnsi"/>
                <w:sz w:val="20"/>
              </w:rPr>
              <w:t>201</w:t>
            </w:r>
            <w:r>
              <w:rPr>
                <w:rFonts w:asciiTheme="majorHAnsi" w:hAnsiTheme="majorHAnsi"/>
                <w:sz w:val="20"/>
              </w:rPr>
              <w:t>6</w:t>
            </w:r>
          </w:p>
        </w:tc>
      </w:tr>
      <w:tr w:rsidR="00E15024" w:rsidRPr="00525614" w14:paraId="391C6DF3" w14:textId="77777777" w:rsidTr="00E15024">
        <w:tc>
          <w:tcPr>
            <w:tcW w:w="4855" w:type="dxa"/>
            <w:vAlign w:val="center"/>
          </w:tcPr>
          <w:p w14:paraId="28AB4823" w14:textId="6234CDAA" w:rsidR="00E15024" w:rsidRPr="00E357C8" w:rsidRDefault="00E15024" w:rsidP="005B4C8E">
            <w:pPr>
              <w:spacing w:after="0" w:line="260" w:lineRule="exact"/>
              <w:contextualSpacing/>
              <w:rPr>
                <w:rFonts w:asciiTheme="majorHAnsi" w:hAnsiTheme="majorHAnsi"/>
                <w:sz w:val="20"/>
              </w:rPr>
            </w:pPr>
            <w:r>
              <w:rPr>
                <w:rFonts w:asciiTheme="majorHAnsi" w:hAnsiTheme="majorHAnsi"/>
                <w:sz w:val="20"/>
              </w:rPr>
              <w:t>Recommendation to the Board via circular 224</w:t>
            </w:r>
          </w:p>
        </w:tc>
        <w:tc>
          <w:tcPr>
            <w:tcW w:w="2483" w:type="dxa"/>
            <w:vAlign w:val="center"/>
          </w:tcPr>
          <w:p w14:paraId="4DFB3491" w14:textId="13A0E356" w:rsidR="00E15024" w:rsidRPr="00E357C8" w:rsidRDefault="00E15024" w:rsidP="005B4C8E">
            <w:pPr>
              <w:spacing w:after="0" w:line="260" w:lineRule="exact"/>
              <w:contextualSpacing/>
              <w:rPr>
                <w:rFonts w:asciiTheme="majorHAnsi" w:hAnsiTheme="majorHAnsi"/>
                <w:sz w:val="20"/>
              </w:rPr>
            </w:pPr>
            <w:r>
              <w:rPr>
                <w:rFonts w:asciiTheme="majorHAnsi" w:hAnsiTheme="majorHAnsi"/>
                <w:sz w:val="20"/>
              </w:rPr>
              <w:t xml:space="preserve">23 December </w:t>
            </w:r>
            <w:r w:rsidRPr="00E357C8">
              <w:rPr>
                <w:rFonts w:asciiTheme="majorHAnsi" w:hAnsiTheme="majorHAnsi"/>
                <w:sz w:val="20"/>
              </w:rPr>
              <w:t>201</w:t>
            </w:r>
            <w:r>
              <w:rPr>
                <w:rFonts w:asciiTheme="majorHAnsi" w:hAnsiTheme="majorHAnsi"/>
                <w:sz w:val="20"/>
              </w:rPr>
              <w:t>6</w:t>
            </w:r>
          </w:p>
        </w:tc>
      </w:tr>
      <w:tr w:rsidR="00E15024" w:rsidRPr="00525614" w14:paraId="78E73670" w14:textId="77777777" w:rsidTr="00E15024">
        <w:tc>
          <w:tcPr>
            <w:tcW w:w="4855" w:type="dxa"/>
            <w:vAlign w:val="center"/>
          </w:tcPr>
          <w:p w14:paraId="03B90407" w14:textId="5F116221" w:rsidR="00E15024" w:rsidRPr="00E357C8" w:rsidRDefault="00080E5A" w:rsidP="00640311">
            <w:pPr>
              <w:spacing w:after="0" w:line="260" w:lineRule="exact"/>
              <w:contextualSpacing/>
              <w:rPr>
                <w:rFonts w:asciiTheme="majorHAnsi" w:hAnsiTheme="majorHAnsi"/>
                <w:sz w:val="20"/>
              </w:rPr>
            </w:pPr>
            <w:r>
              <w:rPr>
                <w:rFonts w:asciiTheme="majorHAnsi" w:hAnsiTheme="majorHAnsi"/>
                <w:sz w:val="20"/>
              </w:rPr>
              <w:t>Objections noted in Board Circular 225</w:t>
            </w:r>
          </w:p>
        </w:tc>
        <w:tc>
          <w:tcPr>
            <w:tcW w:w="2483" w:type="dxa"/>
            <w:vAlign w:val="center"/>
          </w:tcPr>
          <w:p w14:paraId="6BDC2E40" w14:textId="5C5FA120" w:rsidR="00E15024" w:rsidRPr="00E357C8" w:rsidRDefault="00080E5A" w:rsidP="00640311">
            <w:pPr>
              <w:spacing w:after="0" w:line="260" w:lineRule="exact"/>
              <w:contextualSpacing/>
              <w:rPr>
                <w:rFonts w:asciiTheme="majorHAnsi" w:hAnsiTheme="majorHAnsi"/>
                <w:sz w:val="20"/>
              </w:rPr>
            </w:pPr>
            <w:r>
              <w:rPr>
                <w:rFonts w:asciiTheme="majorHAnsi" w:hAnsiTheme="majorHAnsi"/>
                <w:sz w:val="20"/>
              </w:rPr>
              <w:t>13</w:t>
            </w:r>
            <w:r w:rsidR="00E15024" w:rsidRPr="00E357C8">
              <w:rPr>
                <w:rFonts w:asciiTheme="majorHAnsi" w:hAnsiTheme="majorHAnsi"/>
                <w:sz w:val="20"/>
              </w:rPr>
              <w:t xml:space="preserve"> </w:t>
            </w:r>
            <w:r>
              <w:rPr>
                <w:rFonts w:asciiTheme="majorHAnsi" w:hAnsiTheme="majorHAnsi"/>
                <w:sz w:val="20"/>
              </w:rPr>
              <w:t>January</w:t>
            </w:r>
            <w:r w:rsidR="00E15024" w:rsidRPr="00E357C8">
              <w:rPr>
                <w:rFonts w:asciiTheme="majorHAnsi" w:hAnsiTheme="majorHAnsi"/>
                <w:sz w:val="20"/>
              </w:rPr>
              <w:t xml:space="preserve"> 2017</w:t>
            </w:r>
          </w:p>
        </w:tc>
      </w:tr>
    </w:tbl>
    <w:p w14:paraId="64595576" w14:textId="2BF8F8CF" w:rsidR="00960347" w:rsidRPr="00303906" w:rsidRDefault="00960347" w:rsidP="00640311">
      <w:pPr>
        <w:widowControl/>
        <w:suppressAutoHyphens w:val="0"/>
        <w:spacing w:after="0" w:line="260" w:lineRule="exact"/>
        <w:contextualSpacing/>
        <w:rPr>
          <w:bCs/>
        </w:rPr>
      </w:pPr>
      <w:bookmarkStart w:id="4" w:name="_Toc440444557"/>
      <w:bookmarkEnd w:id="0"/>
      <w:bookmarkEnd w:id="4"/>
    </w:p>
    <w:p w14:paraId="35C08A2B" w14:textId="77777777" w:rsidR="00E15024" w:rsidRDefault="00E15024" w:rsidP="00976EB1">
      <w:pPr>
        <w:pStyle w:val="Heading2"/>
        <w:rPr>
          <w:rFonts w:asciiTheme="majorHAnsi" w:hAnsiTheme="majorHAnsi"/>
        </w:rPr>
      </w:pPr>
      <w:bookmarkStart w:id="5" w:name="_Toc474481029"/>
      <w:bookmarkStart w:id="6" w:name="_Toc474482075"/>
      <w:bookmarkStart w:id="7" w:name="_Toc463953941"/>
      <w:bookmarkStart w:id="8" w:name="_Toc474480945"/>
      <w:r>
        <w:rPr>
          <w:rFonts w:asciiTheme="majorHAnsi" w:hAnsiTheme="majorHAnsi"/>
        </w:rPr>
        <w:br w:type="page"/>
      </w:r>
    </w:p>
    <w:p w14:paraId="1D26717B" w14:textId="4CC82858" w:rsidR="00976EB1" w:rsidRPr="005F45A7" w:rsidRDefault="00976EB1" w:rsidP="00976EB1">
      <w:pPr>
        <w:pStyle w:val="Heading2"/>
        <w:rPr>
          <w:rFonts w:asciiTheme="majorHAnsi" w:hAnsiTheme="majorHAnsi"/>
        </w:rPr>
      </w:pPr>
      <w:r>
        <w:rPr>
          <w:rFonts w:asciiTheme="majorHAnsi" w:hAnsiTheme="majorHAnsi"/>
        </w:rPr>
        <w:lastRenderedPageBreak/>
        <w:t>Recommendation</w:t>
      </w:r>
      <w:bookmarkEnd w:id="5"/>
      <w:bookmarkEnd w:id="6"/>
    </w:p>
    <w:bookmarkEnd w:id="7"/>
    <w:bookmarkEnd w:id="8"/>
    <w:p w14:paraId="0FFF2F39" w14:textId="77777777" w:rsidR="00316910" w:rsidRPr="00303906" w:rsidRDefault="00316910" w:rsidP="00316910">
      <w:pPr>
        <w:tabs>
          <w:tab w:val="right" w:pos="993"/>
        </w:tabs>
        <w:spacing w:after="0"/>
        <w:rPr>
          <w:color w:val="000000"/>
        </w:rPr>
      </w:pPr>
      <w:r w:rsidRPr="00303906">
        <w:rPr>
          <w:color w:val="000000"/>
        </w:rPr>
        <w:t>The Validation Committee makes the following recommendation to the EITI Board:</w:t>
      </w:r>
    </w:p>
    <w:p w14:paraId="4BC36197" w14:textId="77777777" w:rsidR="00316910" w:rsidRPr="00303906" w:rsidRDefault="00316910" w:rsidP="00316910">
      <w:pPr>
        <w:tabs>
          <w:tab w:val="right" w:pos="993"/>
        </w:tabs>
        <w:spacing w:after="0"/>
        <w:rPr>
          <w:color w:val="000000"/>
        </w:rPr>
      </w:pPr>
    </w:p>
    <w:p w14:paraId="2183CD6D" w14:textId="77777777" w:rsidR="00316910" w:rsidRPr="00303906" w:rsidRDefault="00316910" w:rsidP="00316910">
      <w:pPr>
        <w:tabs>
          <w:tab w:val="right" w:pos="993"/>
        </w:tabs>
        <w:spacing w:after="0"/>
        <w:ind w:left="993"/>
        <w:rPr>
          <w:i/>
          <w:color w:val="000000"/>
        </w:rPr>
      </w:pPr>
      <w:r w:rsidRPr="00303906">
        <w:rPr>
          <w:i/>
          <w:color w:val="000000"/>
        </w:rPr>
        <w:t xml:space="preserve">The Board agrees that Tajikistan has made inadequate progress overall in implementing the 2016 EITI Standard. In taking this decision the EITI Board noted the strong commitment by the Government of Tajikistan and the important contributions by civil society to the process. The Board highlighted that although there is a need for improvement in terms of disclosure of information related to the extractive sector, the EITI reporting process has underscored opportunities for reform. The Board was encouraged by the efforts of the government and the EITI Council to act on the recommendations from EITI reports to strengthen management of the extractive sector, including </w:t>
      </w:r>
      <w:r w:rsidR="00B40574" w:rsidRPr="00303906">
        <w:rPr>
          <w:i/>
          <w:color w:val="000000"/>
        </w:rPr>
        <w:t xml:space="preserve">efforts to establish a publicly accessible cadastre, ensure mandatory disclosure of beneficial ownership and improve tax collection systems. </w:t>
      </w:r>
    </w:p>
    <w:p w14:paraId="586C93D5" w14:textId="77777777" w:rsidR="00316910" w:rsidRPr="00303906" w:rsidRDefault="00316910" w:rsidP="00316910">
      <w:pPr>
        <w:tabs>
          <w:tab w:val="right" w:pos="993"/>
        </w:tabs>
        <w:spacing w:after="0"/>
        <w:ind w:left="993"/>
        <w:rPr>
          <w:i/>
          <w:color w:val="000000"/>
        </w:rPr>
      </w:pPr>
    </w:p>
    <w:p w14:paraId="587025EC" w14:textId="5B121FAD" w:rsidR="00316910" w:rsidRPr="00303906" w:rsidRDefault="00316910" w:rsidP="00316910">
      <w:pPr>
        <w:tabs>
          <w:tab w:val="right" w:pos="993"/>
        </w:tabs>
        <w:spacing w:after="0"/>
        <w:ind w:left="993"/>
        <w:rPr>
          <w:i/>
          <w:color w:val="000000"/>
        </w:rPr>
      </w:pPr>
      <w:r w:rsidRPr="00856A13">
        <w:rPr>
          <w:i/>
        </w:rPr>
        <w:t>The Board’s de</w:t>
      </w:r>
      <w:r w:rsidRPr="00303906">
        <w:rPr>
          <w:i/>
          <w:shd w:val="clear" w:color="auto" w:fill="FFFFFF"/>
        </w:rPr>
        <w:t xml:space="preserve">termination of </w:t>
      </w:r>
      <w:r w:rsidR="006078AA" w:rsidRPr="00303906">
        <w:rPr>
          <w:i/>
          <w:shd w:val="clear" w:color="auto" w:fill="FFFFFF"/>
        </w:rPr>
        <w:t>Tajikistan</w:t>
      </w:r>
      <w:r w:rsidRPr="00303906">
        <w:rPr>
          <w:i/>
          <w:shd w:val="clear" w:color="auto" w:fill="FFFFFF"/>
        </w:rPr>
        <w:t>’s progress with the EITI’s requirements is outlined in the assessment card, below</w:t>
      </w:r>
      <w:r w:rsidRPr="00303906">
        <w:rPr>
          <w:i/>
          <w:color w:val="000000"/>
          <w:shd w:val="clear" w:color="auto" w:fill="FFFFFF"/>
        </w:rPr>
        <w:t xml:space="preserve">. </w:t>
      </w:r>
      <w:r w:rsidRPr="00303906">
        <w:rPr>
          <w:i/>
          <w:color w:val="000000"/>
        </w:rPr>
        <w:t xml:space="preserve">The EITI Board agreed that </w:t>
      </w:r>
      <w:r w:rsidR="006078AA" w:rsidRPr="00303906">
        <w:rPr>
          <w:i/>
          <w:color w:val="000000"/>
        </w:rPr>
        <w:t>Tajikistan</w:t>
      </w:r>
      <w:r w:rsidRPr="00303906">
        <w:rPr>
          <w:i/>
          <w:color w:val="000000"/>
        </w:rPr>
        <w:t xml:space="preserve"> had not made satisfactory progress on requirements 1.</w:t>
      </w:r>
      <w:r w:rsidR="006078AA" w:rsidRPr="00303906">
        <w:rPr>
          <w:i/>
          <w:color w:val="000000"/>
        </w:rPr>
        <w:t>2</w:t>
      </w:r>
      <w:r w:rsidRPr="00303906">
        <w:rPr>
          <w:i/>
          <w:color w:val="000000"/>
        </w:rPr>
        <w:t xml:space="preserve">, </w:t>
      </w:r>
      <w:r w:rsidR="006078AA" w:rsidRPr="00303906">
        <w:rPr>
          <w:i/>
          <w:color w:val="000000"/>
        </w:rPr>
        <w:t>1</w:t>
      </w:r>
      <w:r w:rsidRPr="004B7735">
        <w:rPr>
          <w:i/>
          <w:color w:val="000000"/>
        </w:rPr>
        <w:t>.</w:t>
      </w:r>
      <w:r w:rsidR="006078AA" w:rsidRPr="004B7735">
        <w:rPr>
          <w:i/>
          <w:color w:val="000000"/>
        </w:rPr>
        <w:t>3</w:t>
      </w:r>
      <w:r w:rsidRPr="004B7735">
        <w:rPr>
          <w:i/>
          <w:color w:val="000000"/>
        </w:rPr>
        <w:t xml:space="preserve">, </w:t>
      </w:r>
      <w:r w:rsidR="006078AA" w:rsidRPr="004B7735">
        <w:rPr>
          <w:i/>
          <w:color w:val="000000"/>
        </w:rPr>
        <w:t>2</w:t>
      </w:r>
      <w:r w:rsidRPr="004B7735">
        <w:rPr>
          <w:i/>
          <w:color w:val="000000"/>
        </w:rPr>
        <w:t>.</w:t>
      </w:r>
      <w:r w:rsidR="006078AA" w:rsidRPr="004B7735">
        <w:rPr>
          <w:i/>
          <w:color w:val="000000"/>
        </w:rPr>
        <w:t>2</w:t>
      </w:r>
      <w:r w:rsidRPr="004B7735">
        <w:rPr>
          <w:i/>
          <w:color w:val="000000"/>
        </w:rPr>
        <w:t xml:space="preserve">, </w:t>
      </w:r>
      <w:r w:rsidR="006078AA" w:rsidRPr="004B7735">
        <w:rPr>
          <w:i/>
          <w:color w:val="000000"/>
        </w:rPr>
        <w:t>2</w:t>
      </w:r>
      <w:r w:rsidRPr="004B7735">
        <w:rPr>
          <w:i/>
          <w:color w:val="000000"/>
        </w:rPr>
        <w:t>.</w:t>
      </w:r>
      <w:r w:rsidR="006078AA" w:rsidRPr="004B7735">
        <w:rPr>
          <w:i/>
          <w:color w:val="000000"/>
        </w:rPr>
        <w:t>3</w:t>
      </w:r>
      <w:r w:rsidRPr="004B7735">
        <w:rPr>
          <w:i/>
          <w:color w:val="000000"/>
        </w:rPr>
        <w:t xml:space="preserve">, </w:t>
      </w:r>
      <w:r w:rsidR="006078AA" w:rsidRPr="004B7735">
        <w:rPr>
          <w:i/>
          <w:color w:val="000000"/>
        </w:rPr>
        <w:t>2</w:t>
      </w:r>
      <w:r w:rsidRPr="004B7735">
        <w:rPr>
          <w:i/>
          <w:color w:val="000000"/>
        </w:rPr>
        <w:t>.</w:t>
      </w:r>
      <w:r w:rsidR="006078AA" w:rsidRPr="004B7735">
        <w:rPr>
          <w:i/>
          <w:color w:val="000000"/>
        </w:rPr>
        <w:t>6</w:t>
      </w:r>
      <w:r w:rsidRPr="004B7735">
        <w:rPr>
          <w:i/>
          <w:color w:val="000000"/>
        </w:rPr>
        <w:t xml:space="preserve">, </w:t>
      </w:r>
      <w:r w:rsidR="006078AA" w:rsidRPr="004B7735">
        <w:rPr>
          <w:i/>
          <w:color w:val="000000"/>
        </w:rPr>
        <w:t>3</w:t>
      </w:r>
      <w:r w:rsidRPr="004B7735">
        <w:rPr>
          <w:i/>
          <w:color w:val="000000"/>
        </w:rPr>
        <w:t>.2</w:t>
      </w:r>
      <w:r w:rsidR="006078AA" w:rsidRPr="004B7735">
        <w:rPr>
          <w:i/>
          <w:color w:val="000000"/>
        </w:rPr>
        <w:t>, 3.3, 4.1, 4.2, 4.3, 4.5, 4.9, 6.1, 6.2, 7.1</w:t>
      </w:r>
      <w:r w:rsidRPr="004B7735">
        <w:rPr>
          <w:i/>
          <w:color w:val="000000"/>
        </w:rPr>
        <w:t xml:space="preserve"> and 7.4. The major areas of concern relate to </w:t>
      </w:r>
      <w:r w:rsidR="004B7735" w:rsidRPr="004B7735">
        <w:rPr>
          <w:i/>
          <w:lang w:eastAsia="nb-NO" w:bidi="ar-SA"/>
        </w:rPr>
        <w:t>industry engagement (#1.2), civil society engagement (#1.3), license allocations (#2.2), license registers (#2.3)</w:t>
      </w:r>
      <w:r w:rsidRPr="004B7735">
        <w:rPr>
          <w:i/>
          <w:color w:val="000000"/>
        </w:rPr>
        <w:t>, state participation (#2.6), including SOE transactions (#4.5) and quasi-fiscal expenditures (#6.2),</w:t>
      </w:r>
      <w:r w:rsidR="000E29AC" w:rsidRPr="004B7735">
        <w:rPr>
          <w:i/>
          <w:color w:val="000000"/>
        </w:rPr>
        <w:t xml:space="preserve"> production data (#3.2) and export data (#3.3), comprehensiveness (#4.1), in-kind revenues (#4.2), barter arrangements (#4.3)</w:t>
      </w:r>
      <w:r w:rsidR="004B7735" w:rsidRPr="004B7735">
        <w:rPr>
          <w:i/>
          <w:color w:val="000000"/>
        </w:rPr>
        <w:t xml:space="preserve">, </w:t>
      </w:r>
      <w:r w:rsidR="004B7735" w:rsidRPr="004B7735">
        <w:rPr>
          <w:i/>
        </w:rPr>
        <w:t>data quality and assurance (#4.9), social expenditures (#6.1), public debate (#7.1) and the documentation of impact (#7.4)</w:t>
      </w:r>
      <w:r w:rsidR="00A13F8F" w:rsidRPr="004B7735">
        <w:rPr>
          <w:i/>
          <w:color w:val="000000"/>
        </w:rPr>
        <w:t xml:space="preserve">. </w:t>
      </w:r>
      <w:r w:rsidRPr="004B7735">
        <w:rPr>
          <w:i/>
          <w:color w:val="000000"/>
        </w:rPr>
        <w:t>The EITI</w:t>
      </w:r>
      <w:r w:rsidRPr="00303906">
        <w:rPr>
          <w:i/>
          <w:color w:val="000000"/>
        </w:rPr>
        <w:t xml:space="preserve"> Board disagreed with the validator on the following requirements: government engagement (#1.1), export data (#3.3) and in-kind revenues (#4.2)</w:t>
      </w:r>
      <w:r w:rsidRPr="00303906">
        <w:rPr>
          <w:rStyle w:val="FootnoteReference"/>
          <w:i/>
          <w:color w:val="000000"/>
        </w:rPr>
        <w:footnoteReference w:id="2"/>
      </w:r>
      <w:r w:rsidRPr="00303906">
        <w:rPr>
          <w:i/>
          <w:color w:val="000000"/>
        </w:rPr>
        <w:t xml:space="preserve">. </w:t>
      </w:r>
    </w:p>
    <w:p w14:paraId="616BBCE1" w14:textId="77777777" w:rsidR="00316910" w:rsidRPr="00303906" w:rsidRDefault="00316910" w:rsidP="00316910">
      <w:pPr>
        <w:tabs>
          <w:tab w:val="right" w:pos="993"/>
        </w:tabs>
        <w:spacing w:after="0"/>
        <w:ind w:left="993"/>
        <w:rPr>
          <w:i/>
          <w:color w:val="000000"/>
        </w:rPr>
      </w:pPr>
    </w:p>
    <w:p w14:paraId="7D39DE06" w14:textId="540C193F" w:rsidR="00316910" w:rsidRPr="00856A13" w:rsidRDefault="00D817FF" w:rsidP="00316910">
      <w:pPr>
        <w:tabs>
          <w:tab w:val="right" w:pos="993"/>
        </w:tabs>
        <w:spacing w:after="0"/>
        <w:ind w:left="993"/>
        <w:rPr>
          <w:i/>
        </w:rPr>
      </w:pPr>
      <w:r w:rsidRPr="00303906">
        <w:rPr>
          <w:i/>
          <w:color w:val="000000"/>
        </w:rPr>
        <w:t>In accordance with requirement 8.3.c.iii</w:t>
      </w:r>
      <w:r w:rsidR="00316910" w:rsidRPr="00303906">
        <w:rPr>
          <w:i/>
          <w:color w:val="000000"/>
        </w:rPr>
        <w:t xml:space="preserve">, the EITI Board agreed that </w:t>
      </w:r>
      <w:r w:rsidR="0002467D" w:rsidRPr="00303906">
        <w:rPr>
          <w:i/>
          <w:color w:val="000000"/>
        </w:rPr>
        <w:t xml:space="preserve">Tajikistan </w:t>
      </w:r>
      <w:r w:rsidR="00316910" w:rsidRPr="00303906">
        <w:rPr>
          <w:i/>
          <w:color w:val="000000"/>
        </w:rPr>
        <w:t>will</w:t>
      </w:r>
      <w:r w:rsidR="000A637D" w:rsidRPr="00390CDA">
        <w:rPr>
          <w:i/>
          <w:color w:val="FF0000"/>
        </w:rPr>
        <w:t xml:space="preserve"> </w:t>
      </w:r>
      <w:r w:rsidR="000A637D" w:rsidRPr="00303906">
        <w:rPr>
          <w:i/>
          <w:color w:val="000000"/>
        </w:rPr>
        <w:t>be suspended and will</w:t>
      </w:r>
      <w:r w:rsidRPr="00303906">
        <w:rPr>
          <w:i/>
          <w:color w:val="000000"/>
        </w:rPr>
        <w:t xml:space="preserve"> </w:t>
      </w:r>
      <w:r w:rsidR="00316910" w:rsidRPr="00303906">
        <w:rPr>
          <w:i/>
          <w:color w:val="000000"/>
        </w:rPr>
        <w:t xml:space="preserve">need to take corrective actions outlined below. Progress with the corrective actions will be assessed in a second </w:t>
      </w:r>
      <w:r w:rsidR="007C2D5F" w:rsidRPr="00303906">
        <w:rPr>
          <w:i/>
          <w:color w:val="000000"/>
        </w:rPr>
        <w:t xml:space="preserve">Validation </w:t>
      </w:r>
      <w:r w:rsidR="00316910" w:rsidRPr="00303906">
        <w:rPr>
          <w:i/>
          <w:color w:val="000000"/>
        </w:rPr>
        <w:t xml:space="preserve">commencing on </w:t>
      </w:r>
      <w:r w:rsidR="00316910" w:rsidRPr="006F680C">
        <w:rPr>
          <w:i/>
          <w:color w:val="FF0000"/>
        </w:rPr>
        <w:t xml:space="preserve">&lt;date </w:t>
      </w:r>
      <w:r w:rsidR="00DC34AA">
        <w:rPr>
          <w:i/>
          <w:color w:val="FF0000"/>
        </w:rPr>
        <w:t>of Board decision + 18</w:t>
      </w:r>
      <w:r w:rsidR="00316910" w:rsidRPr="006F680C">
        <w:rPr>
          <w:i/>
          <w:color w:val="FF0000"/>
        </w:rPr>
        <w:t xml:space="preserve"> months&gt;.</w:t>
      </w:r>
      <w:r w:rsidR="00316910" w:rsidRPr="00303906">
        <w:rPr>
          <w:i/>
          <w:color w:val="000000"/>
        </w:rPr>
        <w:t xml:space="preserve"> Failure to achieve meaningful progress with considerable improvements across several individual requirements in the second Validation will result in </w:t>
      </w:r>
      <w:r w:rsidR="00DC34AA" w:rsidRPr="00303906">
        <w:rPr>
          <w:i/>
          <w:color w:val="000000"/>
        </w:rPr>
        <w:t>delisting</w:t>
      </w:r>
      <w:r w:rsidR="00316910" w:rsidRPr="00303906">
        <w:rPr>
          <w:i/>
          <w:color w:val="000000"/>
        </w:rPr>
        <w:t xml:space="preserve"> in accordance with the EITI Standard.   In</w:t>
      </w:r>
      <w:r w:rsidR="00316910" w:rsidRPr="00856A13">
        <w:rPr>
          <w:i/>
        </w:rPr>
        <w:t xml:space="preserve"> accordance with the </w:t>
      </w:r>
      <w:r w:rsidR="00316910" w:rsidRPr="00303906">
        <w:rPr>
          <w:i/>
          <w:shd w:val="clear" w:color="auto" w:fill="FFFFFF"/>
        </w:rPr>
        <w:t xml:space="preserve">EITI Standard, the </w:t>
      </w:r>
      <w:r w:rsidR="00DC34AA" w:rsidRPr="00303906">
        <w:rPr>
          <w:i/>
          <w:shd w:val="clear" w:color="auto" w:fill="FFFFFF"/>
        </w:rPr>
        <w:t xml:space="preserve">Tajikistan EITI Council </w:t>
      </w:r>
      <w:r w:rsidR="00316910" w:rsidRPr="00303906">
        <w:rPr>
          <w:i/>
          <w:shd w:val="clear" w:color="auto" w:fill="FFFFFF"/>
        </w:rPr>
        <w:t>may request an extension of this timeframe, or</w:t>
      </w:r>
      <w:r w:rsidR="00316910" w:rsidRPr="00856A13">
        <w:rPr>
          <w:i/>
        </w:rPr>
        <w:t xml:space="preserve"> request that Validation commences earlier than scheduled.</w:t>
      </w:r>
    </w:p>
    <w:p w14:paraId="300787AA" w14:textId="77777777" w:rsidR="00316910" w:rsidRPr="00856A13" w:rsidRDefault="00316910" w:rsidP="00316910">
      <w:pPr>
        <w:tabs>
          <w:tab w:val="right" w:pos="993"/>
        </w:tabs>
        <w:spacing w:after="0"/>
        <w:ind w:left="993"/>
        <w:rPr>
          <w:i/>
        </w:rPr>
      </w:pPr>
    </w:p>
    <w:p w14:paraId="2BEC456C" w14:textId="77777777" w:rsidR="00316910" w:rsidRDefault="00316910" w:rsidP="00316910">
      <w:pPr>
        <w:tabs>
          <w:tab w:val="right" w:pos="993"/>
        </w:tabs>
        <w:spacing w:after="0"/>
        <w:ind w:left="993"/>
        <w:rPr>
          <w:i/>
        </w:rPr>
      </w:pPr>
      <w:r w:rsidRPr="00856A13">
        <w:rPr>
          <w:i/>
        </w:rPr>
        <w:t xml:space="preserve">The Board’s decision followed </w:t>
      </w:r>
      <w:r w:rsidRPr="00303906">
        <w:rPr>
          <w:i/>
          <w:shd w:val="clear" w:color="auto" w:fill="FFFFFF"/>
        </w:rPr>
        <w:t xml:space="preserve">a Validation that commenced on 1 July 2016. In accordance with the 2016 EITI Standard, an initial assessment was undertaken by the International Secretariat. The findings were reviewed an Independent Validator, who submitted a Validation Report to the EITI Board. </w:t>
      </w:r>
      <w:r w:rsidR="006C4AF6" w:rsidRPr="00303906">
        <w:rPr>
          <w:i/>
          <w:shd w:val="clear" w:color="auto" w:fill="FFFFFF"/>
        </w:rPr>
        <w:t xml:space="preserve">Tajikistan’s EITI Council </w:t>
      </w:r>
      <w:r w:rsidRPr="00856A13">
        <w:rPr>
          <w:i/>
        </w:rPr>
        <w:t xml:space="preserve">were invited to comment throughout the process. </w:t>
      </w:r>
      <w:r>
        <w:rPr>
          <w:i/>
        </w:rPr>
        <w:t xml:space="preserve">The </w:t>
      </w:r>
      <w:r w:rsidR="006C4AF6">
        <w:rPr>
          <w:i/>
        </w:rPr>
        <w:t xml:space="preserve">EITI Council’s </w:t>
      </w:r>
      <w:r>
        <w:rPr>
          <w:i/>
        </w:rPr>
        <w:t xml:space="preserve">comments on the report were taken into consideration. </w:t>
      </w:r>
      <w:r w:rsidRPr="00856A13">
        <w:rPr>
          <w:i/>
        </w:rPr>
        <w:t>The final decision was taken by the EITI Board.</w:t>
      </w:r>
    </w:p>
    <w:p w14:paraId="223010B6" w14:textId="77777777" w:rsidR="00960347" w:rsidRPr="00303906" w:rsidRDefault="00960347" w:rsidP="00756758">
      <w:pPr>
        <w:tabs>
          <w:tab w:val="right" w:pos="993"/>
        </w:tabs>
        <w:spacing w:after="0"/>
      </w:pPr>
    </w:p>
    <w:p w14:paraId="435A72BE" w14:textId="77777777" w:rsidR="00976EB1" w:rsidRPr="005F45A7" w:rsidRDefault="00976EB1" w:rsidP="00976EB1">
      <w:pPr>
        <w:pStyle w:val="Heading2"/>
        <w:rPr>
          <w:rFonts w:asciiTheme="majorHAnsi" w:hAnsiTheme="majorHAnsi"/>
        </w:rPr>
      </w:pPr>
      <w:bookmarkStart w:id="9" w:name="_Toc474481030"/>
      <w:bookmarkStart w:id="10" w:name="_Toc474482076"/>
      <w:bookmarkStart w:id="11" w:name="_Toc474480946"/>
      <w:r w:rsidRPr="005F45A7">
        <w:rPr>
          <w:rFonts w:asciiTheme="majorHAnsi" w:hAnsiTheme="majorHAnsi"/>
        </w:rPr>
        <w:lastRenderedPageBreak/>
        <w:t>Background</w:t>
      </w:r>
      <w:bookmarkEnd w:id="9"/>
      <w:bookmarkEnd w:id="10"/>
    </w:p>
    <w:p w14:paraId="38C057F7" w14:textId="165AE348" w:rsidR="005B4C8E" w:rsidRDefault="005B4C8E" w:rsidP="00976EB1">
      <w:pPr>
        <w:tabs>
          <w:tab w:val="right" w:pos="993"/>
        </w:tabs>
        <w:spacing w:after="0"/>
        <w:rPr>
          <w:rFonts w:asciiTheme="majorHAnsi" w:hAnsiTheme="majorHAnsi"/>
        </w:rPr>
      </w:pPr>
      <w:r>
        <w:rPr>
          <w:rFonts w:asciiTheme="majorHAnsi" w:hAnsiTheme="majorHAnsi"/>
        </w:rPr>
        <w:t xml:space="preserve">Tajikistan </w:t>
      </w:r>
      <w:r w:rsidRPr="005B4C8E">
        <w:rPr>
          <w:rFonts w:asciiTheme="majorHAnsi" w:hAnsiTheme="majorHAnsi"/>
        </w:rPr>
        <w:t>committed to implement the EITI in August 2012</w:t>
      </w:r>
      <w:r>
        <w:rPr>
          <w:rFonts w:asciiTheme="majorHAnsi" w:hAnsiTheme="majorHAnsi"/>
        </w:rPr>
        <w:t xml:space="preserve">. </w:t>
      </w:r>
      <w:r w:rsidRPr="005B4C8E">
        <w:rPr>
          <w:rFonts w:asciiTheme="majorHAnsi" w:hAnsiTheme="majorHAnsi"/>
        </w:rPr>
        <w:t xml:space="preserve">An EITI Council was formed in 2012, and the country was accepted as an EITI </w:t>
      </w:r>
      <w:r>
        <w:rPr>
          <w:rFonts w:asciiTheme="majorHAnsi" w:hAnsiTheme="majorHAnsi"/>
        </w:rPr>
        <w:t>c</w:t>
      </w:r>
      <w:r w:rsidRPr="005B4C8E">
        <w:rPr>
          <w:rFonts w:asciiTheme="majorHAnsi" w:hAnsiTheme="majorHAnsi"/>
        </w:rPr>
        <w:t>andidate in February 2013. Tajikistan was suspended in April 2015 as it was unable to produce its first EITI Report in accordance with the reporting deadline of 26 February 2015. Subsequent to the publication of the 2014 EITI Report in November 2015, the country’s suspension was lifted.</w:t>
      </w:r>
    </w:p>
    <w:p w14:paraId="1928D9B3" w14:textId="77777777" w:rsidR="005B4C8E" w:rsidRDefault="005B4C8E" w:rsidP="00976EB1">
      <w:pPr>
        <w:tabs>
          <w:tab w:val="right" w:pos="993"/>
        </w:tabs>
        <w:spacing w:after="0"/>
        <w:rPr>
          <w:rFonts w:asciiTheme="majorHAnsi" w:hAnsiTheme="majorHAnsi"/>
        </w:rPr>
      </w:pPr>
    </w:p>
    <w:p w14:paraId="34117759" w14:textId="34F2DD47" w:rsidR="00976EB1" w:rsidRPr="005F45A7" w:rsidRDefault="00976EB1" w:rsidP="00976EB1">
      <w:pPr>
        <w:tabs>
          <w:tab w:val="right" w:pos="993"/>
        </w:tabs>
        <w:spacing w:after="0"/>
        <w:rPr>
          <w:rFonts w:asciiTheme="majorHAnsi" w:hAnsiTheme="majorHAnsi"/>
        </w:rPr>
      </w:pPr>
      <w:r w:rsidRPr="005F45A7">
        <w:rPr>
          <w:rFonts w:asciiTheme="majorHAnsi" w:hAnsiTheme="majorHAnsi"/>
        </w:rPr>
        <w:t xml:space="preserve">The Validation process commenced on 1 July 2016. In accordance with the Validation procedures, an </w:t>
      </w:r>
      <w:r w:rsidR="005B4C8E" w:rsidRPr="00640311">
        <w:t>initial assessment</w:t>
      </w:r>
      <w:r w:rsidRPr="005F45A7">
        <w:rPr>
          <w:rFonts w:asciiTheme="majorHAnsi" w:hAnsiTheme="majorHAnsi"/>
        </w:rPr>
        <w:t xml:space="preserve"> was prepared by the International Secretariat. The </w:t>
      </w:r>
      <w:r w:rsidR="005B4C8E" w:rsidRPr="005B4C8E">
        <w:rPr>
          <w:rFonts w:asciiTheme="majorHAnsi" w:hAnsiTheme="majorHAnsi"/>
        </w:rPr>
        <w:t xml:space="preserve">EITI Council </w:t>
      </w:r>
      <w:r w:rsidRPr="005F45A7">
        <w:rPr>
          <w:rFonts w:asciiTheme="majorHAnsi" w:hAnsiTheme="majorHAnsi"/>
        </w:rPr>
        <w:t xml:space="preserve">were invited to comment. </w:t>
      </w:r>
      <w:r w:rsidR="005B4C8E" w:rsidRPr="00640311">
        <w:t>Comments</w:t>
      </w:r>
      <w:r w:rsidRPr="005F45A7">
        <w:rPr>
          <w:rFonts w:asciiTheme="majorHAnsi" w:hAnsiTheme="majorHAnsi"/>
        </w:rPr>
        <w:t xml:space="preserve"> were received from the </w:t>
      </w:r>
      <w:r w:rsidR="005B4C8E" w:rsidRPr="005B4C8E">
        <w:rPr>
          <w:rFonts w:asciiTheme="majorHAnsi" w:hAnsiTheme="majorHAnsi"/>
        </w:rPr>
        <w:t xml:space="preserve">EITI Council </w:t>
      </w:r>
      <w:r w:rsidR="005B4C8E">
        <w:rPr>
          <w:rFonts w:asciiTheme="majorHAnsi" w:hAnsiTheme="majorHAnsi"/>
        </w:rPr>
        <w:t xml:space="preserve">and the Chair of the </w:t>
      </w:r>
      <w:r w:rsidR="005B4C8E" w:rsidRPr="005B4C8E">
        <w:rPr>
          <w:rFonts w:asciiTheme="majorHAnsi" w:hAnsiTheme="majorHAnsi"/>
        </w:rPr>
        <w:t>EITI Council</w:t>
      </w:r>
      <w:r w:rsidRPr="005F45A7">
        <w:rPr>
          <w:rFonts w:asciiTheme="majorHAnsi" w:hAnsiTheme="majorHAnsi"/>
        </w:rPr>
        <w:t xml:space="preserve">. The assessment was then reviewed by the Independent Validator, who prepared the </w:t>
      </w:r>
      <w:r w:rsidR="005B4C8E" w:rsidRPr="00640311">
        <w:t>Validation Report</w:t>
      </w:r>
      <w:r w:rsidRPr="005F45A7">
        <w:rPr>
          <w:rFonts w:asciiTheme="majorHAnsi" w:hAnsiTheme="majorHAnsi"/>
        </w:rPr>
        <w:t xml:space="preserve">. The MSG were invited to comment on the Report. </w:t>
      </w:r>
    </w:p>
    <w:p w14:paraId="1D1C4EDA" w14:textId="77777777" w:rsidR="00976EB1" w:rsidRPr="005F45A7" w:rsidRDefault="00976EB1" w:rsidP="00976EB1">
      <w:pPr>
        <w:tabs>
          <w:tab w:val="right" w:pos="993"/>
        </w:tabs>
        <w:spacing w:after="0"/>
        <w:rPr>
          <w:rFonts w:asciiTheme="majorHAnsi" w:hAnsiTheme="majorHAnsi"/>
        </w:rPr>
      </w:pPr>
    </w:p>
    <w:p w14:paraId="220B46D1" w14:textId="6B596C19" w:rsidR="00976EB1" w:rsidRPr="005F45A7" w:rsidRDefault="00976EB1" w:rsidP="00976EB1">
      <w:pPr>
        <w:tabs>
          <w:tab w:val="right" w:pos="993"/>
        </w:tabs>
        <w:spacing w:after="0"/>
        <w:rPr>
          <w:rFonts w:asciiTheme="majorHAnsi" w:hAnsiTheme="majorHAnsi"/>
        </w:rPr>
      </w:pPr>
      <w:r w:rsidRPr="005F45A7">
        <w:rPr>
          <w:rFonts w:asciiTheme="majorHAnsi" w:hAnsiTheme="majorHAnsi"/>
        </w:rPr>
        <w:t xml:space="preserve">The Validation Committee reviewed the case </w:t>
      </w:r>
      <w:r w:rsidR="005B4C8E">
        <w:rPr>
          <w:rFonts w:asciiTheme="majorHAnsi" w:hAnsiTheme="majorHAnsi"/>
        </w:rPr>
        <w:t xml:space="preserve">in December 2016. </w:t>
      </w:r>
      <w:r w:rsidR="005A2B8F">
        <w:rPr>
          <w:rFonts w:asciiTheme="majorHAnsi" w:hAnsiTheme="majorHAnsi"/>
        </w:rPr>
        <w:t>T</w:t>
      </w:r>
      <w:r w:rsidRPr="005F45A7">
        <w:rPr>
          <w:rFonts w:asciiTheme="majorHAnsi" w:hAnsiTheme="majorHAnsi"/>
        </w:rPr>
        <w:t>he Validation Committee agreed to recommend the assessment card and corrective actions outlined below. The Committee also agreed to recommend an overall assessment of “inadequate progress” in implementing the 2016 EITI Standard. Requirement 8.3.c. of the EITI Standard states that:</w:t>
      </w:r>
    </w:p>
    <w:p w14:paraId="25A88024" w14:textId="77777777" w:rsidR="00976EB1" w:rsidRPr="005F45A7" w:rsidRDefault="00976EB1" w:rsidP="00976EB1">
      <w:pPr>
        <w:tabs>
          <w:tab w:val="right" w:pos="993"/>
        </w:tabs>
        <w:spacing w:after="0"/>
        <w:rPr>
          <w:rFonts w:asciiTheme="majorHAnsi" w:hAnsiTheme="majorHAnsi"/>
        </w:rPr>
      </w:pPr>
    </w:p>
    <w:p w14:paraId="4C48B21B" w14:textId="77777777" w:rsidR="00976EB1" w:rsidRPr="005F45A7" w:rsidRDefault="00976EB1" w:rsidP="00976EB1">
      <w:pPr>
        <w:tabs>
          <w:tab w:val="right" w:pos="993"/>
        </w:tabs>
        <w:spacing w:after="0"/>
        <w:ind w:left="720"/>
        <w:rPr>
          <w:rFonts w:asciiTheme="majorHAnsi" w:hAnsiTheme="majorHAnsi"/>
          <w:sz w:val="20"/>
        </w:rPr>
      </w:pPr>
      <w:r w:rsidRPr="005F45A7">
        <w:rPr>
          <w:rFonts w:asciiTheme="majorHAnsi" w:hAnsiTheme="majorHAnsi"/>
          <w:sz w:val="20"/>
        </w:rPr>
        <w:t>ii.    Overall assessments. Pursuant to the Validation Process, the EITI Board will make an assessment of overall compliance with all requirements in the EITI Standard.</w:t>
      </w:r>
    </w:p>
    <w:p w14:paraId="1BE58529" w14:textId="77777777" w:rsidR="00976EB1" w:rsidRPr="005F45A7" w:rsidRDefault="00976EB1" w:rsidP="00976EB1">
      <w:pPr>
        <w:tabs>
          <w:tab w:val="right" w:pos="993"/>
        </w:tabs>
        <w:spacing w:after="0"/>
        <w:ind w:left="720"/>
        <w:rPr>
          <w:rFonts w:asciiTheme="majorHAnsi" w:hAnsiTheme="majorHAnsi"/>
          <w:sz w:val="20"/>
        </w:rPr>
      </w:pPr>
      <w:r w:rsidRPr="005F45A7">
        <w:rPr>
          <w:rFonts w:asciiTheme="majorHAnsi" w:hAnsiTheme="majorHAnsi"/>
          <w:sz w:val="20"/>
        </w:rPr>
        <w:t>…</w:t>
      </w:r>
    </w:p>
    <w:p w14:paraId="4F323715" w14:textId="77777777" w:rsidR="00976EB1" w:rsidRPr="005F45A7" w:rsidRDefault="00976EB1" w:rsidP="00976EB1">
      <w:pPr>
        <w:tabs>
          <w:tab w:val="right" w:pos="993"/>
        </w:tabs>
        <w:spacing w:after="0"/>
        <w:ind w:left="720"/>
        <w:rPr>
          <w:rFonts w:asciiTheme="majorHAnsi" w:hAnsiTheme="majorHAnsi"/>
          <w:sz w:val="20"/>
        </w:rPr>
      </w:pPr>
      <w:r w:rsidRPr="005F45A7">
        <w:rPr>
          <w:rFonts w:asciiTheme="majorHAnsi" w:hAnsiTheme="majorHAnsi"/>
          <w:sz w:val="20"/>
        </w:rPr>
        <w:t xml:space="preserve">iii (c) </w:t>
      </w:r>
      <w:r w:rsidRPr="005F45A7">
        <w:rPr>
          <w:rFonts w:asciiTheme="majorHAnsi" w:hAnsiTheme="majorHAnsi"/>
          <w:b/>
          <w:sz w:val="20"/>
        </w:rPr>
        <w:t>Inadequate progress</w:t>
      </w:r>
      <w:r w:rsidRPr="005F45A7">
        <w:rPr>
          <w:rFonts w:asciiTheme="majorHAnsi" w:hAnsiTheme="majorHAnsi"/>
          <w:sz w:val="20"/>
        </w:rPr>
        <w:t>. The country will be suspended and requested to undertake corrective actions until the second Validation. For the suspension to be lifted, the country must in its second Validation demonstrate at least meaningful progress.</w:t>
      </w:r>
    </w:p>
    <w:p w14:paraId="5477FB84" w14:textId="77777777" w:rsidR="00976EB1" w:rsidRPr="005F45A7" w:rsidRDefault="00976EB1" w:rsidP="00976EB1">
      <w:pPr>
        <w:tabs>
          <w:tab w:val="right" w:pos="993"/>
        </w:tabs>
        <w:spacing w:after="0"/>
        <w:rPr>
          <w:rFonts w:asciiTheme="majorHAnsi" w:hAnsiTheme="majorHAnsi"/>
        </w:rPr>
      </w:pPr>
    </w:p>
    <w:p w14:paraId="19F8DD75" w14:textId="5F441B76" w:rsidR="00976EB1" w:rsidRDefault="00976EB1" w:rsidP="00976EB1">
      <w:pPr>
        <w:tabs>
          <w:tab w:val="right" w:pos="993"/>
        </w:tabs>
        <w:spacing w:after="0"/>
        <w:rPr>
          <w:rFonts w:asciiTheme="majorHAnsi" w:hAnsiTheme="majorHAnsi"/>
        </w:rPr>
      </w:pPr>
      <w:r w:rsidRPr="005F45A7">
        <w:rPr>
          <w:rFonts w:asciiTheme="majorHAnsi" w:hAnsiTheme="majorHAnsi"/>
        </w:rPr>
        <w:t xml:space="preserve">The Validation Committee agreed to recommend a period of </w:t>
      </w:r>
      <w:r w:rsidR="005A2B8F">
        <w:rPr>
          <w:rFonts w:asciiTheme="majorHAnsi" w:hAnsiTheme="majorHAnsi"/>
        </w:rPr>
        <w:t>18</w:t>
      </w:r>
      <w:r w:rsidRPr="005F45A7">
        <w:rPr>
          <w:rFonts w:asciiTheme="majorHAnsi" w:hAnsiTheme="majorHAnsi"/>
        </w:rPr>
        <w:t xml:space="preserve"> months to undertake the corrective actions. </w:t>
      </w:r>
    </w:p>
    <w:p w14:paraId="52DE7454" w14:textId="1897E0B1" w:rsidR="006859F0" w:rsidRDefault="006859F0" w:rsidP="00976EB1">
      <w:pPr>
        <w:tabs>
          <w:tab w:val="right" w:pos="993"/>
        </w:tabs>
        <w:spacing w:after="0"/>
        <w:rPr>
          <w:rFonts w:asciiTheme="majorHAnsi" w:hAnsiTheme="majorHAnsi"/>
        </w:rPr>
      </w:pPr>
    </w:p>
    <w:p w14:paraId="1593B4AE" w14:textId="78CD05E2" w:rsidR="006859F0" w:rsidRPr="005F45A7" w:rsidRDefault="006859F0" w:rsidP="00976EB1">
      <w:pPr>
        <w:tabs>
          <w:tab w:val="right" w:pos="993"/>
        </w:tabs>
        <w:spacing w:after="0"/>
        <w:rPr>
          <w:rFonts w:asciiTheme="majorHAnsi" w:hAnsiTheme="majorHAnsi"/>
        </w:rPr>
      </w:pPr>
      <w:r>
        <w:rPr>
          <w:rFonts w:asciiTheme="majorHAnsi" w:hAnsiTheme="majorHAnsi"/>
        </w:rPr>
        <w:t>The recommendation was included in Board Circular 224 on 23 December 2016. As noted in Board Circular 225, s</w:t>
      </w:r>
      <w:r w:rsidRPr="006859F0">
        <w:rPr>
          <w:rFonts w:asciiTheme="majorHAnsi" w:hAnsiTheme="majorHAnsi"/>
        </w:rPr>
        <w:t xml:space="preserve">ome Board members objected to taking a decision via circular, arguing that the recommendation to suspend Tajikistan should be discussed more fully at the </w:t>
      </w:r>
      <w:r>
        <w:rPr>
          <w:rFonts w:asciiTheme="majorHAnsi" w:hAnsiTheme="majorHAnsi"/>
        </w:rPr>
        <w:t xml:space="preserve">Bogota </w:t>
      </w:r>
      <w:r w:rsidRPr="006859F0">
        <w:rPr>
          <w:rFonts w:asciiTheme="majorHAnsi" w:hAnsiTheme="majorHAnsi"/>
        </w:rPr>
        <w:t>Board meeting</w:t>
      </w:r>
    </w:p>
    <w:p w14:paraId="3014E611" w14:textId="35645298" w:rsidR="00976EB1" w:rsidRPr="005F45A7" w:rsidRDefault="00976EB1" w:rsidP="00976EB1">
      <w:pPr>
        <w:pStyle w:val="Heading2"/>
        <w:rPr>
          <w:rFonts w:asciiTheme="majorHAnsi" w:hAnsiTheme="majorHAnsi"/>
        </w:rPr>
      </w:pPr>
      <w:bookmarkStart w:id="12" w:name="_Toc474481031"/>
      <w:bookmarkStart w:id="13" w:name="_Toc474482077"/>
      <w:r>
        <w:rPr>
          <w:rFonts w:asciiTheme="majorHAnsi" w:hAnsiTheme="majorHAnsi"/>
        </w:rPr>
        <w:t>Assessment card</w:t>
      </w:r>
      <w:bookmarkEnd w:id="12"/>
      <w:bookmarkEnd w:id="13"/>
    </w:p>
    <w:bookmarkEnd w:id="11"/>
    <w:p w14:paraId="5AE26CA0" w14:textId="77777777" w:rsidR="00067D9C" w:rsidRPr="00303906" w:rsidRDefault="00067D9C" w:rsidP="00067D9C">
      <w:pPr>
        <w:pStyle w:val="ListParagraph"/>
        <w:spacing w:after="0"/>
        <w:ind w:left="0"/>
        <w:rPr>
          <w:rFonts w:eastAsia="Calibri"/>
          <w:sz w:val="20"/>
          <w:szCs w:val="20"/>
        </w:rPr>
      </w:pPr>
      <w:r w:rsidRPr="00303906">
        <w:rPr>
          <w:rFonts w:eastAsia="Calibri"/>
          <w:sz w:val="20"/>
          <w:szCs w:val="20"/>
        </w:rPr>
        <w:t>The Validation Committee reco</w:t>
      </w:r>
      <w:r w:rsidR="0066609D" w:rsidRPr="00303906">
        <w:rPr>
          <w:rFonts w:eastAsia="Calibri"/>
          <w:sz w:val="20"/>
          <w:szCs w:val="20"/>
        </w:rPr>
        <w:t>mmends the following assessment</w:t>
      </w:r>
      <w:r w:rsidRPr="00303906">
        <w:rPr>
          <w:rFonts w:eastAsia="Calibri"/>
          <w:sz w:val="20"/>
          <w:szCs w:val="20"/>
        </w:rPr>
        <w:t>:</w:t>
      </w:r>
    </w:p>
    <w:p w14:paraId="3B6E1416" w14:textId="77777777" w:rsidR="007A7FCC" w:rsidRPr="00303906" w:rsidRDefault="007A7FCC" w:rsidP="00067D9C">
      <w:pPr>
        <w:pStyle w:val="ListParagraph"/>
        <w:spacing w:after="0"/>
        <w:ind w:left="0"/>
        <w:rPr>
          <w:rFonts w:eastAsia="Calibri"/>
          <w:sz w:val="20"/>
          <w:szCs w:val="20"/>
        </w:rPr>
      </w:pPr>
    </w:p>
    <w:tbl>
      <w:tblPr>
        <w:tblW w:w="8406" w:type="dxa"/>
        <w:tblInd w:w="-10" w:type="dxa"/>
        <w:tblLayout w:type="fixed"/>
        <w:tblLook w:val="04A0" w:firstRow="1" w:lastRow="0" w:firstColumn="1" w:lastColumn="0" w:noHBand="0" w:noVBand="1"/>
      </w:tblPr>
      <w:tblGrid>
        <w:gridCol w:w="70"/>
        <w:gridCol w:w="940"/>
        <w:gridCol w:w="1067"/>
        <w:gridCol w:w="563"/>
        <w:gridCol w:w="921"/>
        <w:gridCol w:w="265"/>
        <w:gridCol w:w="2140"/>
        <w:gridCol w:w="484"/>
        <w:gridCol w:w="484"/>
        <w:gridCol w:w="484"/>
        <w:gridCol w:w="504"/>
        <w:gridCol w:w="228"/>
        <w:gridCol w:w="256"/>
      </w:tblGrid>
      <w:tr w:rsidR="00D817FF" w:rsidRPr="00575789" w14:paraId="6DC6BE93" w14:textId="77777777" w:rsidTr="00B331A9">
        <w:trPr>
          <w:trHeight w:val="142"/>
        </w:trPr>
        <w:tc>
          <w:tcPr>
            <w:tcW w:w="5966" w:type="dxa"/>
            <w:gridSpan w:val="7"/>
            <w:tcBorders>
              <w:top w:val="single" w:sz="8" w:space="0" w:color="auto"/>
              <w:left w:val="single" w:sz="8" w:space="0" w:color="auto"/>
              <w:bottom w:val="single" w:sz="4" w:space="0" w:color="auto"/>
              <w:right w:val="single" w:sz="4" w:space="0" w:color="auto"/>
            </w:tcBorders>
            <w:shd w:val="clear" w:color="auto" w:fill="366092"/>
            <w:noWrap/>
            <w:vAlign w:val="bottom"/>
            <w:hideMark/>
          </w:tcPr>
          <w:p w14:paraId="0905614B" w14:textId="77777777" w:rsidR="00D817FF" w:rsidRPr="00303906" w:rsidRDefault="00D817FF" w:rsidP="008D66B7">
            <w:pPr>
              <w:spacing w:after="0" w:line="240" w:lineRule="auto"/>
              <w:rPr>
                <w:b/>
                <w:bCs/>
                <w:color w:val="FFFFFF"/>
              </w:rPr>
            </w:pPr>
            <w:r w:rsidRPr="00303906">
              <w:rPr>
                <w:b/>
                <w:bCs/>
                <w:color w:val="FFFFFF"/>
              </w:rPr>
              <w:t>EITI Requirements</w:t>
            </w:r>
          </w:p>
        </w:tc>
        <w:tc>
          <w:tcPr>
            <w:tcW w:w="2440" w:type="dxa"/>
            <w:gridSpan w:val="6"/>
            <w:tcBorders>
              <w:top w:val="single" w:sz="8" w:space="0" w:color="auto"/>
              <w:left w:val="single" w:sz="4" w:space="0" w:color="auto"/>
              <w:bottom w:val="single" w:sz="4" w:space="0" w:color="auto"/>
              <w:right w:val="single" w:sz="8" w:space="0" w:color="000000"/>
            </w:tcBorders>
            <w:shd w:val="clear" w:color="auto" w:fill="366092"/>
            <w:vAlign w:val="center"/>
            <w:hideMark/>
          </w:tcPr>
          <w:p w14:paraId="2E7230CC" w14:textId="77777777" w:rsidR="00D817FF" w:rsidRPr="00303906" w:rsidRDefault="00D817FF" w:rsidP="008D66B7">
            <w:pPr>
              <w:spacing w:after="0" w:line="240" w:lineRule="auto"/>
              <w:jc w:val="center"/>
              <w:rPr>
                <w:b/>
                <w:bCs/>
                <w:color w:val="FFFFFF"/>
              </w:rPr>
            </w:pPr>
            <w:r w:rsidRPr="00303906">
              <w:rPr>
                <w:b/>
                <w:bCs/>
                <w:color w:val="FFFFFF"/>
              </w:rPr>
              <w:t>LEVEL OF PROGRESS</w:t>
            </w:r>
          </w:p>
        </w:tc>
      </w:tr>
      <w:tr w:rsidR="00B331A9" w:rsidRPr="00575789" w14:paraId="677F4851" w14:textId="77777777" w:rsidTr="00B331A9">
        <w:trPr>
          <w:trHeight w:val="1147"/>
        </w:trPr>
        <w:tc>
          <w:tcPr>
            <w:tcW w:w="2640" w:type="dxa"/>
            <w:gridSpan w:val="4"/>
            <w:tcBorders>
              <w:top w:val="single" w:sz="4" w:space="0" w:color="auto"/>
              <w:left w:val="single" w:sz="8" w:space="0" w:color="auto"/>
              <w:bottom w:val="nil"/>
              <w:right w:val="nil"/>
            </w:tcBorders>
            <w:shd w:val="clear" w:color="auto" w:fill="F2F2F2"/>
            <w:noWrap/>
            <w:vAlign w:val="bottom"/>
            <w:hideMark/>
          </w:tcPr>
          <w:p w14:paraId="7C89FDA4" w14:textId="77777777" w:rsidR="00D817FF" w:rsidRPr="00303906" w:rsidRDefault="00D817FF" w:rsidP="008D66B7">
            <w:pPr>
              <w:spacing w:after="0" w:line="240" w:lineRule="auto"/>
              <w:rPr>
                <w:color w:val="000000"/>
              </w:rPr>
            </w:pPr>
            <w:r w:rsidRPr="00303906">
              <w:rPr>
                <w:color w:val="000000"/>
              </w:rPr>
              <w:t> </w:t>
            </w:r>
          </w:p>
        </w:tc>
        <w:tc>
          <w:tcPr>
            <w:tcW w:w="921" w:type="dxa"/>
            <w:tcBorders>
              <w:top w:val="single" w:sz="4" w:space="0" w:color="auto"/>
              <w:left w:val="nil"/>
              <w:bottom w:val="nil"/>
              <w:right w:val="nil"/>
            </w:tcBorders>
            <w:shd w:val="clear" w:color="auto" w:fill="F2F2F2"/>
            <w:noWrap/>
            <w:vAlign w:val="bottom"/>
            <w:hideMark/>
          </w:tcPr>
          <w:p w14:paraId="54D480AD" w14:textId="77777777" w:rsidR="00D817FF" w:rsidRPr="00303906" w:rsidRDefault="00D817FF" w:rsidP="008D66B7">
            <w:pPr>
              <w:spacing w:after="0" w:line="240" w:lineRule="auto"/>
              <w:rPr>
                <w:color w:val="000000"/>
              </w:rPr>
            </w:pPr>
            <w:r w:rsidRPr="00303906">
              <w:rPr>
                <w:color w:val="000000"/>
              </w:rPr>
              <w:t> </w:t>
            </w:r>
          </w:p>
        </w:tc>
        <w:tc>
          <w:tcPr>
            <w:tcW w:w="265" w:type="dxa"/>
            <w:tcBorders>
              <w:top w:val="single" w:sz="4" w:space="0" w:color="auto"/>
              <w:left w:val="nil"/>
              <w:bottom w:val="nil"/>
              <w:right w:val="nil"/>
            </w:tcBorders>
            <w:shd w:val="clear" w:color="auto" w:fill="F2F2F2"/>
            <w:noWrap/>
            <w:vAlign w:val="bottom"/>
            <w:hideMark/>
          </w:tcPr>
          <w:p w14:paraId="77594FAD" w14:textId="77777777" w:rsidR="00D817FF" w:rsidRPr="00303906" w:rsidRDefault="00D817FF" w:rsidP="008D66B7">
            <w:pPr>
              <w:spacing w:after="0" w:line="240" w:lineRule="auto"/>
              <w:rPr>
                <w:color w:val="000000"/>
              </w:rPr>
            </w:pPr>
            <w:r w:rsidRPr="00303906">
              <w:rPr>
                <w:color w:val="000000"/>
              </w:rPr>
              <w:t> </w:t>
            </w:r>
          </w:p>
        </w:tc>
        <w:tc>
          <w:tcPr>
            <w:tcW w:w="2140" w:type="dxa"/>
            <w:tcBorders>
              <w:top w:val="single" w:sz="4" w:space="0" w:color="auto"/>
              <w:left w:val="nil"/>
              <w:bottom w:val="nil"/>
              <w:right w:val="single" w:sz="8" w:space="0" w:color="auto"/>
            </w:tcBorders>
            <w:shd w:val="clear" w:color="auto" w:fill="F2F2F2"/>
            <w:noWrap/>
            <w:vAlign w:val="center"/>
            <w:hideMark/>
          </w:tcPr>
          <w:p w14:paraId="38529017" w14:textId="77777777" w:rsidR="00D817FF" w:rsidRPr="00303906" w:rsidRDefault="00D817FF" w:rsidP="008D66B7">
            <w:pPr>
              <w:spacing w:after="0" w:line="240" w:lineRule="auto"/>
              <w:rPr>
                <w:b/>
                <w:bCs/>
                <w:color w:val="FFFFFF"/>
              </w:rPr>
            </w:pPr>
            <w:r w:rsidRPr="00303906">
              <w:rPr>
                <w:b/>
                <w:bCs/>
                <w:color w:val="FFFFFF"/>
              </w:rPr>
              <w:t> </w:t>
            </w:r>
          </w:p>
        </w:tc>
        <w:tc>
          <w:tcPr>
            <w:tcW w:w="484" w:type="dxa"/>
            <w:tcBorders>
              <w:top w:val="single" w:sz="4" w:space="0" w:color="auto"/>
              <w:left w:val="single" w:sz="8" w:space="0" w:color="auto"/>
              <w:bottom w:val="nil"/>
              <w:right w:val="single" w:sz="4" w:space="0" w:color="auto"/>
            </w:tcBorders>
            <w:shd w:val="clear" w:color="auto" w:fill="F2F2F2"/>
            <w:noWrap/>
            <w:textDirection w:val="btLr"/>
            <w:vAlign w:val="bottom"/>
            <w:hideMark/>
          </w:tcPr>
          <w:p w14:paraId="526EA017" w14:textId="77777777" w:rsidR="00D817FF" w:rsidRPr="00303906" w:rsidRDefault="00D817FF" w:rsidP="008D66B7">
            <w:pPr>
              <w:spacing w:after="0" w:line="240" w:lineRule="auto"/>
              <w:rPr>
                <w:b/>
                <w:bCs/>
                <w:color w:val="000000"/>
              </w:rPr>
            </w:pPr>
            <w:r w:rsidRPr="00303906">
              <w:rPr>
                <w:b/>
                <w:bCs/>
                <w:color w:val="000000"/>
              </w:rPr>
              <w:t>No Progress</w:t>
            </w:r>
          </w:p>
        </w:tc>
        <w:tc>
          <w:tcPr>
            <w:tcW w:w="484" w:type="dxa"/>
            <w:tcBorders>
              <w:top w:val="single" w:sz="4" w:space="0" w:color="auto"/>
              <w:left w:val="nil"/>
              <w:bottom w:val="nil"/>
              <w:right w:val="single" w:sz="4" w:space="0" w:color="auto"/>
            </w:tcBorders>
            <w:shd w:val="clear" w:color="auto" w:fill="F2F2F2"/>
            <w:noWrap/>
            <w:textDirection w:val="btLr"/>
            <w:vAlign w:val="bottom"/>
            <w:hideMark/>
          </w:tcPr>
          <w:p w14:paraId="7900751C" w14:textId="77777777" w:rsidR="00D817FF" w:rsidRPr="00303906" w:rsidRDefault="00D817FF" w:rsidP="008D66B7">
            <w:pPr>
              <w:spacing w:after="0" w:line="240" w:lineRule="auto"/>
              <w:rPr>
                <w:b/>
                <w:bCs/>
                <w:color w:val="000000"/>
              </w:rPr>
            </w:pPr>
            <w:r w:rsidRPr="00303906">
              <w:rPr>
                <w:b/>
                <w:bCs/>
                <w:color w:val="000000"/>
              </w:rPr>
              <w:t>Inadequate</w:t>
            </w:r>
          </w:p>
        </w:tc>
        <w:tc>
          <w:tcPr>
            <w:tcW w:w="484" w:type="dxa"/>
            <w:tcBorders>
              <w:top w:val="single" w:sz="4" w:space="0" w:color="auto"/>
              <w:left w:val="nil"/>
              <w:bottom w:val="nil"/>
              <w:right w:val="nil"/>
            </w:tcBorders>
            <w:shd w:val="clear" w:color="auto" w:fill="FFC000"/>
            <w:noWrap/>
            <w:textDirection w:val="btLr"/>
            <w:vAlign w:val="bottom"/>
            <w:hideMark/>
          </w:tcPr>
          <w:p w14:paraId="21999C73" w14:textId="77777777" w:rsidR="00D817FF" w:rsidRPr="00303906" w:rsidRDefault="00D817FF" w:rsidP="008D66B7">
            <w:pPr>
              <w:spacing w:after="0" w:line="240" w:lineRule="auto"/>
              <w:rPr>
                <w:b/>
                <w:bCs/>
                <w:color w:val="000000"/>
              </w:rPr>
            </w:pPr>
            <w:r w:rsidRPr="00303906">
              <w:rPr>
                <w:b/>
                <w:bCs/>
                <w:color w:val="000000"/>
              </w:rPr>
              <w:t>Meaningful</w:t>
            </w:r>
          </w:p>
        </w:tc>
        <w:tc>
          <w:tcPr>
            <w:tcW w:w="504" w:type="dxa"/>
            <w:tcBorders>
              <w:top w:val="single" w:sz="4" w:space="0" w:color="auto"/>
              <w:left w:val="single" w:sz="4" w:space="0" w:color="auto"/>
              <w:bottom w:val="nil"/>
              <w:right w:val="nil"/>
            </w:tcBorders>
            <w:shd w:val="clear" w:color="auto" w:fill="F2F2F2"/>
            <w:noWrap/>
            <w:textDirection w:val="btLr"/>
            <w:vAlign w:val="bottom"/>
            <w:hideMark/>
          </w:tcPr>
          <w:p w14:paraId="1D13A333" w14:textId="77777777" w:rsidR="00D817FF" w:rsidRPr="00303906" w:rsidRDefault="00D817FF" w:rsidP="008D66B7">
            <w:pPr>
              <w:spacing w:after="0" w:line="240" w:lineRule="auto"/>
              <w:rPr>
                <w:b/>
                <w:bCs/>
                <w:color w:val="000000"/>
              </w:rPr>
            </w:pPr>
            <w:r w:rsidRPr="00303906">
              <w:rPr>
                <w:b/>
                <w:bCs/>
                <w:color w:val="000000"/>
              </w:rPr>
              <w:t>Satisfactory</w:t>
            </w:r>
          </w:p>
        </w:tc>
        <w:tc>
          <w:tcPr>
            <w:tcW w:w="484" w:type="dxa"/>
            <w:gridSpan w:val="2"/>
            <w:tcBorders>
              <w:top w:val="single" w:sz="4" w:space="0" w:color="auto"/>
              <w:left w:val="single" w:sz="4" w:space="0" w:color="auto"/>
              <w:bottom w:val="nil"/>
              <w:right w:val="single" w:sz="8" w:space="0" w:color="auto"/>
            </w:tcBorders>
            <w:shd w:val="clear" w:color="auto" w:fill="F2F2F2"/>
            <w:noWrap/>
            <w:textDirection w:val="btLr"/>
            <w:vAlign w:val="bottom"/>
            <w:hideMark/>
          </w:tcPr>
          <w:p w14:paraId="15689094" w14:textId="77777777" w:rsidR="00D817FF" w:rsidRPr="00303906" w:rsidRDefault="00D817FF" w:rsidP="008D66B7">
            <w:pPr>
              <w:spacing w:after="0" w:line="240" w:lineRule="auto"/>
              <w:rPr>
                <w:b/>
                <w:bCs/>
                <w:color w:val="000000"/>
              </w:rPr>
            </w:pPr>
            <w:r w:rsidRPr="00303906">
              <w:rPr>
                <w:b/>
                <w:bCs/>
                <w:color w:val="000000"/>
              </w:rPr>
              <w:t>Beyond</w:t>
            </w:r>
          </w:p>
        </w:tc>
      </w:tr>
      <w:tr w:rsidR="00D817FF" w:rsidRPr="00575789" w14:paraId="46E78626" w14:textId="77777777" w:rsidTr="00303906">
        <w:trPr>
          <w:trHeight w:val="337"/>
        </w:trPr>
        <w:tc>
          <w:tcPr>
            <w:tcW w:w="2077" w:type="dxa"/>
            <w:gridSpan w:val="3"/>
            <w:tcBorders>
              <w:top w:val="single" w:sz="8" w:space="0" w:color="auto"/>
              <w:left w:val="single" w:sz="8" w:space="0" w:color="auto"/>
              <w:bottom w:val="single" w:sz="8" w:space="0" w:color="auto"/>
              <w:right w:val="single" w:sz="8" w:space="0" w:color="000000"/>
            </w:tcBorders>
            <w:shd w:val="clear" w:color="auto" w:fill="F2F2F2"/>
            <w:noWrap/>
            <w:vAlign w:val="bottom"/>
            <w:hideMark/>
          </w:tcPr>
          <w:p w14:paraId="1906415E" w14:textId="77777777" w:rsidR="00D817FF" w:rsidRPr="00303906" w:rsidRDefault="00D817FF" w:rsidP="008D66B7">
            <w:pPr>
              <w:spacing w:after="0" w:line="240" w:lineRule="auto"/>
              <w:rPr>
                <w:b/>
                <w:bCs/>
                <w:color w:val="000000"/>
              </w:rPr>
            </w:pPr>
            <w:r w:rsidRPr="00303906">
              <w:rPr>
                <w:b/>
                <w:bCs/>
                <w:color w:val="000000"/>
              </w:rPr>
              <w:t>Categories</w:t>
            </w:r>
          </w:p>
        </w:tc>
        <w:tc>
          <w:tcPr>
            <w:tcW w:w="3889" w:type="dxa"/>
            <w:gridSpan w:val="4"/>
            <w:tcBorders>
              <w:top w:val="single" w:sz="8" w:space="0" w:color="auto"/>
              <w:left w:val="single" w:sz="8" w:space="0" w:color="auto"/>
              <w:bottom w:val="single" w:sz="8" w:space="0" w:color="auto"/>
              <w:right w:val="single" w:sz="8" w:space="0" w:color="auto"/>
            </w:tcBorders>
            <w:shd w:val="clear" w:color="auto" w:fill="F2F2F2"/>
            <w:noWrap/>
            <w:vAlign w:val="center"/>
            <w:hideMark/>
          </w:tcPr>
          <w:p w14:paraId="200662E1" w14:textId="77777777" w:rsidR="00D817FF" w:rsidRPr="00303906" w:rsidRDefault="00D817FF" w:rsidP="008D66B7">
            <w:pPr>
              <w:spacing w:after="0" w:line="240" w:lineRule="auto"/>
              <w:rPr>
                <w:b/>
                <w:bCs/>
                <w:color w:val="000000"/>
              </w:rPr>
            </w:pPr>
            <w:r w:rsidRPr="00303906">
              <w:rPr>
                <w:b/>
                <w:bCs/>
                <w:color w:val="000000"/>
              </w:rPr>
              <w:t>Requirements</w:t>
            </w:r>
          </w:p>
        </w:tc>
        <w:tc>
          <w:tcPr>
            <w:tcW w:w="484" w:type="dxa"/>
            <w:tcBorders>
              <w:top w:val="single" w:sz="8" w:space="0" w:color="auto"/>
              <w:left w:val="nil"/>
              <w:bottom w:val="single" w:sz="8" w:space="0" w:color="auto"/>
              <w:right w:val="single" w:sz="8" w:space="0" w:color="auto"/>
            </w:tcBorders>
            <w:shd w:val="clear" w:color="auto" w:fill="000000"/>
            <w:noWrap/>
            <w:textDirection w:val="btLr"/>
            <w:vAlign w:val="bottom"/>
            <w:hideMark/>
          </w:tcPr>
          <w:p w14:paraId="300C2044" w14:textId="77777777" w:rsidR="00D817FF" w:rsidRPr="00303906" w:rsidRDefault="00D817FF" w:rsidP="008D66B7">
            <w:pPr>
              <w:spacing w:after="0" w:line="240" w:lineRule="auto"/>
              <w:rPr>
                <w:b/>
                <w:bCs/>
                <w:color w:val="000000"/>
              </w:rPr>
            </w:pPr>
            <w:r w:rsidRPr="00303906">
              <w:rPr>
                <w:b/>
                <w:bCs/>
                <w:color w:val="000000"/>
              </w:rPr>
              <w:t> </w:t>
            </w:r>
          </w:p>
        </w:tc>
        <w:tc>
          <w:tcPr>
            <w:tcW w:w="484" w:type="dxa"/>
            <w:tcBorders>
              <w:top w:val="single" w:sz="8" w:space="0" w:color="auto"/>
              <w:left w:val="nil"/>
              <w:bottom w:val="single" w:sz="8" w:space="0" w:color="auto"/>
              <w:right w:val="single" w:sz="8" w:space="0" w:color="auto"/>
            </w:tcBorders>
            <w:shd w:val="clear" w:color="auto" w:fill="FF0000"/>
            <w:noWrap/>
            <w:textDirection w:val="btLr"/>
            <w:vAlign w:val="bottom"/>
            <w:hideMark/>
          </w:tcPr>
          <w:p w14:paraId="5C3E91F7" w14:textId="77777777" w:rsidR="00D817FF" w:rsidRPr="00303906" w:rsidRDefault="00D817FF" w:rsidP="008D66B7">
            <w:pPr>
              <w:spacing w:after="0" w:line="240" w:lineRule="auto"/>
              <w:rPr>
                <w:b/>
                <w:bCs/>
                <w:color w:val="000000"/>
              </w:rPr>
            </w:pPr>
            <w:r w:rsidRPr="00303906">
              <w:rPr>
                <w:b/>
                <w:bCs/>
                <w:color w:val="000000"/>
              </w:rPr>
              <w:t> </w:t>
            </w:r>
          </w:p>
        </w:tc>
        <w:tc>
          <w:tcPr>
            <w:tcW w:w="484" w:type="dxa"/>
            <w:tcBorders>
              <w:top w:val="single" w:sz="8" w:space="0" w:color="auto"/>
              <w:left w:val="nil"/>
              <w:bottom w:val="single" w:sz="8" w:space="0" w:color="auto"/>
              <w:right w:val="single" w:sz="8" w:space="0" w:color="auto"/>
            </w:tcBorders>
            <w:shd w:val="clear" w:color="auto" w:fill="FFC000"/>
            <w:noWrap/>
            <w:textDirection w:val="btLr"/>
            <w:vAlign w:val="bottom"/>
            <w:hideMark/>
          </w:tcPr>
          <w:p w14:paraId="67729296" w14:textId="77777777" w:rsidR="00D817FF" w:rsidRPr="00303906" w:rsidRDefault="00D817FF" w:rsidP="008D66B7">
            <w:pPr>
              <w:spacing w:after="0" w:line="240" w:lineRule="auto"/>
              <w:rPr>
                <w:b/>
                <w:bCs/>
                <w:color w:val="000000"/>
              </w:rPr>
            </w:pPr>
            <w:r w:rsidRPr="00303906">
              <w:rPr>
                <w:b/>
                <w:bCs/>
                <w:color w:val="000000"/>
              </w:rPr>
              <w:t> </w:t>
            </w:r>
          </w:p>
        </w:tc>
        <w:tc>
          <w:tcPr>
            <w:tcW w:w="504" w:type="dxa"/>
            <w:tcBorders>
              <w:top w:val="single" w:sz="8" w:space="0" w:color="auto"/>
              <w:left w:val="nil"/>
              <w:bottom w:val="single" w:sz="8" w:space="0" w:color="auto"/>
              <w:right w:val="single" w:sz="8" w:space="0" w:color="auto"/>
            </w:tcBorders>
            <w:shd w:val="clear" w:color="auto" w:fill="92D050"/>
            <w:noWrap/>
            <w:textDirection w:val="btLr"/>
            <w:vAlign w:val="bottom"/>
            <w:hideMark/>
          </w:tcPr>
          <w:p w14:paraId="316E66E0" w14:textId="77777777" w:rsidR="00D817FF" w:rsidRPr="00303906" w:rsidRDefault="00D817FF" w:rsidP="008D66B7">
            <w:pPr>
              <w:spacing w:after="0" w:line="240" w:lineRule="auto"/>
              <w:rPr>
                <w:b/>
                <w:bCs/>
                <w:color w:val="000000"/>
              </w:rPr>
            </w:pPr>
            <w:r w:rsidRPr="00303906">
              <w:rPr>
                <w:b/>
                <w:bCs/>
                <w:color w:val="000000"/>
              </w:rPr>
              <w:t> </w:t>
            </w:r>
          </w:p>
        </w:tc>
        <w:tc>
          <w:tcPr>
            <w:tcW w:w="484" w:type="dxa"/>
            <w:gridSpan w:val="2"/>
            <w:tcBorders>
              <w:top w:val="single" w:sz="8" w:space="0" w:color="auto"/>
              <w:left w:val="nil"/>
              <w:bottom w:val="single" w:sz="8" w:space="0" w:color="auto"/>
              <w:right w:val="single" w:sz="8" w:space="0" w:color="auto"/>
            </w:tcBorders>
            <w:shd w:val="clear" w:color="auto" w:fill="0070C0"/>
            <w:noWrap/>
            <w:textDirection w:val="btLr"/>
            <w:vAlign w:val="bottom"/>
            <w:hideMark/>
          </w:tcPr>
          <w:p w14:paraId="736D65CE" w14:textId="77777777" w:rsidR="00D817FF" w:rsidRPr="00303906" w:rsidRDefault="00D817FF" w:rsidP="008D66B7">
            <w:pPr>
              <w:spacing w:after="0" w:line="240" w:lineRule="auto"/>
              <w:rPr>
                <w:b/>
                <w:bCs/>
                <w:color w:val="000000"/>
              </w:rPr>
            </w:pPr>
            <w:r w:rsidRPr="00303906">
              <w:rPr>
                <w:b/>
                <w:bCs/>
                <w:color w:val="000000"/>
              </w:rPr>
              <w:t> </w:t>
            </w:r>
          </w:p>
        </w:tc>
      </w:tr>
      <w:tr w:rsidR="00D817FF" w:rsidRPr="00575789" w14:paraId="6BD7FA52" w14:textId="77777777" w:rsidTr="00303906">
        <w:trPr>
          <w:trHeight w:val="53"/>
        </w:trPr>
        <w:tc>
          <w:tcPr>
            <w:tcW w:w="2077" w:type="dxa"/>
            <w:gridSpan w:val="3"/>
            <w:vMerge w:val="restart"/>
            <w:tcBorders>
              <w:top w:val="single" w:sz="8" w:space="0" w:color="auto"/>
              <w:left w:val="single" w:sz="8" w:space="0" w:color="auto"/>
              <w:bottom w:val="single" w:sz="8" w:space="0" w:color="000000"/>
              <w:right w:val="nil"/>
            </w:tcBorders>
            <w:shd w:val="clear" w:color="auto" w:fill="BFBFBF"/>
            <w:noWrap/>
            <w:vAlign w:val="center"/>
            <w:hideMark/>
          </w:tcPr>
          <w:p w14:paraId="3B123274" w14:textId="77777777" w:rsidR="00D817FF" w:rsidRPr="00303906" w:rsidRDefault="00D817FF" w:rsidP="008D66B7">
            <w:pPr>
              <w:spacing w:after="0" w:line="240" w:lineRule="auto"/>
              <w:rPr>
                <w:b/>
                <w:bCs/>
                <w:color w:val="000000"/>
              </w:rPr>
            </w:pPr>
            <w:r w:rsidRPr="00303906">
              <w:rPr>
                <w:b/>
                <w:bCs/>
                <w:color w:val="000000"/>
              </w:rPr>
              <w:t>1MSG oversight</w:t>
            </w:r>
          </w:p>
        </w:tc>
        <w:tc>
          <w:tcPr>
            <w:tcW w:w="3889" w:type="dxa"/>
            <w:gridSpan w:val="4"/>
            <w:tcBorders>
              <w:top w:val="nil"/>
              <w:left w:val="single" w:sz="8" w:space="0" w:color="auto"/>
              <w:bottom w:val="single" w:sz="8" w:space="0" w:color="auto"/>
              <w:right w:val="single" w:sz="8" w:space="0" w:color="auto"/>
            </w:tcBorders>
            <w:shd w:val="clear" w:color="auto" w:fill="FFFFFF"/>
            <w:noWrap/>
            <w:vAlign w:val="bottom"/>
            <w:hideMark/>
          </w:tcPr>
          <w:p w14:paraId="44264D07" w14:textId="77777777" w:rsidR="00D817FF" w:rsidRPr="00303906" w:rsidRDefault="00D817FF" w:rsidP="008D66B7">
            <w:pPr>
              <w:spacing w:after="0" w:line="240" w:lineRule="auto"/>
              <w:rPr>
                <w:color w:val="000000"/>
                <w:sz w:val="20"/>
              </w:rPr>
            </w:pPr>
            <w:r w:rsidRPr="00303906">
              <w:rPr>
                <w:color w:val="000000"/>
                <w:sz w:val="20"/>
              </w:rPr>
              <w:t>Government engagement (#1.1)</w:t>
            </w:r>
          </w:p>
        </w:tc>
        <w:tc>
          <w:tcPr>
            <w:tcW w:w="484" w:type="dxa"/>
            <w:tcBorders>
              <w:top w:val="nil"/>
              <w:left w:val="nil"/>
              <w:bottom w:val="single" w:sz="8" w:space="0" w:color="auto"/>
              <w:right w:val="single" w:sz="8" w:space="0" w:color="auto"/>
            </w:tcBorders>
            <w:shd w:val="clear" w:color="auto" w:fill="FFFFFF"/>
            <w:noWrap/>
            <w:vAlign w:val="bottom"/>
            <w:hideMark/>
          </w:tcPr>
          <w:p w14:paraId="0C65EAED" w14:textId="77777777" w:rsidR="00D817FF" w:rsidRPr="00303906" w:rsidRDefault="00D817FF" w:rsidP="008D66B7">
            <w:pPr>
              <w:spacing w:after="0" w:line="240" w:lineRule="auto"/>
              <w:rPr>
                <w:color w:val="000000"/>
              </w:rPr>
            </w:pPr>
            <w:r w:rsidRPr="00303906">
              <w:rPr>
                <w:color w:val="000000"/>
              </w:rPr>
              <w:t> </w:t>
            </w:r>
          </w:p>
        </w:tc>
        <w:tc>
          <w:tcPr>
            <w:tcW w:w="484" w:type="dxa"/>
            <w:tcBorders>
              <w:top w:val="single" w:sz="8" w:space="0" w:color="auto"/>
              <w:left w:val="nil"/>
              <w:bottom w:val="single" w:sz="8" w:space="0" w:color="auto"/>
              <w:right w:val="single" w:sz="8" w:space="0" w:color="auto"/>
            </w:tcBorders>
            <w:shd w:val="clear" w:color="auto" w:fill="FFFFFF"/>
            <w:noWrap/>
            <w:vAlign w:val="bottom"/>
            <w:hideMark/>
          </w:tcPr>
          <w:p w14:paraId="3CF2305C" w14:textId="77777777" w:rsidR="00D817FF" w:rsidRPr="00303906" w:rsidRDefault="00D817FF" w:rsidP="008D66B7">
            <w:pPr>
              <w:spacing w:after="0" w:line="240" w:lineRule="auto"/>
              <w:rPr>
                <w:color w:val="000000"/>
              </w:rPr>
            </w:pPr>
            <w:r w:rsidRPr="00303906">
              <w:rPr>
                <w:color w:val="000000"/>
              </w:rPr>
              <w:t> </w:t>
            </w:r>
          </w:p>
        </w:tc>
        <w:tc>
          <w:tcPr>
            <w:tcW w:w="484" w:type="dxa"/>
            <w:tcBorders>
              <w:top w:val="single" w:sz="8" w:space="0" w:color="auto"/>
              <w:left w:val="nil"/>
              <w:bottom w:val="single" w:sz="8" w:space="0" w:color="auto"/>
              <w:right w:val="single" w:sz="8" w:space="0" w:color="auto"/>
            </w:tcBorders>
            <w:shd w:val="clear" w:color="auto" w:fill="FFFFFF"/>
            <w:noWrap/>
            <w:vAlign w:val="bottom"/>
            <w:hideMark/>
          </w:tcPr>
          <w:p w14:paraId="3235FDFC" w14:textId="77777777" w:rsidR="00D817FF" w:rsidRPr="00303906" w:rsidRDefault="00D817FF" w:rsidP="008D66B7">
            <w:pPr>
              <w:spacing w:after="0" w:line="240" w:lineRule="auto"/>
              <w:rPr>
                <w:color w:val="000000"/>
              </w:rPr>
            </w:pPr>
            <w:r w:rsidRPr="00303906">
              <w:rPr>
                <w:color w:val="000000"/>
              </w:rPr>
              <w:t> </w:t>
            </w:r>
          </w:p>
        </w:tc>
        <w:tc>
          <w:tcPr>
            <w:tcW w:w="504" w:type="dxa"/>
            <w:tcBorders>
              <w:top w:val="nil"/>
              <w:left w:val="nil"/>
              <w:bottom w:val="single" w:sz="8" w:space="0" w:color="auto"/>
              <w:right w:val="single" w:sz="8" w:space="0" w:color="auto"/>
            </w:tcBorders>
            <w:shd w:val="clear" w:color="auto" w:fill="92D050"/>
            <w:noWrap/>
            <w:vAlign w:val="bottom"/>
            <w:hideMark/>
          </w:tcPr>
          <w:p w14:paraId="5C5D67BD" w14:textId="77777777" w:rsidR="00D817FF" w:rsidRPr="00303906" w:rsidRDefault="00D817FF" w:rsidP="008D66B7">
            <w:pPr>
              <w:spacing w:after="0" w:line="240" w:lineRule="auto"/>
              <w:rPr>
                <w:color w:val="000000"/>
              </w:rPr>
            </w:pPr>
            <w:r w:rsidRPr="00303906">
              <w:rPr>
                <w:color w:val="000000"/>
              </w:rPr>
              <w:t> </w:t>
            </w:r>
          </w:p>
        </w:tc>
        <w:tc>
          <w:tcPr>
            <w:tcW w:w="484" w:type="dxa"/>
            <w:gridSpan w:val="2"/>
            <w:tcBorders>
              <w:top w:val="single" w:sz="8" w:space="0" w:color="auto"/>
              <w:left w:val="nil"/>
              <w:bottom w:val="single" w:sz="8" w:space="0" w:color="auto"/>
              <w:right w:val="single" w:sz="8" w:space="0" w:color="auto"/>
            </w:tcBorders>
            <w:shd w:val="clear" w:color="auto" w:fill="FFFFFF"/>
            <w:noWrap/>
            <w:vAlign w:val="bottom"/>
            <w:hideMark/>
          </w:tcPr>
          <w:p w14:paraId="0661AA89" w14:textId="77777777" w:rsidR="00D817FF" w:rsidRPr="00303906" w:rsidRDefault="00D817FF" w:rsidP="008D66B7">
            <w:pPr>
              <w:spacing w:after="0" w:line="240" w:lineRule="auto"/>
              <w:rPr>
                <w:color w:val="000000"/>
              </w:rPr>
            </w:pPr>
            <w:r w:rsidRPr="00303906">
              <w:rPr>
                <w:color w:val="000000"/>
              </w:rPr>
              <w:t> </w:t>
            </w:r>
          </w:p>
        </w:tc>
      </w:tr>
      <w:tr w:rsidR="00D817FF" w:rsidRPr="00575789" w14:paraId="6F65CEF4" w14:textId="77777777" w:rsidTr="00303906">
        <w:trPr>
          <w:trHeight w:val="295"/>
        </w:trPr>
        <w:tc>
          <w:tcPr>
            <w:tcW w:w="2077" w:type="dxa"/>
            <w:gridSpan w:val="3"/>
            <w:vMerge/>
            <w:tcBorders>
              <w:top w:val="single" w:sz="8" w:space="0" w:color="auto"/>
              <w:left w:val="single" w:sz="8" w:space="0" w:color="auto"/>
              <w:bottom w:val="single" w:sz="8" w:space="0" w:color="000000"/>
              <w:right w:val="nil"/>
            </w:tcBorders>
            <w:vAlign w:val="center"/>
            <w:hideMark/>
          </w:tcPr>
          <w:p w14:paraId="57AB109A" w14:textId="77777777" w:rsidR="00D817FF" w:rsidRPr="00303906" w:rsidRDefault="00D817FF" w:rsidP="008D66B7">
            <w:pPr>
              <w:spacing w:after="0" w:line="256" w:lineRule="auto"/>
              <w:rPr>
                <w:b/>
                <w:bCs/>
                <w:color w:val="000000"/>
              </w:rPr>
            </w:pPr>
          </w:p>
        </w:tc>
        <w:tc>
          <w:tcPr>
            <w:tcW w:w="3889" w:type="dxa"/>
            <w:gridSpan w:val="4"/>
            <w:tcBorders>
              <w:top w:val="nil"/>
              <w:left w:val="single" w:sz="8" w:space="0" w:color="auto"/>
              <w:bottom w:val="single" w:sz="8" w:space="0" w:color="auto"/>
              <w:right w:val="single" w:sz="8" w:space="0" w:color="auto"/>
            </w:tcBorders>
            <w:shd w:val="clear" w:color="auto" w:fill="FFFFFF"/>
            <w:noWrap/>
            <w:vAlign w:val="bottom"/>
            <w:hideMark/>
          </w:tcPr>
          <w:p w14:paraId="58A8C4AD" w14:textId="77777777" w:rsidR="00D817FF" w:rsidRPr="00303906" w:rsidRDefault="00D817FF" w:rsidP="008D66B7">
            <w:pPr>
              <w:spacing w:after="0" w:line="240" w:lineRule="auto"/>
              <w:rPr>
                <w:color w:val="000000"/>
                <w:sz w:val="20"/>
              </w:rPr>
            </w:pPr>
            <w:r w:rsidRPr="00303906">
              <w:rPr>
                <w:color w:val="000000"/>
                <w:sz w:val="20"/>
              </w:rPr>
              <w:t>Industry engagement (#1.2)</w:t>
            </w:r>
          </w:p>
        </w:tc>
        <w:tc>
          <w:tcPr>
            <w:tcW w:w="484" w:type="dxa"/>
            <w:tcBorders>
              <w:top w:val="single" w:sz="8" w:space="0" w:color="auto"/>
              <w:left w:val="nil"/>
              <w:bottom w:val="single" w:sz="8" w:space="0" w:color="auto"/>
              <w:right w:val="single" w:sz="8" w:space="0" w:color="auto"/>
            </w:tcBorders>
            <w:noWrap/>
            <w:vAlign w:val="bottom"/>
            <w:hideMark/>
          </w:tcPr>
          <w:p w14:paraId="5D8E0DCB" w14:textId="77777777" w:rsidR="00D817FF" w:rsidRPr="00303906" w:rsidRDefault="00D817FF" w:rsidP="008D66B7">
            <w:pPr>
              <w:spacing w:after="0" w:line="240" w:lineRule="auto"/>
              <w:rPr>
                <w:color w:val="000000"/>
              </w:rPr>
            </w:pPr>
            <w:r w:rsidRPr="00303906">
              <w:rPr>
                <w:color w:val="000000"/>
              </w:rPr>
              <w:t> </w:t>
            </w:r>
          </w:p>
        </w:tc>
        <w:tc>
          <w:tcPr>
            <w:tcW w:w="484" w:type="dxa"/>
            <w:tcBorders>
              <w:top w:val="single" w:sz="8" w:space="0" w:color="auto"/>
              <w:left w:val="nil"/>
              <w:bottom w:val="single" w:sz="8" w:space="0" w:color="auto"/>
              <w:right w:val="single" w:sz="8" w:space="0" w:color="auto"/>
            </w:tcBorders>
            <w:shd w:val="clear" w:color="auto" w:fill="FFFFFF"/>
            <w:noWrap/>
            <w:vAlign w:val="bottom"/>
            <w:hideMark/>
          </w:tcPr>
          <w:p w14:paraId="2DB402A2" w14:textId="77777777" w:rsidR="00D817FF" w:rsidRPr="00303906" w:rsidRDefault="00D817FF" w:rsidP="008D66B7">
            <w:pPr>
              <w:spacing w:after="0" w:line="240" w:lineRule="auto"/>
              <w:rPr>
                <w:color w:val="000000"/>
              </w:rPr>
            </w:pPr>
            <w:r w:rsidRPr="00303906">
              <w:rPr>
                <w:color w:val="000000"/>
              </w:rPr>
              <w:t> </w:t>
            </w:r>
          </w:p>
        </w:tc>
        <w:tc>
          <w:tcPr>
            <w:tcW w:w="484" w:type="dxa"/>
            <w:tcBorders>
              <w:top w:val="single" w:sz="8" w:space="0" w:color="auto"/>
              <w:left w:val="nil"/>
              <w:bottom w:val="single" w:sz="8" w:space="0" w:color="auto"/>
              <w:right w:val="single" w:sz="8" w:space="0" w:color="auto"/>
            </w:tcBorders>
            <w:shd w:val="clear" w:color="auto" w:fill="FFC000"/>
            <w:noWrap/>
            <w:vAlign w:val="bottom"/>
            <w:hideMark/>
          </w:tcPr>
          <w:p w14:paraId="6DD5CB2E" w14:textId="77777777" w:rsidR="00D817FF" w:rsidRPr="00303906" w:rsidRDefault="00D817FF" w:rsidP="008D66B7">
            <w:pPr>
              <w:spacing w:after="0" w:line="240" w:lineRule="auto"/>
              <w:rPr>
                <w:color w:val="000000"/>
              </w:rPr>
            </w:pPr>
            <w:r w:rsidRPr="00303906">
              <w:rPr>
                <w:color w:val="000000"/>
              </w:rPr>
              <w:t> </w:t>
            </w:r>
          </w:p>
        </w:tc>
        <w:tc>
          <w:tcPr>
            <w:tcW w:w="504" w:type="dxa"/>
            <w:tcBorders>
              <w:top w:val="single" w:sz="8" w:space="0" w:color="auto"/>
              <w:left w:val="nil"/>
              <w:bottom w:val="single" w:sz="8" w:space="0" w:color="auto"/>
              <w:right w:val="single" w:sz="8" w:space="0" w:color="auto"/>
            </w:tcBorders>
            <w:shd w:val="clear" w:color="auto" w:fill="auto"/>
            <w:noWrap/>
            <w:vAlign w:val="bottom"/>
            <w:hideMark/>
          </w:tcPr>
          <w:p w14:paraId="3DE084BE" w14:textId="77777777" w:rsidR="00D817FF" w:rsidRPr="00303906" w:rsidRDefault="00D817FF" w:rsidP="008D66B7">
            <w:pPr>
              <w:spacing w:after="0" w:line="240" w:lineRule="auto"/>
              <w:rPr>
                <w:color w:val="000000"/>
              </w:rPr>
            </w:pPr>
            <w:r w:rsidRPr="00303906">
              <w:rPr>
                <w:color w:val="000000"/>
              </w:rPr>
              <w:t> </w:t>
            </w:r>
          </w:p>
        </w:tc>
        <w:tc>
          <w:tcPr>
            <w:tcW w:w="484" w:type="dxa"/>
            <w:gridSpan w:val="2"/>
            <w:tcBorders>
              <w:top w:val="single" w:sz="8" w:space="0" w:color="auto"/>
              <w:left w:val="nil"/>
              <w:bottom w:val="single" w:sz="8" w:space="0" w:color="auto"/>
              <w:right w:val="single" w:sz="8" w:space="0" w:color="auto"/>
            </w:tcBorders>
            <w:shd w:val="clear" w:color="auto" w:fill="FFFFFF"/>
            <w:noWrap/>
            <w:vAlign w:val="bottom"/>
            <w:hideMark/>
          </w:tcPr>
          <w:p w14:paraId="69514F8D" w14:textId="77777777" w:rsidR="00D817FF" w:rsidRPr="00303906" w:rsidRDefault="00D817FF" w:rsidP="008D66B7">
            <w:pPr>
              <w:spacing w:after="0" w:line="240" w:lineRule="auto"/>
              <w:rPr>
                <w:color w:val="000000"/>
              </w:rPr>
            </w:pPr>
            <w:r w:rsidRPr="00303906">
              <w:rPr>
                <w:color w:val="000000"/>
              </w:rPr>
              <w:t> </w:t>
            </w:r>
          </w:p>
        </w:tc>
      </w:tr>
      <w:tr w:rsidR="00D817FF" w:rsidRPr="00575789" w14:paraId="7DCD8DE2" w14:textId="77777777" w:rsidTr="00303906">
        <w:trPr>
          <w:trHeight w:val="53"/>
        </w:trPr>
        <w:tc>
          <w:tcPr>
            <w:tcW w:w="2077" w:type="dxa"/>
            <w:gridSpan w:val="3"/>
            <w:vMerge/>
            <w:tcBorders>
              <w:top w:val="single" w:sz="8" w:space="0" w:color="auto"/>
              <w:left w:val="single" w:sz="8" w:space="0" w:color="auto"/>
              <w:bottom w:val="single" w:sz="8" w:space="0" w:color="000000"/>
              <w:right w:val="nil"/>
            </w:tcBorders>
            <w:vAlign w:val="center"/>
            <w:hideMark/>
          </w:tcPr>
          <w:p w14:paraId="2FC154B6" w14:textId="77777777" w:rsidR="00D817FF" w:rsidRPr="00303906" w:rsidRDefault="00D817FF" w:rsidP="008D66B7">
            <w:pPr>
              <w:spacing w:after="0" w:line="256" w:lineRule="auto"/>
              <w:rPr>
                <w:b/>
                <w:bCs/>
                <w:color w:val="000000"/>
              </w:rPr>
            </w:pPr>
          </w:p>
        </w:tc>
        <w:tc>
          <w:tcPr>
            <w:tcW w:w="3889" w:type="dxa"/>
            <w:gridSpan w:val="4"/>
            <w:tcBorders>
              <w:top w:val="nil"/>
              <w:left w:val="single" w:sz="8" w:space="0" w:color="auto"/>
              <w:bottom w:val="single" w:sz="8" w:space="0" w:color="auto"/>
              <w:right w:val="single" w:sz="8" w:space="0" w:color="auto"/>
            </w:tcBorders>
            <w:shd w:val="clear" w:color="auto" w:fill="FFFFFF"/>
            <w:noWrap/>
            <w:vAlign w:val="bottom"/>
            <w:hideMark/>
          </w:tcPr>
          <w:p w14:paraId="26DB9D84" w14:textId="77777777" w:rsidR="00D817FF" w:rsidRPr="00303906" w:rsidRDefault="00D817FF" w:rsidP="008D66B7">
            <w:pPr>
              <w:spacing w:after="0" w:line="240" w:lineRule="auto"/>
              <w:rPr>
                <w:color w:val="000000"/>
                <w:sz w:val="20"/>
              </w:rPr>
            </w:pPr>
            <w:r w:rsidRPr="00303906">
              <w:rPr>
                <w:color w:val="000000"/>
                <w:sz w:val="20"/>
              </w:rPr>
              <w:t>Civil society engagement (#1.3)</w:t>
            </w:r>
          </w:p>
        </w:tc>
        <w:tc>
          <w:tcPr>
            <w:tcW w:w="484" w:type="dxa"/>
            <w:tcBorders>
              <w:top w:val="single" w:sz="8" w:space="0" w:color="auto"/>
              <w:left w:val="nil"/>
              <w:bottom w:val="single" w:sz="8" w:space="0" w:color="auto"/>
              <w:right w:val="single" w:sz="8" w:space="0" w:color="auto"/>
            </w:tcBorders>
            <w:noWrap/>
            <w:vAlign w:val="bottom"/>
            <w:hideMark/>
          </w:tcPr>
          <w:p w14:paraId="52368ACC" w14:textId="77777777" w:rsidR="00D817FF" w:rsidRPr="00303906" w:rsidRDefault="00D817FF" w:rsidP="008D66B7">
            <w:pPr>
              <w:spacing w:after="0" w:line="240" w:lineRule="auto"/>
              <w:rPr>
                <w:color w:val="000000"/>
              </w:rPr>
            </w:pPr>
            <w:r w:rsidRPr="00303906">
              <w:rPr>
                <w:color w:val="000000"/>
              </w:rPr>
              <w:t> </w:t>
            </w:r>
          </w:p>
        </w:tc>
        <w:tc>
          <w:tcPr>
            <w:tcW w:w="484" w:type="dxa"/>
            <w:tcBorders>
              <w:top w:val="single" w:sz="8" w:space="0" w:color="auto"/>
              <w:left w:val="nil"/>
              <w:bottom w:val="single" w:sz="8" w:space="0" w:color="auto"/>
              <w:right w:val="single" w:sz="8" w:space="0" w:color="auto"/>
            </w:tcBorders>
            <w:shd w:val="clear" w:color="auto" w:fill="FFFFFF"/>
            <w:noWrap/>
            <w:vAlign w:val="bottom"/>
            <w:hideMark/>
          </w:tcPr>
          <w:p w14:paraId="117796A5" w14:textId="77777777" w:rsidR="00D817FF" w:rsidRPr="00303906" w:rsidRDefault="00D817FF" w:rsidP="008D66B7">
            <w:pPr>
              <w:spacing w:after="0" w:line="240" w:lineRule="auto"/>
              <w:rPr>
                <w:color w:val="000000"/>
              </w:rPr>
            </w:pPr>
            <w:r w:rsidRPr="00303906">
              <w:rPr>
                <w:color w:val="000000"/>
              </w:rPr>
              <w:t> </w:t>
            </w:r>
          </w:p>
        </w:tc>
        <w:tc>
          <w:tcPr>
            <w:tcW w:w="484" w:type="dxa"/>
            <w:tcBorders>
              <w:top w:val="single" w:sz="8" w:space="0" w:color="auto"/>
              <w:left w:val="nil"/>
              <w:bottom w:val="single" w:sz="8" w:space="0" w:color="auto"/>
              <w:right w:val="single" w:sz="8" w:space="0" w:color="auto"/>
            </w:tcBorders>
            <w:shd w:val="clear" w:color="auto" w:fill="FFC000"/>
            <w:noWrap/>
            <w:vAlign w:val="bottom"/>
            <w:hideMark/>
          </w:tcPr>
          <w:p w14:paraId="33DAE5F3" w14:textId="77777777" w:rsidR="00D817FF" w:rsidRPr="00303906" w:rsidRDefault="00D817FF" w:rsidP="008D66B7">
            <w:pPr>
              <w:spacing w:after="0" w:line="240" w:lineRule="auto"/>
              <w:rPr>
                <w:color w:val="000000"/>
              </w:rPr>
            </w:pPr>
            <w:r w:rsidRPr="00303906">
              <w:rPr>
                <w:color w:val="000000"/>
              </w:rPr>
              <w:t> </w:t>
            </w:r>
          </w:p>
        </w:tc>
        <w:tc>
          <w:tcPr>
            <w:tcW w:w="504" w:type="dxa"/>
            <w:tcBorders>
              <w:top w:val="single" w:sz="8" w:space="0" w:color="auto"/>
              <w:left w:val="nil"/>
              <w:bottom w:val="single" w:sz="8" w:space="0" w:color="auto"/>
              <w:right w:val="single" w:sz="8" w:space="0" w:color="auto"/>
            </w:tcBorders>
            <w:shd w:val="clear" w:color="auto" w:fill="auto"/>
            <w:noWrap/>
            <w:vAlign w:val="bottom"/>
            <w:hideMark/>
          </w:tcPr>
          <w:p w14:paraId="6FB462FB" w14:textId="77777777" w:rsidR="00D817FF" w:rsidRPr="00303906" w:rsidRDefault="00D817FF" w:rsidP="008D66B7">
            <w:pPr>
              <w:spacing w:after="0" w:line="240" w:lineRule="auto"/>
              <w:rPr>
                <w:color w:val="000000"/>
              </w:rPr>
            </w:pPr>
            <w:r w:rsidRPr="00303906">
              <w:rPr>
                <w:color w:val="000000"/>
              </w:rPr>
              <w:t> </w:t>
            </w:r>
          </w:p>
        </w:tc>
        <w:tc>
          <w:tcPr>
            <w:tcW w:w="484" w:type="dxa"/>
            <w:gridSpan w:val="2"/>
            <w:tcBorders>
              <w:top w:val="single" w:sz="8" w:space="0" w:color="auto"/>
              <w:left w:val="nil"/>
              <w:bottom w:val="single" w:sz="8" w:space="0" w:color="auto"/>
              <w:right w:val="single" w:sz="8" w:space="0" w:color="auto"/>
            </w:tcBorders>
            <w:shd w:val="clear" w:color="auto" w:fill="FFFFFF"/>
            <w:noWrap/>
            <w:vAlign w:val="bottom"/>
            <w:hideMark/>
          </w:tcPr>
          <w:p w14:paraId="764630DD" w14:textId="77777777" w:rsidR="00D817FF" w:rsidRPr="00303906" w:rsidRDefault="00D817FF" w:rsidP="008D66B7">
            <w:pPr>
              <w:spacing w:after="0" w:line="240" w:lineRule="auto"/>
              <w:rPr>
                <w:color w:val="000000"/>
              </w:rPr>
            </w:pPr>
            <w:r w:rsidRPr="00303906">
              <w:rPr>
                <w:color w:val="000000"/>
              </w:rPr>
              <w:t> </w:t>
            </w:r>
          </w:p>
        </w:tc>
      </w:tr>
      <w:tr w:rsidR="00D817FF" w:rsidRPr="00575789" w14:paraId="2C3D17BC" w14:textId="77777777" w:rsidTr="00303906">
        <w:trPr>
          <w:trHeight w:val="300"/>
        </w:trPr>
        <w:tc>
          <w:tcPr>
            <w:tcW w:w="2077" w:type="dxa"/>
            <w:gridSpan w:val="3"/>
            <w:vMerge/>
            <w:tcBorders>
              <w:top w:val="single" w:sz="8" w:space="0" w:color="auto"/>
              <w:left w:val="single" w:sz="8" w:space="0" w:color="auto"/>
              <w:bottom w:val="single" w:sz="8" w:space="0" w:color="000000"/>
              <w:right w:val="nil"/>
            </w:tcBorders>
            <w:vAlign w:val="center"/>
            <w:hideMark/>
          </w:tcPr>
          <w:p w14:paraId="51C92431" w14:textId="77777777" w:rsidR="00D817FF" w:rsidRPr="00303906" w:rsidRDefault="00D817FF" w:rsidP="00D817FF">
            <w:pPr>
              <w:spacing w:after="0" w:line="256" w:lineRule="auto"/>
              <w:rPr>
                <w:b/>
                <w:bCs/>
                <w:color w:val="000000"/>
              </w:rPr>
            </w:pPr>
          </w:p>
        </w:tc>
        <w:tc>
          <w:tcPr>
            <w:tcW w:w="3889" w:type="dxa"/>
            <w:gridSpan w:val="4"/>
            <w:tcBorders>
              <w:top w:val="nil"/>
              <w:left w:val="single" w:sz="8" w:space="0" w:color="auto"/>
              <w:bottom w:val="single" w:sz="8" w:space="0" w:color="auto"/>
              <w:right w:val="single" w:sz="8" w:space="0" w:color="auto"/>
            </w:tcBorders>
            <w:shd w:val="clear" w:color="auto" w:fill="FFFFFF"/>
            <w:noWrap/>
            <w:vAlign w:val="bottom"/>
            <w:hideMark/>
          </w:tcPr>
          <w:p w14:paraId="2C7E46D7" w14:textId="77777777" w:rsidR="00D817FF" w:rsidRPr="00303906" w:rsidRDefault="00D817FF" w:rsidP="00D817FF">
            <w:pPr>
              <w:spacing w:after="0" w:line="240" w:lineRule="auto"/>
              <w:rPr>
                <w:color w:val="000000"/>
                <w:sz w:val="20"/>
              </w:rPr>
            </w:pPr>
            <w:r w:rsidRPr="00303906">
              <w:rPr>
                <w:color w:val="000000"/>
                <w:sz w:val="20"/>
              </w:rPr>
              <w:t>MSG governance (#1.4)</w:t>
            </w:r>
          </w:p>
        </w:tc>
        <w:tc>
          <w:tcPr>
            <w:tcW w:w="484" w:type="dxa"/>
            <w:tcBorders>
              <w:top w:val="single" w:sz="8" w:space="0" w:color="auto"/>
              <w:left w:val="nil"/>
              <w:bottom w:val="single" w:sz="8" w:space="0" w:color="auto"/>
              <w:right w:val="single" w:sz="8" w:space="0" w:color="auto"/>
            </w:tcBorders>
            <w:noWrap/>
            <w:vAlign w:val="bottom"/>
            <w:hideMark/>
          </w:tcPr>
          <w:p w14:paraId="0370742F" w14:textId="77777777" w:rsidR="00D817FF" w:rsidRPr="00303906" w:rsidRDefault="00D817FF" w:rsidP="00D817FF">
            <w:pPr>
              <w:spacing w:after="0" w:line="240" w:lineRule="auto"/>
              <w:rPr>
                <w:color w:val="000000"/>
              </w:rPr>
            </w:pPr>
            <w:r w:rsidRPr="00303906">
              <w:rPr>
                <w:color w:val="000000"/>
              </w:rPr>
              <w:t> </w:t>
            </w:r>
          </w:p>
        </w:tc>
        <w:tc>
          <w:tcPr>
            <w:tcW w:w="484" w:type="dxa"/>
            <w:tcBorders>
              <w:top w:val="single" w:sz="8" w:space="0" w:color="auto"/>
              <w:left w:val="nil"/>
              <w:bottom w:val="single" w:sz="8" w:space="0" w:color="auto"/>
              <w:right w:val="single" w:sz="8" w:space="0" w:color="auto"/>
            </w:tcBorders>
            <w:shd w:val="clear" w:color="auto" w:fill="FFFFFF"/>
            <w:noWrap/>
            <w:vAlign w:val="bottom"/>
            <w:hideMark/>
          </w:tcPr>
          <w:p w14:paraId="0C25ECE5" w14:textId="77777777" w:rsidR="00D817FF" w:rsidRPr="00303906" w:rsidRDefault="00D817FF" w:rsidP="00D817FF">
            <w:pPr>
              <w:spacing w:after="0" w:line="240" w:lineRule="auto"/>
              <w:rPr>
                <w:color w:val="000000"/>
              </w:rPr>
            </w:pPr>
            <w:r w:rsidRPr="00303906">
              <w:rPr>
                <w:color w:val="000000"/>
              </w:rPr>
              <w:t> </w:t>
            </w:r>
          </w:p>
        </w:tc>
        <w:tc>
          <w:tcPr>
            <w:tcW w:w="484" w:type="dxa"/>
            <w:tcBorders>
              <w:top w:val="single" w:sz="8" w:space="0" w:color="auto"/>
              <w:left w:val="nil"/>
              <w:bottom w:val="single" w:sz="8" w:space="0" w:color="auto"/>
              <w:right w:val="single" w:sz="8" w:space="0" w:color="auto"/>
            </w:tcBorders>
            <w:shd w:val="clear" w:color="auto" w:fill="FFFFFF"/>
            <w:noWrap/>
            <w:vAlign w:val="bottom"/>
            <w:hideMark/>
          </w:tcPr>
          <w:p w14:paraId="25FDBB0D" w14:textId="77777777" w:rsidR="00D817FF" w:rsidRPr="00303906" w:rsidRDefault="00D817FF" w:rsidP="00D817FF">
            <w:pPr>
              <w:spacing w:after="0" w:line="240" w:lineRule="auto"/>
              <w:rPr>
                <w:color w:val="000000"/>
              </w:rPr>
            </w:pPr>
            <w:r w:rsidRPr="00303906">
              <w:rPr>
                <w:color w:val="000000"/>
              </w:rPr>
              <w:t> </w:t>
            </w:r>
          </w:p>
        </w:tc>
        <w:tc>
          <w:tcPr>
            <w:tcW w:w="504" w:type="dxa"/>
            <w:tcBorders>
              <w:top w:val="single" w:sz="8" w:space="0" w:color="auto"/>
              <w:left w:val="nil"/>
              <w:bottom w:val="single" w:sz="8" w:space="0" w:color="auto"/>
              <w:right w:val="single" w:sz="8" w:space="0" w:color="auto"/>
            </w:tcBorders>
            <w:shd w:val="clear" w:color="auto" w:fill="92D050"/>
            <w:noWrap/>
            <w:vAlign w:val="bottom"/>
            <w:hideMark/>
          </w:tcPr>
          <w:p w14:paraId="11FD9B7F" w14:textId="77777777" w:rsidR="00D817FF" w:rsidRPr="00303906" w:rsidRDefault="00D817FF" w:rsidP="00D817FF">
            <w:pPr>
              <w:spacing w:after="0" w:line="240" w:lineRule="auto"/>
              <w:rPr>
                <w:color w:val="000000"/>
              </w:rPr>
            </w:pPr>
            <w:r w:rsidRPr="00303906">
              <w:rPr>
                <w:color w:val="000000"/>
              </w:rPr>
              <w:t> </w:t>
            </w:r>
          </w:p>
        </w:tc>
        <w:tc>
          <w:tcPr>
            <w:tcW w:w="484" w:type="dxa"/>
            <w:gridSpan w:val="2"/>
            <w:tcBorders>
              <w:top w:val="single" w:sz="8" w:space="0" w:color="auto"/>
              <w:left w:val="nil"/>
              <w:bottom w:val="single" w:sz="8" w:space="0" w:color="auto"/>
              <w:right w:val="single" w:sz="8" w:space="0" w:color="auto"/>
            </w:tcBorders>
            <w:shd w:val="clear" w:color="auto" w:fill="FFFFFF"/>
            <w:noWrap/>
            <w:vAlign w:val="bottom"/>
            <w:hideMark/>
          </w:tcPr>
          <w:p w14:paraId="49430C56" w14:textId="77777777" w:rsidR="00D817FF" w:rsidRPr="00303906" w:rsidRDefault="00D817FF" w:rsidP="00D817FF">
            <w:pPr>
              <w:spacing w:after="0" w:line="240" w:lineRule="auto"/>
              <w:rPr>
                <w:color w:val="000000"/>
              </w:rPr>
            </w:pPr>
            <w:r w:rsidRPr="00303906">
              <w:rPr>
                <w:color w:val="000000"/>
              </w:rPr>
              <w:t> </w:t>
            </w:r>
          </w:p>
        </w:tc>
      </w:tr>
      <w:tr w:rsidR="00D817FF" w:rsidRPr="00575789" w14:paraId="5C23A639" w14:textId="77777777" w:rsidTr="00303906">
        <w:trPr>
          <w:trHeight w:val="53"/>
        </w:trPr>
        <w:tc>
          <w:tcPr>
            <w:tcW w:w="2077" w:type="dxa"/>
            <w:gridSpan w:val="3"/>
            <w:vMerge/>
            <w:tcBorders>
              <w:top w:val="single" w:sz="8" w:space="0" w:color="auto"/>
              <w:left w:val="single" w:sz="8" w:space="0" w:color="auto"/>
              <w:bottom w:val="single" w:sz="8" w:space="0" w:color="000000"/>
              <w:right w:val="nil"/>
            </w:tcBorders>
            <w:vAlign w:val="center"/>
            <w:hideMark/>
          </w:tcPr>
          <w:p w14:paraId="3EC44EA1" w14:textId="77777777" w:rsidR="00D817FF" w:rsidRPr="00303906" w:rsidRDefault="00D817FF" w:rsidP="00D817FF">
            <w:pPr>
              <w:spacing w:after="0" w:line="256" w:lineRule="auto"/>
              <w:rPr>
                <w:b/>
                <w:bCs/>
                <w:color w:val="000000"/>
              </w:rPr>
            </w:pPr>
          </w:p>
        </w:tc>
        <w:tc>
          <w:tcPr>
            <w:tcW w:w="3889" w:type="dxa"/>
            <w:gridSpan w:val="4"/>
            <w:tcBorders>
              <w:top w:val="nil"/>
              <w:left w:val="single" w:sz="8" w:space="0" w:color="auto"/>
              <w:bottom w:val="single" w:sz="8" w:space="0" w:color="auto"/>
              <w:right w:val="single" w:sz="8" w:space="0" w:color="auto"/>
            </w:tcBorders>
            <w:shd w:val="clear" w:color="auto" w:fill="FFFFFF"/>
            <w:noWrap/>
            <w:vAlign w:val="bottom"/>
            <w:hideMark/>
          </w:tcPr>
          <w:p w14:paraId="0C094D55" w14:textId="77777777" w:rsidR="00D817FF" w:rsidRPr="00303906" w:rsidRDefault="00D817FF" w:rsidP="00D817FF">
            <w:pPr>
              <w:spacing w:after="0" w:line="240" w:lineRule="auto"/>
              <w:rPr>
                <w:color w:val="000000"/>
                <w:sz w:val="20"/>
              </w:rPr>
            </w:pPr>
            <w:r w:rsidRPr="00303906">
              <w:rPr>
                <w:color w:val="000000"/>
                <w:sz w:val="20"/>
              </w:rPr>
              <w:t>Work plan (#1.5)</w:t>
            </w:r>
          </w:p>
        </w:tc>
        <w:tc>
          <w:tcPr>
            <w:tcW w:w="484" w:type="dxa"/>
            <w:tcBorders>
              <w:top w:val="single" w:sz="8" w:space="0" w:color="auto"/>
              <w:left w:val="nil"/>
              <w:bottom w:val="single" w:sz="8" w:space="0" w:color="auto"/>
              <w:right w:val="single" w:sz="8" w:space="0" w:color="auto"/>
            </w:tcBorders>
            <w:noWrap/>
            <w:vAlign w:val="bottom"/>
            <w:hideMark/>
          </w:tcPr>
          <w:p w14:paraId="5BE87D5C" w14:textId="77777777" w:rsidR="00D817FF" w:rsidRPr="00303906" w:rsidRDefault="00D817FF" w:rsidP="00D817FF">
            <w:pPr>
              <w:spacing w:after="0" w:line="240" w:lineRule="auto"/>
              <w:rPr>
                <w:color w:val="000000"/>
              </w:rPr>
            </w:pPr>
            <w:r w:rsidRPr="00303906">
              <w:rPr>
                <w:color w:val="000000"/>
              </w:rPr>
              <w:t> </w:t>
            </w:r>
          </w:p>
        </w:tc>
        <w:tc>
          <w:tcPr>
            <w:tcW w:w="484" w:type="dxa"/>
            <w:tcBorders>
              <w:top w:val="single" w:sz="8" w:space="0" w:color="auto"/>
              <w:left w:val="nil"/>
              <w:bottom w:val="single" w:sz="8" w:space="0" w:color="auto"/>
              <w:right w:val="single" w:sz="8" w:space="0" w:color="auto"/>
            </w:tcBorders>
            <w:shd w:val="clear" w:color="auto" w:fill="auto"/>
            <w:noWrap/>
            <w:vAlign w:val="bottom"/>
            <w:hideMark/>
          </w:tcPr>
          <w:p w14:paraId="011E1734" w14:textId="77777777" w:rsidR="00D817FF" w:rsidRPr="00303906" w:rsidRDefault="00D817FF" w:rsidP="00D817FF">
            <w:pPr>
              <w:spacing w:after="0" w:line="240" w:lineRule="auto"/>
              <w:rPr>
                <w:color w:val="FF0000"/>
              </w:rPr>
            </w:pPr>
            <w:r w:rsidRPr="00303906">
              <w:rPr>
                <w:color w:val="000000"/>
              </w:rPr>
              <w:t> </w:t>
            </w:r>
          </w:p>
        </w:tc>
        <w:tc>
          <w:tcPr>
            <w:tcW w:w="484" w:type="dxa"/>
            <w:tcBorders>
              <w:top w:val="single" w:sz="8" w:space="0" w:color="auto"/>
              <w:left w:val="nil"/>
              <w:bottom w:val="single" w:sz="8" w:space="0" w:color="auto"/>
              <w:right w:val="single" w:sz="8" w:space="0" w:color="auto"/>
            </w:tcBorders>
            <w:shd w:val="clear" w:color="auto" w:fill="auto"/>
            <w:noWrap/>
            <w:vAlign w:val="bottom"/>
            <w:hideMark/>
          </w:tcPr>
          <w:p w14:paraId="7A6CE520" w14:textId="77777777" w:rsidR="00D817FF" w:rsidRPr="00303906" w:rsidRDefault="00D817FF" w:rsidP="00D817FF">
            <w:pPr>
              <w:spacing w:after="0" w:line="240" w:lineRule="auto"/>
              <w:rPr>
                <w:color w:val="000000"/>
              </w:rPr>
            </w:pPr>
            <w:r w:rsidRPr="00303906">
              <w:rPr>
                <w:color w:val="000000"/>
              </w:rPr>
              <w:t> </w:t>
            </w:r>
          </w:p>
        </w:tc>
        <w:tc>
          <w:tcPr>
            <w:tcW w:w="504" w:type="dxa"/>
            <w:tcBorders>
              <w:top w:val="single" w:sz="8" w:space="0" w:color="auto"/>
              <w:left w:val="nil"/>
              <w:bottom w:val="single" w:sz="8" w:space="0" w:color="auto"/>
              <w:right w:val="single" w:sz="8" w:space="0" w:color="auto"/>
            </w:tcBorders>
            <w:shd w:val="clear" w:color="auto" w:fill="92D050"/>
            <w:noWrap/>
            <w:vAlign w:val="bottom"/>
          </w:tcPr>
          <w:p w14:paraId="3E9F0885" w14:textId="77777777" w:rsidR="00D817FF" w:rsidRPr="00303906" w:rsidRDefault="00D817FF" w:rsidP="00D817FF">
            <w:pPr>
              <w:spacing w:after="0" w:line="240" w:lineRule="auto"/>
              <w:rPr>
                <w:color w:val="000000"/>
              </w:rPr>
            </w:pPr>
            <w:r w:rsidRPr="00303906">
              <w:rPr>
                <w:color w:val="000000"/>
              </w:rPr>
              <w:t> </w:t>
            </w:r>
          </w:p>
        </w:tc>
        <w:tc>
          <w:tcPr>
            <w:tcW w:w="484" w:type="dxa"/>
            <w:gridSpan w:val="2"/>
            <w:tcBorders>
              <w:top w:val="single" w:sz="8" w:space="0" w:color="auto"/>
              <w:left w:val="nil"/>
              <w:bottom w:val="single" w:sz="8" w:space="0" w:color="auto"/>
              <w:right w:val="single" w:sz="8" w:space="0" w:color="auto"/>
            </w:tcBorders>
            <w:shd w:val="clear" w:color="auto" w:fill="FFFFFF"/>
            <w:noWrap/>
            <w:vAlign w:val="bottom"/>
            <w:hideMark/>
          </w:tcPr>
          <w:p w14:paraId="76169A20" w14:textId="77777777" w:rsidR="00D817FF" w:rsidRPr="00303906" w:rsidRDefault="00D817FF" w:rsidP="00D817FF">
            <w:pPr>
              <w:spacing w:after="0" w:line="240" w:lineRule="auto"/>
              <w:rPr>
                <w:color w:val="000000"/>
              </w:rPr>
            </w:pPr>
            <w:r w:rsidRPr="00303906">
              <w:rPr>
                <w:color w:val="000000"/>
              </w:rPr>
              <w:t> </w:t>
            </w:r>
          </w:p>
        </w:tc>
      </w:tr>
      <w:tr w:rsidR="00D817FF" w:rsidRPr="00575789" w14:paraId="39154470" w14:textId="77777777" w:rsidTr="00B331A9">
        <w:trPr>
          <w:trHeight w:val="53"/>
        </w:trPr>
        <w:tc>
          <w:tcPr>
            <w:tcW w:w="2077" w:type="dxa"/>
            <w:gridSpan w:val="3"/>
            <w:vMerge w:val="restart"/>
            <w:tcBorders>
              <w:top w:val="single" w:sz="8" w:space="0" w:color="auto"/>
              <w:left w:val="single" w:sz="8" w:space="0" w:color="auto"/>
              <w:bottom w:val="single" w:sz="8" w:space="0" w:color="000000"/>
              <w:right w:val="nil"/>
            </w:tcBorders>
            <w:shd w:val="clear" w:color="auto" w:fill="BFBFBF"/>
            <w:noWrap/>
            <w:vAlign w:val="center"/>
            <w:hideMark/>
          </w:tcPr>
          <w:p w14:paraId="5EACC86C" w14:textId="77777777" w:rsidR="00D817FF" w:rsidRPr="00303906" w:rsidRDefault="00D817FF" w:rsidP="00D817FF">
            <w:pPr>
              <w:spacing w:after="0" w:line="240" w:lineRule="auto"/>
              <w:rPr>
                <w:b/>
                <w:bCs/>
                <w:color w:val="000000"/>
              </w:rPr>
            </w:pPr>
            <w:r w:rsidRPr="00303906">
              <w:rPr>
                <w:b/>
                <w:bCs/>
                <w:color w:val="000000"/>
              </w:rPr>
              <w:lastRenderedPageBreak/>
              <w:t>Licenses and contracts</w:t>
            </w:r>
          </w:p>
        </w:tc>
        <w:tc>
          <w:tcPr>
            <w:tcW w:w="3889" w:type="dxa"/>
            <w:gridSpan w:val="4"/>
            <w:tcBorders>
              <w:top w:val="nil"/>
              <w:left w:val="single" w:sz="8" w:space="0" w:color="auto"/>
              <w:bottom w:val="single" w:sz="8" w:space="0" w:color="auto"/>
              <w:right w:val="single" w:sz="8" w:space="0" w:color="auto"/>
            </w:tcBorders>
            <w:shd w:val="clear" w:color="auto" w:fill="FFFFFF"/>
            <w:noWrap/>
            <w:vAlign w:val="center"/>
            <w:hideMark/>
          </w:tcPr>
          <w:p w14:paraId="2591D0C5" w14:textId="77777777" w:rsidR="00D817FF" w:rsidRPr="00303906" w:rsidRDefault="00D817FF" w:rsidP="00D817FF">
            <w:pPr>
              <w:spacing w:after="0" w:line="240" w:lineRule="auto"/>
              <w:rPr>
                <w:color w:val="000000"/>
                <w:sz w:val="20"/>
              </w:rPr>
            </w:pPr>
            <w:r w:rsidRPr="00303906">
              <w:rPr>
                <w:color w:val="000000"/>
                <w:sz w:val="20"/>
              </w:rPr>
              <w:t>Legal framework (#2.1)</w:t>
            </w:r>
          </w:p>
        </w:tc>
        <w:tc>
          <w:tcPr>
            <w:tcW w:w="484" w:type="dxa"/>
            <w:tcBorders>
              <w:top w:val="single" w:sz="8" w:space="0" w:color="auto"/>
              <w:left w:val="nil"/>
              <w:bottom w:val="single" w:sz="8" w:space="0" w:color="auto"/>
              <w:right w:val="single" w:sz="8" w:space="0" w:color="auto"/>
            </w:tcBorders>
            <w:noWrap/>
            <w:vAlign w:val="bottom"/>
            <w:hideMark/>
          </w:tcPr>
          <w:p w14:paraId="6602E0DE" w14:textId="77777777" w:rsidR="00D817FF" w:rsidRPr="00303906" w:rsidRDefault="00D817FF" w:rsidP="00D817FF">
            <w:pPr>
              <w:spacing w:after="0" w:line="240" w:lineRule="auto"/>
              <w:rPr>
                <w:color w:val="000000"/>
              </w:rPr>
            </w:pPr>
            <w:r w:rsidRPr="00303906">
              <w:rPr>
                <w:color w:val="000000"/>
              </w:rPr>
              <w:t> </w:t>
            </w:r>
          </w:p>
        </w:tc>
        <w:tc>
          <w:tcPr>
            <w:tcW w:w="484" w:type="dxa"/>
            <w:tcBorders>
              <w:top w:val="single" w:sz="8" w:space="0" w:color="auto"/>
              <w:left w:val="nil"/>
              <w:bottom w:val="single" w:sz="8" w:space="0" w:color="auto"/>
              <w:right w:val="single" w:sz="8" w:space="0" w:color="auto"/>
            </w:tcBorders>
            <w:noWrap/>
            <w:vAlign w:val="bottom"/>
            <w:hideMark/>
          </w:tcPr>
          <w:p w14:paraId="1779938C" w14:textId="77777777" w:rsidR="00D817FF" w:rsidRPr="00303906" w:rsidRDefault="00D817FF" w:rsidP="00D817FF">
            <w:pPr>
              <w:spacing w:after="0" w:line="240" w:lineRule="auto"/>
              <w:rPr>
                <w:color w:val="000000"/>
              </w:rPr>
            </w:pPr>
            <w:r w:rsidRPr="00303906">
              <w:rPr>
                <w:color w:val="000000"/>
              </w:rPr>
              <w:t> </w:t>
            </w:r>
          </w:p>
        </w:tc>
        <w:tc>
          <w:tcPr>
            <w:tcW w:w="484" w:type="dxa"/>
            <w:tcBorders>
              <w:top w:val="single" w:sz="8" w:space="0" w:color="auto"/>
              <w:left w:val="nil"/>
              <w:bottom w:val="single" w:sz="8" w:space="0" w:color="auto"/>
              <w:right w:val="single" w:sz="8" w:space="0" w:color="auto"/>
            </w:tcBorders>
            <w:noWrap/>
            <w:vAlign w:val="bottom"/>
            <w:hideMark/>
          </w:tcPr>
          <w:p w14:paraId="2E1E0EBE" w14:textId="77777777" w:rsidR="00D817FF" w:rsidRPr="00303906" w:rsidRDefault="00D817FF" w:rsidP="00D817FF">
            <w:pPr>
              <w:spacing w:after="0" w:line="240" w:lineRule="auto"/>
              <w:rPr>
                <w:color w:val="000000"/>
              </w:rPr>
            </w:pPr>
            <w:r w:rsidRPr="00303906">
              <w:rPr>
                <w:color w:val="000000"/>
              </w:rPr>
              <w:t> </w:t>
            </w:r>
          </w:p>
        </w:tc>
        <w:tc>
          <w:tcPr>
            <w:tcW w:w="504" w:type="dxa"/>
            <w:tcBorders>
              <w:top w:val="single" w:sz="8" w:space="0" w:color="auto"/>
              <w:left w:val="nil"/>
              <w:bottom w:val="single" w:sz="8" w:space="0" w:color="auto"/>
              <w:right w:val="single" w:sz="8" w:space="0" w:color="auto"/>
            </w:tcBorders>
            <w:shd w:val="clear" w:color="auto" w:fill="92D050"/>
            <w:noWrap/>
            <w:vAlign w:val="bottom"/>
            <w:hideMark/>
          </w:tcPr>
          <w:p w14:paraId="5228614B" w14:textId="77777777" w:rsidR="00D817FF" w:rsidRPr="00303906" w:rsidRDefault="00D817FF" w:rsidP="00D817FF">
            <w:pPr>
              <w:spacing w:after="0" w:line="240" w:lineRule="auto"/>
              <w:rPr>
                <w:color w:val="92D050"/>
              </w:rPr>
            </w:pPr>
            <w:r w:rsidRPr="00303906">
              <w:rPr>
                <w:color w:val="000000"/>
              </w:rPr>
              <w:t> </w:t>
            </w:r>
          </w:p>
        </w:tc>
        <w:tc>
          <w:tcPr>
            <w:tcW w:w="484" w:type="dxa"/>
            <w:gridSpan w:val="2"/>
            <w:tcBorders>
              <w:top w:val="single" w:sz="8" w:space="0" w:color="auto"/>
              <w:left w:val="nil"/>
              <w:bottom w:val="single" w:sz="8" w:space="0" w:color="auto"/>
              <w:right w:val="single" w:sz="8" w:space="0" w:color="auto"/>
            </w:tcBorders>
            <w:noWrap/>
            <w:vAlign w:val="bottom"/>
            <w:hideMark/>
          </w:tcPr>
          <w:p w14:paraId="72296504" w14:textId="77777777" w:rsidR="00D817FF" w:rsidRPr="00303906" w:rsidRDefault="00D817FF" w:rsidP="00D817FF">
            <w:pPr>
              <w:spacing w:after="0" w:line="240" w:lineRule="auto"/>
              <w:rPr>
                <w:color w:val="000000"/>
              </w:rPr>
            </w:pPr>
            <w:r w:rsidRPr="00303906">
              <w:rPr>
                <w:color w:val="000000"/>
              </w:rPr>
              <w:t> </w:t>
            </w:r>
          </w:p>
        </w:tc>
      </w:tr>
      <w:tr w:rsidR="00D817FF" w:rsidRPr="00575789" w14:paraId="491B1D14" w14:textId="77777777" w:rsidTr="00B331A9">
        <w:trPr>
          <w:trHeight w:val="53"/>
        </w:trPr>
        <w:tc>
          <w:tcPr>
            <w:tcW w:w="2077" w:type="dxa"/>
            <w:gridSpan w:val="3"/>
            <w:vMerge/>
            <w:tcBorders>
              <w:top w:val="single" w:sz="8" w:space="0" w:color="auto"/>
              <w:left w:val="single" w:sz="8" w:space="0" w:color="auto"/>
              <w:bottom w:val="single" w:sz="8" w:space="0" w:color="000000"/>
              <w:right w:val="nil"/>
            </w:tcBorders>
            <w:vAlign w:val="center"/>
            <w:hideMark/>
          </w:tcPr>
          <w:p w14:paraId="7FEF4B6F" w14:textId="77777777" w:rsidR="00D817FF" w:rsidRPr="00303906" w:rsidRDefault="00D817FF" w:rsidP="00D817FF">
            <w:pPr>
              <w:spacing w:after="0" w:line="256" w:lineRule="auto"/>
              <w:rPr>
                <w:b/>
                <w:bCs/>
                <w:color w:val="000000"/>
              </w:rPr>
            </w:pPr>
          </w:p>
        </w:tc>
        <w:tc>
          <w:tcPr>
            <w:tcW w:w="3889" w:type="dxa"/>
            <w:gridSpan w:val="4"/>
            <w:tcBorders>
              <w:top w:val="nil"/>
              <w:left w:val="single" w:sz="8" w:space="0" w:color="auto"/>
              <w:bottom w:val="single" w:sz="8" w:space="0" w:color="auto"/>
              <w:right w:val="single" w:sz="8" w:space="0" w:color="auto"/>
            </w:tcBorders>
            <w:shd w:val="clear" w:color="auto" w:fill="FFFFFF"/>
            <w:noWrap/>
            <w:vAlign w:val="center"/>
            <w:hideMark/>
          </w:tcPr>
          <w:p w14:paraId="1A2DDDDC" w14:textId="77777777" w:rsidR="00D817FF" w:rsidRPr="00303906" w:rsidRDefault="00D817FF" w:rsidP="00D817FF">
            <w:pPr>
              <w:spacing w:after="0" w:line="240" w:lineRule="auto"/>
              <w:rPr>
                <w:color w:val="000000"/>
                <w:sz w:val="20"/>
              </w:rPr>
            </w:pPr>
            <w:r w:rsidRPr="00303906">
              <w:rPr>
                <w:color w:val="000000"/>
                <w:sz w:val="20"/>
              </w:rPr>
              <w:t>License allocations (#2.2)</w:t>
            </w:r>
          </w:p>
        </w:tc>
        <w:tc>
          <w:tcPr>
            <w:tcW w:w="484" w:type="dxa"/>
            <w:tcBorders>
              <w:top w:val="single" w:sz="8" w:space="0" w:color="auto"/>
              <w:left w:val="nil"/>
              <w:bottom w:val="single" w:sz="8" w:space="0" w:color="auto"/>
              <w:right w:val="single" w:sz="8" w:space="0" w:color="auto"/>
            </w:tcBorders>
            <w:noWrap/>
            <w:vAlign w:val="bottom"/>
            <w:hideMark/>
          </w:tcPr>
          <w:p w14:paraId="6CA4F033" w14:textId="77777777" w:rsidR="00D817FF" w:rsidRPr="00303906" w:rsidRDefault="00D817FF" w:rsidP="00D817FF">
            <w:pPr>
              <w:spacing w:after="0" w:line="240" w:lineRule="auto"/>
              <w:rPr>
                <w:color w:val="000000"/>
              </w:rPr>
            </w:pPr>
            <w:r w:rsidRPr="00303906">
              <w:rPr>
                <w:color w:val="000000"/>
              </w:rPr>
              <w:t> </w:t>
            </w:r>
          </w:p>
        </w:tc>
        <w:tc>
          <w:tcPr>
            <w:tcW w:w="484" w:type="dxa"/>
            <w:tcBorders>
              <w:top w:val="single" w:sz="8" w:space="0" w:color="auto"/>
              <w:left w:val="nil"/>
              <w:bottom w:val="single" w:sz="8" w:space="0" w:color="auto"/>
              <w:right w:val="single" w:sz="8" w:space="0" w:color="auto"/>
            </w:tcBorders>
            <w:shd w:val="clear" w:color="auto" w:fill="FF0000"/>
            <w:noWrap/>
            <w:vAlign w:val="bottom"/>
            <w:hideMark/>
          </w:tcPr>
          <w:p w14:paraId="0E9FC5F9" w14:textId="77777777" w:rsidR="00D817FF" w:rsidRPr="00303906" w:rsidRDefault="00D817FF" w:rsidP="00D817FF">
            <w:pPr>
              <w:spacing w:after="0" w:line="240" w:lineRule="auto"/>
              <w:rPr>
                <w:color w:val="000000"/>
              </w:rPr>
            </w:pPr>
            <w:r w:rsidRPr="00303906">
              <w:rPr>
                <w:color w:val="000000"/>
              </w:rPr>
              <w:t> </w:t>
            </w:r>
          </w:p>
        </w:tc>
        <w:tc>
          <w:tcPr>
            <w:tcW w:w="484" w:type="dxa"/>
            <w:tcBorders>
              <w:top w:val="single" w:sz="8" w:space="0" w:color="auto"/>
              <w:left w:val="nil"/>
              <w:bottom w:val="single" w:sz="8" w:space="0" w:color="auto"/>
              <w:right w:val="single" w:sz="8" w:space="0" w:color="auto"/>
            </w:tcBorders>
            <w:shd w:val="clear" w:color="auto" w:fill="auto"/>
            <w:noWrap/>
            <w:vAlign w:val="bottom"/>
            <w:hideMark/>
          </w:tcPr>
          <w:p w14:paraId="227A953C" w14:textId="77777777" w:rsidR="00D817FF" w:rsidRPr="00303906" w:rsidRDefault="00D817FF" w:rsidP="00D817FF">
            <w:pPr>
              <w:spacing w:after="0" w:line="240" w:lineRule="auto"/>
              <w:rPr>
                <w:color w:val="000000"/>
              </w:rPr>
            </w:pPr>
            <w:r w:rsidRPr="00303906">
              <w:rPr>
                <w:color w:val="000000"/>
              </w:rPr>
              <w:t> </w:t>
            </w:r>
          </w:p>
        </w:tc>
        <w:tc>
          <w:tcPr>
            <w:tcW w:w="504" w:type="dxa"/>
            <w:tcBorders>
              <w:top w:val="single" w:sz="8" w:space="0" w:color="auto"/>
              <w:left w:val="nil"/>
              <w:bottom w:val="single" w:sz="8" w:space="0" w:color="auto"/>
              <w:right w:val="single" w:sz="8" w:space="0" w:color="auto"/>
            </w:tcBorders>
            <w:noWrap/>
            <w:vAlign w:val="bottom"/>
            <w:hideMark/>
          </w:tcPr>
          <w:p w14:paraId="53BBE5FA" w14:textId="77777777" w:rsidR="00D817FF" w:rsidRPr="00303906" w:rsidRDefault="00D817FF" w:rsidP="00D817FF">
            <w:pPr>
              <w:spacing w:after="0" w:line="240" w:lineRule="auto"/>
              <w:rPr>
                <w:color w:val="000000"/>
              </w:rPr>
            </w:pPr>
            <w:r w:rsidRPr="00303906">
              <w:rPr>
                <w:color w:val="000000"/>
              </w:rPr>
              <w:t> </w:t>
            </w:r>
          </w:p>
        </w:tc>
        <w:tc>
          <w:tcPr>
            <w:tcW w:w="484" w:type="dxa"/>
            <w:gridSpan w:val="2"/>
            <w:tcBorders>
              <w:top w:val="single" w:sz="8" w:space="0" w:color="auto"/>
              <w:left w:val="nil"/>
              <w:bottom w:val="single" w:sz="8" w:space="0" w:color="auto"/>
              <w:right w:val="single" w:sz="8" w:space="0" w:color="auto"/>
            </w:tcBorders>
            <w:noWrap/>
            <w:vAlign w:val="bottom"/>
            <w:hideMark/>
          </w:tcPr>
          <w:p w14:paraId="6A729716" w14:textId="77777777" w:rsidR="00D817FF" w:rsidRPr="00303906" w:rsidRDefault="00D817FF" w:rsidP="00D817FF">
            <w:pPr>
              <w:spacing w:after="0" w:line="240" w:lineRule="auto"/>
              <w:rPr>
                <w:color w:val="000000"/>
              </w:rPr>
            </w:pPr>
            <w:r w:rsidRPr="00303906">
              <w:rPr>
                <w:color w:val="000000"/>
              </w:rPr>
              <w:t> </w:t>
            </w:r>
          </w:p>
        </w:tc>
      </w:tr>
      <w:tr w:rsidR="00D817FF" w:rsidRPr="00575789" w14:paraId="14DBD60E" w14:textId="77777777" w:rsidTr="00B331A9">
        <w:trPr>
          <w:trHeight w:val="53"/>
        </w:trPr>
        <w:tc>
          <w:tcPr>
            <w:tcW w:w="2077" w:type="dxa"/>
            <w:gridSpan w:val="3"/>
            <w:vMerge/>
            <w:tcBorders>
              <w:top w:val="single" w:sz="8" w:space="0" w:color="auto"/>
              <w:left w:val="single" w:sz="8" w:space="0" w:color="auto"/>
              <w:bottom w:val="single" w:sz="8" w:space="0" w:color="000000"/>
              <w:right w:val="nil"/>
            </w:tcBorders>
            <w:vAlign w:val="center"/>
            <w:hideMark/>
          </w:tcPr>
          <w:p w14:paraId="30376C4C" w14:textId="77777777" w:rsidR="00D817FF" w:rsidRPr="00303906" w:rsidRDefault="00D817FF" w:rsidP="00D817FF">
            <w:pPr>
              <w:spacing w:after="0" w:line="256" w:lineRule="auto"/>
              <w:rPr>
                <w:b/>
                <w:bCs/>
                <w:color w:val="000000"/>
              </w:rPr>
            </w:pPr>
          </w:p>
        </w:tc>
        <w:tc>
          <w:tcPr>
            <w:tcW w:w="3889" w:type="dxa"/>
            <w:gridSpan w:val="4"/>
            <w:tcBorders>
              <w:top w:val="nil"/>
              <w:left w:val="single" w:sz="8" w:space="0" w:color="auto"/>
              <w:bottom w:val="single" w:sz="8" w:space="0" w:color="auto"/>
              <w:right w:val="single" w:sz="8" w:space="0" w:color="auto"/>
            </w:tcBorders>
            <w:shd w:val="clear" w:color="auto" w:fill="FFFFFF"/>
            <w:noWrap/>
            <w:vAlign w:val="center"/>
            <w:hideMark/>
          </w:tcPr>
          <w:p w14:paraId="594265E4" w14:textId="77777777" w:rsidR="00D817FF" w:rsidRPr="00303906" w:rsidRDefault="00D817FF" w:rsidP="00D817FF">
            <w:pPr>
              <w:spacing w:after="0" w:line="240" w:lineRule="auto"/>
              <w:rPr>
                <w:color w:val="000000"/>
                <w:sz w:val="20"/>
              </w:rPr>
            </w:pPr>
            <w:r w:rsidRPr="00303906">
              <w:rPr>
                <w:color w:val="000000"/>
                <w:sz w:val="20"/>
              </w:rPr>
              <w:t>License register (#2.3)</w:t>
            </w:r>
          </w:p>
        </w:tc>
        <w:tc>
          <w:tcPr>
            <w:tcW w:w="484" w:type="dxa"/>
            <w:tcBorders>
              <w:top w:val="single" w:sz="8" w:space="0" w:color="auto"/>
              <w:left w:val="nil"/>
              <w:bottom w:val="single" w:sz="8" w:space="0" w:color="auto"/>
              <w:right w:val="single" w:sz="8" w:space="0" w:color="auto"/>
            </w:tcBorders>
            <w:noWrap/>
            <w:vAlign w:val="bottom"/>
            <w:hideMark/>
          </w:tcPr>
          <w:p w14:paraId="634BC434" w14:textId="77777777" w:rsidR="00D817FF" w:rsidRPr="00303906" w:rsidRDefault="00D817FF" w:rsidP="00D817FF">
            <w:pPr>
              <w:spacing w:after="0" w:line="240" w:lineRule="auto"/>
              <w:rPr>
                <w:color w:val="000000"/>
              </w:rPr>
            </w:pPr>
            <w:r w:rsidRPr="00303906">
              <w:rPr>
                <w:color w:val="000000"/>
              </w:rPr>
              <w:t> </w:t>
            </w:r>
          </w:p>
        </w:tc>
        <w:tc>
          <w:tcPr>
            <w:tcW w:w="484" w:type="dxa"/>
            <w:tcBorders>
              <w:top w:val="single" w:sz="8" w:space="0" w:color="auto"/>
              <w:left w:val="nil"/>
              <w:bottom w:val="single" w:sz="8" w:space="0" w:color="auto"/>
              <w:right w:val="single" w:sz="8" w:space="0" w:color="auto"/>
            </w:tcBorders>
            <w:noWrap/>
            <w:vAlign w:val="bottom"/>
            <w:hideMark/>
          </w:tcPr>
          <w:p w14:paraId="6CB2D9B4" w14:textId="77777777" w:rsidR="00D817FF" w:rsidRPr="00303906" w:rsidRDefault="00D817FF" w:rsidP="00D817FF">
            <w:pPr>
              <w:spacing w:after="0" w:line="240" w:lineRule="auto"/>
              <w:rPr>
                <w:color w:val="000000"/>
              </w:rPr>
            </w:pPr>
            <w:r w:rsidRPr="00303906">
              <w:rPr>
                <w:color w:val="000000"/>
              </w:rPr>
              <w:t> </w:t>
            </w:r>
          </w:p>
        </w:tc>
        <w:tc>
          <w:tcPr>
            <w:tcW w:w="484" w:type="dxa"/>
            <w:tcBorders>
              <w:top w:val="single" w:sz="8" w:space="0" w:color="auto"/>
              <w:left w:val="nil"/>
              <w:bottom w:val="single" w:sz="8" w:space="0" w:color="auto"/>
              <w:right w:val="single" w:sz="8" w:space="0" w:color="auto"/>
            </w:tcBorders>
            <w:shd w:val="clear" w:color="auto" w:fill="FFC000"/>
            <w:noWrap/>
            <w:vAlign w:val="bottom"/>
            <w:hideMark/>
          </w:tcPr>
          <w:p w14:paraId="2456ADED" w14:textId="77777777" w:rsidR="00D817FF" w:rsidRPr="00303906" w:rsidRDefault="00D817FF" w:rsidP="00D817FF">
            <w:pPr>
              <w:spacing w:after="0" w:line="240" w:lineRule="auto"/>
              <w:rPr>
                <w:color w:val="000000"/>
              </w:rPr>
            </w:pPr>
            <w:r w:rsidRPr="00303906">
              <w:rPr>
                <w:color w:val="000000"/>
              </w:rPr>
              <w:t> </w:t>
            </w:r>
          </w:p>
        </w:tc>
        <w:tc>
          <w:tcPr>
            <w:tcW w:w="504" w:type="dxa"/>
            <w:tcBorders>
              <w:top w:val="single" w:sz="8" w:space="0" w:color="auto"/>
              <w:left w:val="nil"/>
              <w:bottom w:val="single" w:sz="8" w:space="0" w:color="auto"/>
              <w:right w:val="single" w:sz="8" w:space="0" w:color="auto"/>
            </w:tcBorders>
            <w:shd w:val="clear" w:color="auto" w:fill="auto"/>
            <w:noWrap/>
            <w:vAlign w:val="bottom"/>
            <w:hideMark/>
          </w:tcPr>
          <w:p w14:paraId="2C5B275A" w14:textId="77777777" w:rsidR="00D817FF" w:rsidRPr="00303906" w:rsidRDefault="00D817FF" w:rsidP="00D817FF">
            <w:pPr>
              <w:spacing w:after="0" w:line="240" w:lineRule="auto"/>
              <w:rPr>
                <w:color w:val="000000"/>
              </w:rPr>
            </w:pPr>
            <w:r w:rsidRPr="00303906">
              <w:rPr>
                <w:color w:val="000000"/>
              </w:rPr>
              <w:t> </w:t>
            </w:r>
          </w:p>
        </w:tc>
        <w:tc>
          <w:tcPr>
            <w:tcW w:w="484" w:type="dxa"/>
            <w:gridSpan w:val="2"/>
            <w:tcBorders>
              <w:top w:val="single" w:sz="8" w:space="0" w:color="auto"/>
              <w:left w:val="nil"/>
              <w:bottom w:val="single" w:sz="8" w:space="0" w:color="auto"/>
              <w:right w:val="single" w:sz="8" w:space="0" w:color="auto"/>
            </w:tcBorders>
            <w:noWrap/>
            <w:vAlign w:val="bottom"/>
            <w:hideMark/>
          </w:tcPr>
          <w:p w14:paraId="400181C2" w14:textId="77777777" w:rsidR="00D817FF" w:rsidRPr="00303906" w:rsidRDefault="00D817FF" w:rsidP="00D817FF">
            <w:pPr>
              <w:spacing w:after="0" w:line="240" w:lineRule="auto"/>
              <w:rPr>
                <w:color w:val="000000"/>
              </w:rPr>
            </w:pPr>
            <w:r w:rsidRPr="00303906">
              <w:rPr>
                <w:color w:val="000000"/>
              </w:rPr>
              <w:t> </w:t>
            </w:r>
          </w:p>
        </w:tc>
      </w:tr>
      <w:tr w:rsidR="00D817FF" w:rsidRPr="00575789" w14:paraId="053C00BD" w14:textId="77777777" w:rsidTr="00303906">
        <w:trPr>
          <w:trHeight w:val="53"/>
        </w:trPr>
        <w:tc>
          <w:tcPr>
            <w:tcW w:w="2077" w:type="dxa"/>
            <w:gridSpan w:val="3"/>
            <w:vMerge/>
            <w:tcBorders>
              <w:top w:val="single" w:sz="8" w:space="0" w:color="auto"/>
              <w:left w:val="single" w:sz="8" w:space="0" w:color="auto"/>
              <w:bottom w:val="single" w:sz="8" w:space="0" w:color="000000"/>
              <w:right w:val="nil"/>
            </w:tcBorders>
            <w:vAlign w:val="center"/>
            <w:hideMark/>
          </w:tcPr>
          <w:p w14:paraId="50AFA41D" w14:textId="77777777" w:rsidR="00D817FF" w:rsidRPr="00303906" w:rsidRDefault="00D817FF" w:rsidP="00D817FF">
            <w:pPr>
              <w:spacing w:after="0" w:line="256" w:lineRule="auto"/>
              <w:rPr>
                <w:b/>
                <w:bCs/>
                <w:color w:val="000000"/>
              </w:rPr>
            </w:pPr>
          </w:p>
        </w:tc>
        <w:tc>
          <w:tcPr>
            <w:tcW w:w="3889" w:type="dxa"/>
            <w:gridSpan w:val="4"/>
            <w:tcBorders>
              <w:top w:val="nil"/>
              <w:left w:val="single" w:sz="8" w:space="0" w:color="auto"/>
              <w:bottom w:val="single" w:sz="8" w:space="0" w:color="auto"/>
              <w:right w:val="single" w:sz="8" w:space="0" w:color="auto"/>
            </w:tcBorders>
            <w:shd w:val="clear" w:color="auto" w:fill="FFFFFF"/>
            <w:noWrap/>
            <w:vAlign w:val="center"/>
            <w:hideMark/>
          </w:tcPr>
          <w:p w14:paraId="7D37BBE1" w14:textId="77777777" w:rsidR="00D817FF" w:rsidRPr="00303906" w:rsidRDefault="00D817FF" w:rsidP="00D817FF">
            <w:pPr>
              <w:spacing w:after="0" w:line="240" w:lineRule="auto"/>
              <w:rPr>
                <w:color w:val="000000"/>
                <w:sz w:val="20"/>
              </w:rPr>
            </w:pPr>
            <w:r w:rsidRPr="00303906">
              <w:rPr>
                <w:color w:val="000000"/>
                <w:sz w:val="20"/>
              </w:rPr>
              <w:t>Policy on contract disclosure (#2.4)</w:t>
            </w:r>
          </w:p>
        </w:tc>
        <w:tc>
          <w:tcPr>
            <w:tcW w:w="484" w:type="dxa"/>
            <w:tcBorders>
              <w:top w:val="single" w:sz="8" w:space="0" w:color="auto"/>
              <w:left w:val="nil"/>
              <w:bottom w:val="single" w:sz="8" w:space="0" w:color="auto"/>
              <w:right w:val="single" w:sz="8" w:space="0" w:color="auto"/>
            </w:tcBorders>
            <w:shd w:val="clear" w:color="auto" w:fill="auto"/>
            <w:noWrap/>
            <w:vAlign w:val="bottom"/>
            <w:hideMark/>
          </w:tcPr>
          <w:p w14:paraId="5E2FB4A7" w14:textId="77777777" w:rsidR="00D817FF" w:rsidRPr="00303906" w:rsidRDefault="00D817FF" w:rsidP="00D817FF">
            <w:pPr>
              <w:spacing w:after="0" w:line="240" w:lineRule="auto"/>
              <w:rPr>
                <w:color w:val="000000"/>
              </w:rPr>
            </w:pPr>
            <w:r w:rsidRPr="00303906">
              <w:rPr>
                <w:color w:val="000000"/>
              </w:rPr>
              <w:t> </w:t>
            </w:r>
          </w:p>
        </w:tc>
        <w:tc>
          <w:tcPr>
            <w:tcW w:w="484" w:type="dxa"/>
            <w:tcBorders>
              <w:top w:val="single" w:sz="8" w:space="0" w:color="auto"/>
              <w:left w:val="nil"/>
              <w:bottom w:val="single" w:sz="8" w:space="0" w:color="auto"/>
              <w:right w:val="single" w:sz="8" w:space="0" w:color="auto"/>
            </w:tcBorders>
            <w:shd w:val="clear" w:color="auto" w:fill="FFFFFF"/>
            <w:noWrap/>
            <w:vAlign w:val="bottom"/>
            <w:hideMark/>
          </w:tcPr>
          <w:p w14:paraId="673245B4" w14:textId="77777777" w:rsidR="00D817FF" w:rsidRPr="00303906" w:rsidRDefault="00D817FF" w:rsidP="00D817FF">
            <w:pPr>
              <w:spacing w:after="0" w:line="240" w:lineRule="auto"/>
              <w:rPr>
                <w:color w:val="000000"/>
              </w:rPr>
            </w:pPr>
            <w:r w:rsidRPr="00303906">
              <w:rPr>
                <w:color w:val="000000"/>
              </w:rPr>
              <w:t> </w:t>
            </w:r>
          </w:p>
        </w:tc>
        <w:tc>
          <w:tcPr>
            <w:tcW w:w="484" w:type="dxa"/>
            <w:tcBorders>
              <w:top w:val="single" w:sz="8" w:space="0" w:color="auto"/>
              <w:left w:val="nil"/>
              <w:bottom w:val="single" w:sz="8" w:space="0" w:color="auto"/>
              <w:right w:val="single" w:sz="8" w:space="0" w:color="auto"/>
            </w:tcBorders>
            <w:shd w:val="clear" w:color="auto" w:fill="FFC000"/>
            <w:noWrap/>
            <w:vAlign w:val="bottom"/>
          </w:tcPr>
          <w:p w14:paraId="0EA8FED5" w14:textId="77777777" w:rsidR="00D817FF" w:rsidRPr="00303906" w:rsidRDefault="00D817FF" w:rsidP="00D817FF">
            <w:pPr>
              <w:spacing w:after="0" w:line="240" w:lineRule="auto"/>
              <w:rPr>
                <w:color w:val="000000"/>
              </w:rPr>
            </w:pPr>
          </w:p>
        </w:tc>
        <w:tc>
          <w:tcPr>
            <w:tcW w:w="504" w:type="dxa"/>
            <w:tcBorders>
              <w:top w:val="single" w:sz="8" w:space="0" w:color="auto"/>
              <w:left w:val="nil"/>
              <w:bottom w:val="single" w:sz="8" w:space="0" w:color="auto"/>
              <w:right w:val="single" w:sz="8" w:space="0" w:color="auto"/>
            </w:tcBorders>
            <w:shd w:val="clear" w:color="auto" w:fill="auto"/>
            <w:noWrap/>
            <w:vAlign w:val="bottom"/>
            <w:hideMark/>
          </w:tcPr>
          <w:p w14:paraId="0444EF33" w14:textId="77777777" w:rsidR="00D817FF" w:rsidRPr="00303906" w:rsidRDefault="00D817FF" w:rsidP="00D817FF">
            <w:pPr>
              <w:spacing w:after="0" w:line="240" w:lineRule="auto"/>
              <w:rPr>
                <w:color w:val="000000"/>
              </w:rPr>
            </w:pPr>
            <w:r w:rsidRPr="00303906">
              <w:rPr>
                <w:color w:val="000000"/>
              </w:rPr>
              <w:t> </w:t>
            </w:r>
          </w:p>
        </w:tc>
        <w:tc>
          <w:tcPr>
            <w:tcW w:w="484" w:type="dxa"/>
            <w:gridSpan w:val="2"/>
            <w:tcBorders>
              <w:top w:val="single" w:sz="8" w:space="0" w:color="auto"/>
              <w:left w:val="nil"/>
              <w:bottom w:val="single" w:sz="8" w:space="0" w:color="auto"/>
              <w:right w:val="single" w:sz="8" w:space="0" w:color="auto"/>
            </w:tcBorders>
            <w:shd w:val="clear" w:color="auto" w:fill="auto"/>
            <w:noWrap/>
            <w:vAlign w:val="bottom"/>
            <w:hideMark/>
          </w:tcPr>
          <w:p w14:paraId="63992562" w14:textId="77777777" w:rsidR="00D817FF" w:rsidRPr="00303906" w:rsidRDefault="00D817FF" w:rsidP="00D817FF">
            <w:pPr>
              <w:spacing w:after="0" w:line="240" w:lineRule="auto"/>
              <w:rPr>
                <w:color w:val="000000"/>
              </w:rPr>
            </w:pPr>
            <w:r w:rsidRPr="00303906">
              <w:rPr>
                <w:color w:val="000000"/>
              </w:rPr>
              <w:t> </w:t>
            </w:r>
          </w:p>
        </w:tc>
      </w:tr>
      <w:tr w:rsidR="00D817FF" w:rsidRPr="00575789" w14:paraId="12D9E475" w14:textId="77777777" w:rsidTr="00B331A9">
        <w:trPr>
          <w:trHeight w:val="53"/>
        </w:trPr>
        <w:tc>
          <w:tcPr>
            <w:tcW w:w="2077" w:type="dxa"/>
            <w:gridSpan w:val="3"/>
            <w:vMerge/>
            <w:tcBorders>
              <w:top w:val="single" w:sz="8" w:space="0" w:color="auto"/>
              <w:left w:val="single" w:sz="8" w:space="0" w:color="auto"/>
              <w:bottom w:val="single" w:sz="8" w:space="0" w:color="000000"/>
              <w:right w:val="nil"/>
            </w:tcBorders>
            <w:vAlign w:val="center"/>
            <w:hideMark/>
          </w:tcPr>
          <w:p w14:paraId="69F507DB" w14:textId="77777777" w:rsidR="00D817FF" w:rsidRPr="00303906" w:rsidRDefault="00D817FF" w:rsidP="00D817FF">
            <w:pPr>
              <w:spacing w:after="0" w:line="256" w:lineRule="auto"/>
              <w:rPr>
                <w:b/>
                <w:bCs/>
                <w:color w:val="000000"/>
              </w:rPr>
            </w:pPr>
          </w:p>
        </w:tc>
        <w:tc>
          <w:tcPr>
            <w:tcW w:w="3889" w:type="dxa"/>
            <w:gridSpan w:val="4"/>
            <w:tcBorders>
              <w:top w:val="nil"/>
              <w:left w:val="single" w:sz="8" w:space="0" w:color="auto"/>
              <w:bottom w:val="single" w:sz="8" w:space="0" w:color="auto"/>
              <w:right w:val="single" w:sz="8" w:space="0" w:color="auto"/>
            </w:tcBorders>
            <w:shd w:val="clear" w:color="auto" w:fill="FFFFFF"/>
            <w:noWrap/>
            <w:vAlign w:val="center"/>
            <w:hideMark/>
          </w:tcPr>
          <w:p w14:paraId="783B5B69" w14:textId="77777777" w:rsidR="00D817FF" w:rsidRPr="00303906" w:rsidRDefault="00D817FF" w:rsidP="00D817FF">
            <w:pPr>
              <w:spacing w:after="0" w:line="240" w:lineRule="auto"/>
              <w:rPr>
                <w:color w:val="000000"/>
                <w:sz w:val="20"/>
              </w:rPr>
            </w:pPr>
            <w:r w:rsidRPr="00303906">
              <w:rPr>
                <w:color w:val="000000"/>
                <w:sz w:val="20"/>
              </w:rPr>
              <w:t>Beneficial ownership (#2.5)</w:t>
            </w:r>
          </w:p>
        </w:tc>
        <w:tc>
          <w:tcPr>
            <w:tcW w:w="484" w:type="dxa"/>
            <w:tcBorders>
              <w:top w:val="nil"/>
              <w:left w:val="nil"/>
              <w:bottom w:val="single" w:sz="8" w:space="0" w:color="auto"/>
              <w:right w:val="single" w:sz="8" w:space="0" w:color="auto"/>
            </w:tcBorders>
            <w:shd w:val="clear" w:color="auto" w:fill="D9D9D9"/>
            <w:noWrap/>
            <w:vAlign w:val="bottom"/>
            <w:hideMark/>
          </w:tcPr>
          <w:p w14:paraId="182EB8D8" w14:textId="77777777" w:rsidR="00D817FF" w:rsidRPr="00303906" w:rsidRDefault="00D817FF" w:rsidP="00D817FF">
            <w:pPr>
              <w:spacing w:after="0" w:line="240" w:lineRule="auto"/>
              <w:rPr>
                <w:color w:val="000000"/>
              </w:rPr>
            </w:pPr>
            <w:r w:rsidRPr="00303906">
              <w:rPr>
                <w:color w:val="000000"/>
              </w:rPr>
              <w:t> </w:t>
            </w:r>
          </w:p>
        </w:tc>
        <w:tc>
          <w:tcPr>
            <w:tcW w:w="484" w:type="dxa"/>
            <w:tcBorders>
              <w:top w:val="nil"/>
              <w:left w:val="nil"/>
              <w:bottom w:val="single" w:sz="8" w:space="0" w:color="auto"/>
              <w:right w:val="single" w:sz="8" w:space="0" w:color="auto"/>
            </w:tcBorders>
            <w:shd w:val="clear" w:color="auto" w:fill="D9D9D9"/>
            <w:noWrap/>
            <w:vAlign w:val="bottom"/>
            <w:hideMark/>
          </w:tcPr>
          <w:p w14:paraId="5375E6F2" w14:textId="77777777" w:rsidR="00D817FF" w:rsidRPr="00303906" w:rsidRDefault="00D817FF" w:rsidP="00D817FF">
            <w:pPr>
              <w:spacing w:after="0" w:line="240" w:lineRule="auto"/>
              <w:rPr>
                <w:color w:val="000000"/>
              </w:rPr>
            </w:pPr>
            <w:r w:rsidRPr="00303906">
              <w:rPr>
                <w:color w:val="000000"/>
              </w:rPr>
              <w:t> </w:t>
            </w:r>
          </w:p>
        </w:tc>
        <w:tc>
          <w:tcPr>
            <w:tcW w:w="484" w:type="dxa"/>
            <w:tcBorders>
              <w:top w:val="nil"/>
              <w:left w:val="nil"/>
              <w:bottom w:val="single" w:sz="8" w:space="0" w:color="auto"/>
              <w:right w:val="single" w:sz="8" w:space="0" w:color="auto"/>
            </w:tcBorders>
            <w:shd w:val="clear" w:color="auto" w:fill="D9D9D9"/>
            <w:noWrap/>
            <w:vAlign w:val="bottom"/>
            <w:hideMark/>
          </w:tcPr>
          <w:p w14:paraId="6D29BFC2" w14:textId="77777777" w:rsidR="00D817FF" w:rsidRPr="00303906" w:rsidRDefault="00D817FF" w:rsidP="00D817FF">
            <w:pPr>
              <w:spacing w:after="0" w:line="240" w:lineRule="auto"/>
              <w:rPr>
                <w:color w:val="000000"/>
              </w:rPr>
            </w:pPr>
            <w:r w:rsidRPr="00303906">
              <w:rPr>
                <w:color w:val="000000"/>
              </w:rPr>
              <w:t> </w:t>
            </w:r>
          </w:p>
        </w:tc>
        <w:tc>
          <w:tcPr>
            <w:tcW w:w="504" w:type="dxa"/>
            <w:tcBorders>
              <w:top w:val="nil"/>
              <w:left w:val="nil"/>
              <w:bottom w:val="single" w:sz="8" w:space="0" w:color="auto"/>
              <w:right w:val="single" w:sz="8" w:space="0" w:color="auto"/>
            </w:tcBorders>
            <w:shd w:val="clear" w:color="auto" w:fill="D9D9D9"/>
            <w:noWrap/>
            <w:vAlign w:val="bottom"/>
            <w:hideMark/>
          </w:tcPr>
          <w:p w14:paraId="75AE5A41" w14:textId="77777777" w:rsidR="00D817FF" w:rsidRPr="00303906" w:rsidRDefault="00D817FF" w:rsidP="00D817FF">
            <w:pPr>
              <w:spacing w:after="0" w:line="240" w:lineRule="auto"/>
              <w:rPr>
                <w:color w:val="000000"/>
              </w:rPr>
            </w:pPr>
            <w:r w:rsidRPr="00303906">
              <w:rPr>
                <w:color w:val="000000"/>
              </w:rPr>
              <w:t> </w:t>
            </w:r>
          </w:p>
        </w:tc>
        <w:tc>
          <w:tcPr>
            <w:tcW w:w="484" w:type="dxa"/>
            <w:gridSpan w:val="2"/>
            <w:tcBorders>
              <w:top w:val="nil"/>
              <w:left w:val="nil"/>
              <w:bottom w:val="single" w:sz="8" w:space="0" w:color="auto"/>
              <w:right w:val="single" w:sz="8" w:space="0" w:color="auto"/>
            </w:tcBorders>
            <w:shd w:val="clear" w:color="auto" w:fill="D9D9D9"/>
            <w:noWrap/>
            <w:vAlign w:val="bottom"/>
            <w:hideMark/>
          </w:tcPr>
          <w:p w14:paraId="3CC9554B" w14:textId="77777777" w:rsidR="00D817FF" w:rsidRPr="00303906" w:rsidRDefault="00D817FF" w:rsidP="00D817FF">
            <w:pPr>
              <w:spacing w:after="0" w:line="240" w:lineRule="auto"/>
              <w:rPr>
                <w:color w:val="000000"/>
              </w:rPr>
            </w:pPr>
            <w:r w:rsidRPr="00303906">
              <w:rPr>
                <w:color w:val="000000"/>
              </w:rPr>
              <w:t> </w:t>
            </w:r>
          </w:p>
        </w:tc>
      </w:tr>
      <w:tr w:rsidR="00D817FF" w:rsidRPr="00575789" w14:paraId="2D080B1A" w14:textId="77777777" w:rsidTr="00303906">
        <w:trPr>
          <w:trHeight w:val="300"/>
        </w:trPr>
        <w:tc>
          <w:tcPr>
            <w:tcW w:w="2077" w:type="dxa"/>
            <w:gridSpan w:val="3"/>
            <w:vMerge/>
            <w:tcBorders>
              <w:top w:val="single" w:sz="8" w:space="0" w:color="auto"/>
              <w:left w:val="single" w:sz="8" w:space="0" w:color="auto"/>
              <w:bottom w:val="single" w:sz="8" w:space="0" w:color="000000"/>
              <w:right w:val="nil"/>
            </w:tcBorders>
            <w:vAlign w:val="center"/>
            <w:hideMark/>
          </w:tcPr>
          <w:p w14:paraId="4C1E178C" w14:textId="77777777" w:rsidR="00D817FF" w:rsidRPr="00303906" w:rsidRDefault="00D817FF" w:rsidP="00D817FF">
            <w:pPr>
              <w:spacing w:after="0" w:line="256" w:lineRule="auto"/>
              <w:rPr>
                <w:b/>
                <w:bCs/>
                <w:color w:val="000000"/>
              </w:rPr>
            </w:pPr>
          </w:p>
        </w:tc>
        <w:tc>
          <w:tcPr>
            <w:tcW w:w="3889" w:type="dxa"/>
            <w:gridSpan w:val="4"/>
            <w:tcBorders>
              <w:top w:val="nil"/>
              <w:left w:val="single" w:sz="8" w:space="0" w:color="auto"/>
              <w:bottom w:val="single" w:sz="8" w:space="0" w:color="auto"/>
              <w:right w:val="single" w:sz="8" w:space="0" w:color="auto"/>
            </w:tcBorders>
            <w:shd w:val="clear" w:color="auto" w:fill="FFFFFF"/>
            <w:noWrap/>
            <w:vAlign w:val="center"/>
            <w:hideMark/>
          </w:tcPr>
          <w:p w14:paraId="397A34CB" w14:textId="77777777" w:rsidR="00D817FF" w:rsidRPr="00303906" w:rsidRDefault="00D817FF" w:rsidP="00D817FF">
            <w:pPr>
              <w:spacing w:after="0" w:line="240" w:lineRule="auto"/>
              <w:rPr>
                <w:color w:val="000000"/>
                <w:sz w:val="20"/>
              </w:rPr>
            </w:pPr>
            <w:r w:rsidRPr="00303906">
              <w:rPr>
                <w:color w:val="000000"/>
                <w:sz w:val="20"/>
              </w:rPr>
              <w:t>State participation (#2.6)</w:t>
            </w:r>
          </w:p>
        </w:tc>
        <w:tc>
          <w:tcPr>
            <w:tcW w:w="484" w:type="dxa"/>
            <w:tcBorders>
              <w:top w:val="single" w:sz="8" w:space="0" w:color="auto"/>
              <w:left w:val="nil"/>
              <w:bottom w:val="single" w:sz="8" w:space="0" w:color="auto"/>
              <w:right w:val="single" w:sz="8" w:space="0" w:color="auto"/>
            </w:tcBorders>
            <w:shd w:val="clear" w:color="auto" w:fill="FFFFFF"/>
            <w:noWrap/>
            <w:vAlign w:val="bottom"/>
            <w:hideMark/>
          </w:tcPr>
          <w:p w14:paraId="20482EE8" w14:textId="77777777" w:rsidR="00D817FF" w:rsidRPr="00303906" w:rsidRDefault="00D817FF" w:rsidP="00D817FF">
            <w:pPr>
              <w:spacing w:after="0" w:line="240" w:lineRule="auto"/>
              <w:rPr>
                <w:color w:val="000000"/>
              </w:rPr>
            </w:pPr>
            <w:r w:rsidRPr="00303906">
              <w:rPr>
                <w:color w:val="000000"/>
              </w:rPr>
              <w:t> </w:t>
            </w:r>
          </w:p>
        </w:tc>
        <w:tc>
          <w:tcPr>
            <w:tcW w:w="484" w:type="dxa"/>
            <w:tcBorders>
              <w:top w:val="single" w:sz="8" w:space="0" w:color="auto"/>
              <w:left w:val="nil"/>
              <w:bottom w:val="single" w:sz="8" w:space="0" w:color="auto"/>
              <w:right w:val="single" w:sz="8" w:space="0" w:color="auto"/>
            </w:tcBorders>
            <w:shd w:val="clear" w:color="auto" w:fill="FF0000"/>
            <w:noWrap/>
            <w:vAlign w:val="bottom"/>
            <w:hideMark/>
          </w:tcPr>
          <w:p w14:paraId="0C3C47FC" w14:textId="77777777" w:rsidR="00D817FF" w:rsidRPr="00303906" w:rsidRDefault="00D817FF" w:rsidP="00D817FF">
            <w:pPr>
              <w:spacing w:after="0" w:line="240" w:lineRule="auto"/>
              <w:rPr>
                <w:color w:val="000000"/>
              </w:rPr>
            </w:pPr>
            <w:r w:rsidRPr="00303906">
              <w:rPr>
                <w:color w:val="000000"/>
              </w:rPr>
              <w:t> </w:t>
            </w:r>
          </w:p>
        </w:tc>
        <w:tc>
          <w:tcPr>
            <w:tcW w:w="484" w:type="dxa"/>
            <w:tcBorders>
              <w:top w:val="single" w:sz="8" w:space="0" w:color="auto"/>
              <w:left w:val="nil"/>
              <w:bottom w:val="single" w:sz="8" w:space="0" w:color="auto"/>
              <w:right w:val="single" w:sz="8" w:space="0" w:color="auto"/>
            </w:tcBorders>
            <w:shd w:val="clear" w:color="auto" w:fill="auto"/>
            <w:noWrap/>
            <w:vAlign w:val="bottom"/>
            <w:hideMark/>
          </w:tcPr>
          <w:p w14:paraId="7FA24FE1" w14:textId="77777777" w:rsidR="00D817FF" w:rsidRPr="00303906" w:rsidRDefault="00D817FF" w:rsidP="00D817FF">
            <w:pPr>
              <w:spacing w:after="0" w:line="240" w:lineRule="auto"/>
              <w:rPr>
                <w:color w:val="000000"/>
              </w:rPr>
            </w:pPr>
            <w:r w:rsidRPr="00303906">
              <w:rPr>
                <w:color w:val="000000"/>
              </w:rPr>
              <w:t> </w:t>
            </w:r>
          </w:p>
        </w:tc>
        <w:tc>
          <w:tcPr>
            <w:tcW w:w="504" w:type="dxa"/>
            <w:tcBorders>
              <w:top w:val="single" w:sz="8" w:space="0" w:color="auto"/>
              <w:left w:val="nil"/>
              <w:bottom w:val="single" w:sz="8" w:space="0" w:color="auto"/>
              <w:right w:val="single" w:sz="8" w:space="0" w:color="auto"/>
            </w:tcBorders>
            <w:shd w:val="clear" w:color="auto" w:fill="FFFFFF"/>
            <w:noWrap/>
            <w:vAlign w:val="bottom"/>
            <w:hideMark/>
          </w:tcPr>
          <w:p w14:paraId="10DF79EE" w14:textId="77777777" w:rsidR="00D817FF" w:rsidRPr="00303906" w:rsidRDefault="00D817FF" w:rsidP="00D817FF">
            <w:pPr>
              <w:spacing w:after="0" w:line="240" w:lineRule="auto"/>
              <w:rPr>
                <w:color w:val="000000"/>
              </w:rPr>
            </w:pPr>
            <w:r w:rsidRPr="00303906">
              <w:rPr>
                <w:color w:val="000000"/>
              </w:rPr>
              <w:t> </w:t>
            </w:r>
          </w:p>
        </w:tc>
        <w:tc>
          <w:tcPr>
            <w:tcW w:w="484" w:type="dxa"/>
            <w:gridSpan w:val="2"/>
            <w:tcBorders>
              <w:top w:val="single" w:sz="8" w:space="0" w:color="auto"/>
              <w:left w:val="nil"/>
              <w:bottom w:val="single" w:sz="8" w:space="0" w:color="auto"/>
              <w:right w:val="single" w:sz="8" w:space="0" w:color="auto"/>
            </w:tcBorders>
            <w:shd w:val="clear" w:color="auto" w:fill="FFFFFF"/>
            <w:noWrap/>
            <w:vAlign w:val="bottom"/>
            <w:hideMark/>
          </w:tcPr>
          <w:p w14:paraId="6855576E" w14:textId="77777777" w:rsidR="00D817FF" w:rsidRPr="00303906" w:rsidRDefault="00D817FF" w:rsidP="00D817FF">
            <w:pPr>
              <w:spacing w:after="0" w:line="240" w:lineRule="auto"/>
              <w:rPr>
                <w:color w:val="000000"/>
              </w:rPr>
            </w:pPr>
            <w:r w:rsidRPr="00303906">
              <w:rPr>
                <w:color w:val="000000"/>
              </w:rPr>
              <w:t> </w:t>
            </w:r>
          </w:p>
        </w:tc>
      </w:tr>
      <w:tr w:rsidR="00D817FF" w:rsidRPr="00575789" w14:paraId="64DA4063" w14:textId="77777777" w:rsidTr="00303906">
        <w:trPr>
          <w:trHeight w:val="337"/>
        </w:trPr>
        <w:tc>
          <w:tcPr>
            <w:tcW w:w="2077" w:type="dxa"/>
            <w:gridSpan w:val="3"/>
            <w:vMerge w:val="restart"/>
            <w:tcBorders>
              <w:top w:val="single" w:sz="8" w:space="0" w:color="auto"/>
              <w:left w:val="single" w:sz="8" w:space="0" w:color="auto"/>
              <w:bottom w:val="single" w:sz="8" w:space="0" w:color="000000"/>
              <w:right w:val="single" w:sz="8" w:space="0" w:color="000000"/>
            </w:tcBorders>
            <w:shd w:val="clear" w:color="auto" w:fill="BFBFBF"/>
            <w:noWrap/>
            <w:vAlign w:val="center"/>
            <w:hideMark/>
          </w:tcPr>
          <w:p w14:paraId="289EACC1" w14:textId="77777777" w:rsidR="00D817FF" w:rsidRPr="00303906" w:rsidRDefault="00D817FF" w:rsidP="00D817FF">
            <w:pPr>
              <w:spacing w:after="0" w:line="240" w:lineRule="auto"/>
              <w:rPr>
                <w:b/>
                <w:bCs/>
                <w:color w:val="000000"/>
              </w:rPr>
            </w:pPr>
            <w:r w:rsidRPr="00303906">
              <w:rPr>
                <w:b/>
                <w:bCs/>
                <w:color w:val="000000"/>
              </w:rPr>
              <w:t>Monitoring production</w:t>
            </w:r>
          </w:p>
        </w:tc>
        <w:tc>
          <w:tcPr>
            <w:tcW w:w="3889" w:type="dxa"/>
            <w:gridSpan w:val="4"/>
            <w:tcBorders>
              <w:top w:val="nil"/>
              <w:left w:val="single" w:sz="8" w:space="0" w:color="auto"/>
              <w:bottom w:val="single" w:sz="8" w:space="0" w:color="auto"/>
              <w:right w:val="single" w:sz="8" w:space="0" w:color="auto"/>
            </w:tcBorders>
            <w:shd w:val="clear" w:color="auto" w:fill="FFFFFF"/>
            <w:noWrap/>
            <w:vAlign w:val="center"/>
            <w:hideMark/>
          </w:tcPr>
          <w:p w14:paraId="6A562674" w14:textId="77777777" w:rsidR="00D817FF" w:rsidRPr="00303906" w:rsidRDefault="00D817FF" w:rsidP="00D817FF">
            <w:pPr>
              <w:spacing w:after="0" w:line="240" w:lineRule="auto"/>
              <w:rPr>
                <w:color w:val="000000"/>
                <w:sz w:val="20"/>
              </w:rPr>
            </w:pPr>
            <w:r w:rsidRPr="00303906">
              <w:rPr>
                <w:color w:val="000000"/>
                <w:sz w:val="20"/>
              </w:rPr>
              <w:t>Exploration data (#3.1)</w:t>
            </w:r>
          </w:p>
        </w:tc>
        <w:tc>
          <w:tcPr>
            <w:tcW w:w="484" w:type="dxa"/>
            <w:tcBorders>
              <w:top w:val="single" w:sz="8" w:space="0" w:color="auto"/>
              <w:left w:val="nil"/>
              <w:bottom w:val="single" w:sz="8" w:space="0" w:color="auto"/>
              <w:right w:val="single" w:sz="8" w:space="0" w:color="auto"/>
            </w:tcBorders>
            <w:shd w:val="clear" w:color="auto" w:fill="FFFFFF"/>
            <w:noWrap/>
            <w:vAlign w:val="bottom"/>
            <w:hideMark/>
          </w:tcPr>
          <w:p w14:paraId="060E0EC7" w14:textId="77777777" w:rsidR="00D817FF" w:rsidRPr="00303906" w:rsidRDefault="00D817FF" w:rsidP="00D817FF">
            <w:pPr>
              <w:spacing w:after="0" w:line="240" w:lineRule="auto"/>
              <w:rPr>
                <w:color w:val="000000"/>
              </w:rPr>
            </w:pPr>
            <w:r w:rsidRPr="00303906">
              <w:rPr>
                <w:color w:val="000000"/>
              </w:rPr>
              <w:t> </w:t>
            </w:r>
          </w:p>
        </w:tc>
        <w:tc>
          <w:tcPr>
            <w:tcW w:w="484" w:type="dxa"/>
            <w:tcBorders>
              <w:top w:val="single" w:sz="8" w:space="0" w:color="auto"/>
              <w:left w:val="nil"/>
              <w:bottom w:val="single" w:sz="8" w:space="0" w:color="auto"/>
              <w:right w:val="single" w:sz="8" w:space="0" w:color="auto"/>
            </w:tcBorders>
            <w:shd w:val="clear" w:color="auto" w:fill="FFFFFF"/>
            <w:noWrap/>
            <w:vAlign w:val="bottom"/>
            <w:hideMark/>
          </w:tcPr>
          <w:p w14:paraId="6459AB94" w14:textId="77777777" w:rsidR="00D817FF" w:rsidRPr="00303906" w:rsidRDefault="00D817FF" w:rsidP="00D817FF">
            <w:pPr>
              <w:spacing w:after="0" w:line="240" w:lineRule="auto"/>
              <w:rPr>
                <w:color w:val="000000"/>
              </w:rPr>
            </w:pPr>
            <w:r w:rsidRPr="00303906">
              <w:rPr>
                <w:color w:val="000000"/>
              </w:rPr>
              <w:t> </w:t>
            </w:r>
          </w:p>
        </w:tc>
        <w:tc>
          <w:tcPr>
            <w:tcW w:w="484" w:type="dxa"/>
            <w:tcBorders>
              <w:top w:val="single" w:sz="8" w:space="0" w:color="auto"/>
              <w:left w:val="nil"/>
              <w:bottom w:val="single" w:sz="8" w:space="0" w:color="auto"/>
              <w:right w:val="single" w:sz="8" w:space="0" w:color="auto"/>
            </w:tcBorders>
            <w:shd w:val="clear" w:color="auto" w:fill="FFFFFF"/>
            <w:noWrap/>
            <w:vAlign w:val="bottom"/>
            <w:hideMark/>
          </w:tcPr>
          <w:p w14:paraId="5F182AF3" w14:textId="77777777" w:rsidR="00D817FF" w:rsidRPr="00303906" w:rsidRDefault="00D817FF" w:rsidP="00D817FF">
            <w:pPr>
              <w:spacing w:after="0" w:line="240" w:lineRule="auto"/>
              <w:rPr>
                <w:color w:val="000000"/>
              </w:rPr>
            </w:pPr>
            <w:r w:rsidRPr="00303906">
              <w:rPr>
                <w:color w:val="000000"/>
              </w:rPr>
              <w:t> </w:t>
            </w:r>
          </w:p>
        </w:tc>
        <w:tc>
          <w:tcPr>
            <w:tcW w:w="504" w:type="dxa"/>
            <w:tcBorders>
              <w:top w:val="single" w:sz="8" w:space="0" w:color="auto"/>
              <w:left w:val="nil"/>
              <w:bottom w:val="single" w:sz="8" w:space="0" w:color="auto"/>
              <w:right w:val="single" w:sz="8" w:space="0" w:color="auto"/>
            </w:tcBorders>
            <w:shd w:val="clear" w:color="auto" w:fill="92D050"/>
            <w:noWrap/>
            <w:vAlign w:val="bottom"/>
            <w:hideMark/>
          </w:tcPr>
          <w:p w14:paraId="3D34927B" w14:textId="77777777" w:rsidR="00D817FF" w:rsidRPr="00303906" w:rsidRDefault="00D817FF" w:rsidP="00D817FF">
            <w:pPr>
              <w:spacing w:after="0" w:line="240" w:lineRule="auto"/>
              <w:rPr>
                <w:color w:val="000000"/>
              </w:rPr>
            </w:pPr>
            <w:r w:rsidRPr="00303906">
              <w:rPr>
                <w:color w:val="000000"/>
              </w:rPr>
              <w:t> </w:t>
            </w:r>
          </w:p>
        </w:tc>
        <w:tc>
          <w:tcPr>
            <w:tcW w:w="484" w:type="dxa"/>
            <w:gridSpan w:val="2"/>
            <w:tcBorders>
              <w:top w:val="single" w:sz="8" w:space="0" w:color="auto"/>
              <w:left w:val="nil"/>
              <w:bottom w:val="single" w:sz="8" w:space="0" w:color="auto"/>
              <w:right w:val="single" w:sz="8" w:space="0" w:color="auto"/>
            </w:tcBorders>
            <w:shd w:val="clear" w:color="auto" w:fill="FFFFFF"/>
            <w:noWrap/>
            <w:vAlign w:val="bottom"/>
            <w:hideMark/>
          </w:tcPr>
          <w:p w14:paraId="24E4493C" w14:textId="77777777" w:rsidR="00D817FF" w:rsidRPr="00303906" w:rsidRDefault="00D817FF" w:rsidP="00D817FF">
            <w:pPr>
              <w:spacing w:after="0" w:line="240" w:lineRule="auto"/>
              <w:rPr>
                <w:color w:val="000000"/>
              </w:rPr>
            </w:pPr>
            <w:r w:rsidRPr="00303906">
              <w:rPr>
                <w:color w:val="000000"/>
              </w:rPr>
              <w:t> </w:t>
            </w:r>
          </w:p>
        </w:tc>
      </w:tr>
      <w:tr w:rsidR="00D817FF" w:rsidRPr="00575789" w14:paraId="2A652528" w14:textId="77777777" w:rsidTr="00303906">
        <w:trPr>
          <w:trHeight w:val="300"/>
        </w:trPr>
        <w:tc>
          <w:tcPr>
            <w:tcW w:w="2077" w:type="dxa"/>
            <w:gridSpan w:val="3"/>
            <w:vMerge/>
            <w:tcBorders>
              <w:top w:val="single" w:sz="8" w:space="0" w:color="auto"/>
              <w:left w:val="single" w:sz="8" w:space="0" w:color="auto"/>
              <w:bottom w:val="single" w:sz="8" w:space="0" w:color="000000"/>
              <w:right w:val="single" w:sz="8" w:space="0" w:color="000000"/>
            </w:tcBorders>
            <w:vAlign w:val="center"/>
            <w:hideMark/>
          </w:tcPr>
          <w:p w14:paraId="23E4FBA5" w14:textId="77777777" w:rsidR="00D817FF" w:rsidRPr="00303906" w:rsidRDefault="00D817FF" w:rsidP="00D817FF">
            <w:pPr>
              <w:spacing w:after="0" w:line="256" w:lineRule="auto"/>
              <w:rPr>
                <w:b/>
                <w:bCs/>
                <w:color w:val="000000"/>
              </w:rPr>
            </w:pPr>
          </w:p>
        </w:tc>
        <w:tc>
          <w:tcPr>
            <w:tcW w:w="3889" w:type="dxa"/>
            <w:gridSpan w:val="4"/>
            <w:tcBorders>
              <w:top w:val="nil"/>
              <w:left w:val="single" w:sz="8" w:space="0" w:color="auto"/>
              <w:bottom w:val="single" w:sz="8" w:space="0" w:color="auto"/>
              <w:right w:val="single" w:sz="8" w:space="0" w:color="auto"/>
            </w:tcBorders>
            <w:shd w:val="clear" w:color="auto" w:fill="FFFFFF"/>
            <w:noWrap/>
            <w:vAlign w:val="center"/>
            <w:hideMark/>
          </w:tcPr>
          <w:p w14:paraId="2296AF14" w14:textId="77777777" w:rsidR="00D817FF" w:rsidRPr="00303906" w:rsidRDefault="00D817FF" w:rsidP="00D817FF">
            <w:pPr>
              <w:spacing w:after="0" w:line="240" w:lineRule="auto"/>
              <w:rPr>
                <w:color w:val="000000"/>
                <w:sz w:val="20"/>
              </w:rPr>
            </w:pPr>
            <w:r w:rsidRPr="00303906">
              <w:rPr>
                <w:color w:val="000000"/>
                <w:sz w:val="20"/>
              </w:rPr>
              <w:t>Production data (#3.2)</w:t>
            </w:r>
          </w:p>
        </w:tc>
        <w:tc>
          <w:tcPr>
            <w:tcW w:w="484" w:type="dxa"/>
            <w:tcBorders>
              <w:top w:val="single" w:sz="8" w:space="0" w:color="auto"/>
              <w:left w:val="nil"/>
              <w:bottom w:val="single" w:sz="8" w:space="0" w:color="auto"/>
              <w:right w:val="single" w:sz="8" w:space="0" w:color="auto"/>
            </w:tcBorders>
            <w:shd w:val="clear" w:color="auto" w:fill="FFFFFF"/>
            <w:noWrap/>
            <w:vAlign w:val="bottom"/>
            <w:hideMark/>
          </w:tcPr>
          <w:p w14:paraId="09C74658" w14:textId="77777777" w:rsidR="00D817FF" w:rsidRPr="00303906" w:rsidRDefault="00D817FF" w:rsidP="00D817FF">
            <w:pPr>
              <w:spacing w:after="0" w:line="240" w:lineRule="auto"/>
              <w:rPr>
                <w:color w:val="000000"/>
              </w:rPr>
            </w:pPr>
            <w:r w:rsidRPr="00303906">
              <w:rPr>
                <w:color w:val="000000"/>
              </w:rPr>
              <w:t> </w:t>
            </w:r>
          </w:p>
        </w:tc>
        <w:tc>
          <w:tcPr>
            <w:tcW w:w="484" w:type="dxa"/>
            <w:tcBorders>
              <w:top w:val="single" w:sz="8" w:space="0" w:color="auto"/>
              <w:left w:val="nil"/>
              <w:bottom w:val="single" w:sz="8" w:space="0" w:color="auto"/>
              <w:right w:val="single" w:sz="8" w:space="0" w:color="auto"/>
            </w:tcBorders>
            <w:shd w:val="clear" w:color="auto" w:fill="FF0000"/>
            <w:noWrap/>
            <w:vAlign w:val="bottom"/>
            <w:hideMark/>
          </w:tcPr>
          <w:p w14:paraId="3CE25AA9" w14:textId="77777777" w:rsidR="00D817FF" w:rsidRPr="00303906" w:rsidRDefault="00D817FF" w:rsidP="00D817FF">
            <w:pPr>
              <w:spacing w:after="0" w:line="240" w:lineRule="auto"/>
              <w:rPr>
                <w:color w:val="000000"/>
              </w:rPr>
            </w:pPr>
            <w:r w:rsidRPr="00303906">
              <w:rPr>
                <w:color w:val="000000"/>
              </w:rPr>
              <w:t> </w:t>
            </w:r>
          </w:p>
        </w:tc>
        <w:tc>
          <w:tcPr>
            <w:tcW w:w="484" w:type="dxa"/>
            <w:tcBorders>
              <w:top w:val="single" w:sz="8" w:space="0" w:color="auto"/>
              <w:left w:val="nil"/>
              <w:bottom w:val="single" w:sz="8" w:space="0" w:color="auto"/>
              <w:right w:val="single" w:sz="8" w:space="0" w:color="auto"/>
            </w:tcBorders>
            <w:shd w:val="clear" w:color="auto" w:fill="FFFFFF"/>
            <w:noWrap/>
            <w:vAlign w:val="bottom"/>
            <w:hideMark/>
          </w:tcPr>
          <w:p w14:paraId="52BCE42E" w14:textId="77777777" w:rsidR="00D817FF" w:rsidRPr="00303906" w:rsidRDefault="00D817FF" w:rsidP="00D817FF">
            <w:pPr>
              <w:spacing w:after="0" w:line="240" w:lineRule="auto"/>
              <w:rPr>
                <w:color w:val="000000"/>
              </w:rPr>
            </w:pPr>
            <w:r w:rsidRPr="00303906">
              <w:rPr>
                <w:color w:val="000000"/>
              </w:rPr>
              <w:t> </w:t>
            </w:r>
          </w:p>
        </w:tc>
        <w:tc>
          <w:tcPr>
            <w:tcW w:w="504" w:type="dxa"/>
            <w:tcBorders>
              <w:top w:val="single" w:sz="8" w:space="0" w:color="auto"/>
              <w:left w:val="nil"/>
              <w:bottom w:val="single" w:sz="8" w:space="0" w:color="auto"/>
              <w:right w:val="single" w:sz="8" w:space="0" w:color="auto"/>
            </w:tcBorders>
            <w:shd w:val="clear" w:color="auto" w:fill="FFFFFF"/>
            <w:noWrap/>
            <w:vAlign w:val="bottom"/>
            <w:hideMark/>
          </w:tcPr>
          <w:p w14:paraId="338A89EF" w14:textId="77777777" w:rsidR="00D817FF" w:rsidRPr="00303906" w:rsidRDefault="00D817FF" w:rsidP="00D817FF">
            <w:pPr>
              <w:spacing w:after="0" w:line="240" w:lineRule="auto"/>
              <w:rPr>
                <w:color w:val="000000"/>
              </w:rPr>
            </w:pPr>
            <w:r w:rsidRPr="00303906">
              <w:rPr>
                <w:color w:val="000000"/>
              </w:rPr>
              <w:t> </w:t>
            </w:r>
          </w:p>
        </w:tc>
        <w:tc>
          <w:tcPr>
            <w:tcW w:w="484" w:type="dxa"/>
            <w:gridSpan w:val="2"/>
            <w:tcBorders>
              <w:top w:val="single" w:sz="8" w:space="0" w:color="auto"/>
              <w:left w:val="nil"/>
              <w:bottom w:val="single" w:sz="8" w:space="0" w:color="auto"/>
              <w:right w:val="single" w:sz="8" w:space="0" w:color="auto"/>
            </w:tcBorders>
            <w:shd w:val="clear" w:color="auto" w:fill="auto"/>
            <w:noWrap/>
            <w:vAlign w:val="bottom"/>
            <w:hideMark/>
          </w:tcPr>
          <w:p w14:paraId="64DA6BC4" w14:textId="77777777" w:rsidR="00D817FF" w:rsidRPr="00303906" w:rsidRDefault="00D817FF" w:rsidP="00D817FF">
            <w:pPr>
              <w:spacing w:after="0" w:line="240" w:lineRule="auto"/>
              <w:rPr>
                <w:color w:val="000000"/>
              </w:rPr>
            </w:pPr>
            <w:r w:rsidRPr="00303906">
              <w:rPr>
                <w:color w:val="000000"/>
              </w:rPr>
              <w:t> </w:t>
            </w:r>
          </w:p>
        </w:tc>
      </w:tr>
      <w:tr w:rsidR="00D817FF" w:rsidRPr="00575789" w14:paraId="3E642922" w14:textId="77777777" w:rsidTr="00303906">
        <w:trPr>
          <w:trHeight w:val="354"/>
        </w:trPr>
        <w:tc>
          <w:tcPr>
            <w:tcW w:w="2077" w:type="dxa"/>
            <w:gridSpan w:val="3"/>
            <w:vMerge/>
            <w:tcBorders>
              <w:top w:val="single" w:sz="8" w:space="0" w:color="auto"/>
              <w:left w:val="single" w:sz="8" w:space="0" w:color="auto"/>
              <w:bottom w:val="single" w:sz="8" w:space="0" w:color="000000"/>
              <w:right w:val="single" w:sz="8" w:space="0" w:color="000000"/>
            </w:tcBorders>
            <w:vAlign w:val="center"/>
            <w:hideMark/>
          </w:tcPr>
          <w:p w14:paraId="054F390A" w14:textId="77777777" w:rsidR="00D817FF" w:rsidRPr="00303906" w:rsidRDefault="00D817FF" w:rsidP="00D817FF">
            <w:pPr>
              <w:spacing w:after="0" w:line="256" w:lineRule="auto"/>
              <w:rPr>
                <w:b/>
                <w:bCs/>
                <w:color w:val="000000"/>
              </w:rPr>
            </w:pPr>
          </w:p>
        </w:tc>
        <w:tc>
          <w:tcPr>
            <w:tcW w:w="3889" w:type="dxa"/>
            <w:gridSpan w:val="4"/>
            <w:tcBorders>
              <w:top w:val="nil"/>
              <w:left w:val="single" w:sz="8" w:space="0" w:color="auto"/>
              <w:bottom w:val="single" w:sz="8" w:space="0" w:color="auto"/>
              <w:right w:val="single" w:sz="8" w:space="0" w:color="auto"/>
            </w:tcBorders>
            <w:shd w:val="clear" w:color="auto" w:fill="FFFFFF"/>
            <w:noWrap/>
            <w:vAlign w:val="center"/>
            <w:hideMark/>
          </w:tcPr>
          <w:p w14:paraId="4B4BEF60" w14:textId="77777777" w:rsidR="00D817FF" w:rsidRPr="00303906" w:rsidRDefault="00D817FF" w:rsidP="00D817FF">
            <w:pPr>
              <w:spacing w:after="0" w:line="240" w:lineRule="auto"/>
              <w:rPr>
                <w:color w:val="000000"/>
                <w:sz w:val="20"/>
              </w:rPr>
            </w:pPr>
            <w:r w:rsidRPr="00303906">
              <w:rPr>
                <w:color w:val="000000"/>
                <w:sz w:val="20"/>
              </w:rPr>
              <w:t>Export data (#3.3)</w:t>
            </w:r>
          </w:p>
        </w:tc>
        <w:tc>
          <w:tcPr>
            <w:tcW w:w="484" w:type="dxa"/>
            <w:tcBorders>
              <w:top w:val="single" w:sz="8" w:space="0" w:color="auto"/>
              <w:left w:val="nil"/>
              <w:bottom w:val="single" w:sz="8" w:space="0" w:color="auto"/>
              <w:right w:val="single" w:sz="8" w:space="0" w:color="auto"/>
            </w:tcBorders>
            <w:shd w:val="clear" w:color="auto" w:fill="FFFFFF"/>
            <w:noWrap/>
            <w:vAlign w:val="bottom"/>
            <w:hideMark/>
          </w:tcPr>
          <w:p w14:paraId="3B2B1F4D" w14:textId="77777777" w:rsidR="00D817FF" w:rsidRPr="00303906" w:rsidRDefault="00D817FF" w:rsidP="00D817FF">
            <w:pPr>
              <w:spacing w:after="0" w:line="240" w:lineRule="auto"/>
              <w:rPr>
                <w:color w:val="000000"/>
              </w:rPr>
            </w:pPr>
            <w:r w:rsidRPr="00303906">
              <w:rPr>
                <w:color w:val="000000"/>
              </w:rPr>
              <w:t> </w:t>
            </w:r>
          </w:p>
        </w:tc>
        <w:tc>
          <w:tcPr>
            <w:tcW w:w="484" w:type="dxa"/>
            <w:tcBorders>
              <w:top w:val="single" w:sz="8" w:space="0" w:color="auto"/>
              <w:left w:val="nil"/>
              <w:bottom w:val="single" w:sz="8" w:space="0" w:color="auto"/>
              <w:right w:val="single" w:sz="8" w:space="0" w:color="auto"/>
            </w:tcBorders>
            <w:shd w:val="clear" w:color="auto" w:fill="FF0000"/>
            <w:noWrap/>
            <w:vAlign w:val="bottom"/>
            <w:hideMark/>
          </w:tcPr>
          <w:p w14:paraId="005C9642" w14:textId="77777777" w:rsidR="00D817FF" w:rsidRPr="00303906" w:rsidRDefault="00D817FF" w:rsidP="00D817FF">
            <w:pPr>
              <w:spacing w:after="0" w:line="240" w:lineRule="auto"/>
              <w:rPr>
                <w:color w:val="000000"/>
              </w:rPr>
            </w:pPr>
            <w:r w:rsidRPr="00303906">
              <w:rPr>
                <w:color w:val="000000"/>
              </w:rPr>
              <w:t> </w:t>
            </w:r>
          </w:p>
        </w:tc>
        <w:tc>
          <w:tcPr>
            <w:tcW w:w="484" w:type="dxa"/>
            <w:tcBorders>
              <w:top w:val="single" w:sz="8" w:space="0" w:color="auto"/>
              <w:left w:val="nil"/>
              <w:bottom w:val="single" w:sz="8" w:space="0" w:color="auto"/>
              <w:right w:val="single" w:sz="8" w:space="0" w:color="auto"/>
            </w:tcBorders>
            <w:shd w:val="clear" w:color="auto" w:fill="FFFFFF"/>
            <w:noWrap/>
            <w:vAlign w:val="bottom"/>
            <w:hideMark/>
          </w:tcPr>
          <w:p w14:paraId="7AFD07D0" w14:textId="77777777" w:rsidR="00D817FF" w:rsidRPr="00303906" w:rsidRDefault="00D817FF" w:rsidP="00D817FF">
            <w:pPr>
              <w:spacing w:after="0" w:line="240" w:lineRule="auto"/>
              <w:rPr>
                <w:color w:val="000000"/>
              </w:rPr>
            </w:pPr>
            <w:r w:rsidRPr="00303906">
              <w:rPr>
                <w:color w:val="000000"/>
              </w:rPr>
              <w:t> </w:t>
            </w:r>
          </w:p>
        </w:tc>
        <w:tc>
          <w:tcPr>
            <w:tcW w:w="504" w:type="dxa"/>
            <w:tcBorders>
              <w:top w:val="single" w:sz="8" w:space="0" w:color="auto"/>
              <w:left w:val="nil"/>
              <w:bottom w:val="single" w:sz="8" w:space="0" w:color="auto"/>
              <w:right w:val="single" w:sz="8" w:space="0" w:color="auto"/>
            </w:tcBorders>
            <w:shd w:val="clear" w:color="auto" w:fill="auto"/>
            <w:noWrap/>
            <w:vAlign w:val="bottom"/>
            <w:hideMark/>
          </w:tcPr>
          <w:p w14:paraId="5821AC5A" w14:textId="77777777" w:rsidR="00D817FF" w:rsidRPr="00303906" w:rsidRDefault="00D817FF" w:rsidP="00D817FF">
            <w:pPr>
              <w:spacing w:after="0" w:line="240" w:lineRule="auto"/>
              <w:rPr>
                <w:color w:val="000000"/>
              </w:rPr>
            </w:pPr>
            <w:r w:rsidRPr="00303906">
              <w:rPr>
                <w:color w:val="000000"/>
              </w:rPr>
              <w:t> </w:t>
            </w:r>
          </w:p>
        </w:tc>
        <w:tc>
          <w:tcPr>
            <w:tcW w:w="484" w:type="dxa"/>
            <w:gridSpan w:val="2"/>
            <w:tcBorders>
              <w:top w:val="single" w:sz="8" w:space="0" w:color="auto"/>
              <w:left w:val="nil"/>
              <w:bottom w:val="single" w:sz="8" w:space="0" w:color="auto"/>
              <w:right w:val="single" w:sz="8" w:space="0" w:color="auto"/>
            </w:tcBorders>
            <w:shd w:val="clear" w:color="auto" w:fill="FFFFFF"/>
            <w:noWrap/>
            <w:vAlign w:val="bottom"/>
            <w:hideMark/>
          </w:tcPr>
          <w:p w14:paraId="1EDDCF3D" w14:textId="77777777" w:rsidR="00D817FF" w:rsidRPr="00303906" w:rsidRDefault="00D817FF" w:rsidP="00D817FF">
            <w:pPr>
              <w:spacing w:after="0" w:line="240" w:lineRule="auto"/>
              <w:rPr>
                <w:color w:val="000000"/>
              </w:rPr>
            </w:pPr>
            <w:r w:rsidRPr="00303906">
              <w:rPr>
                <w:color w:val="000000"/>
              </w:rPr>
              <w:t> </w:t>
            </w:r>
          </w:p>
        </w:tc>
      </w:tr>
      <w:tr w:rsidR="00D817FF" w:rsidRPr="00575789" w14:paraId="3F4B54A7" w14:textId="77777777" w:rsidTr="00303906">
        <w:trPr>
          <w:trHeight w:val="53"/>
        </w:trPr>
        <w:tc>
          <w:tcPr>
            <w:tcW w:w="2077" w:type="dxa"/>
            <w:gridSpan w:val="3"/>
            <w:vMerge w:val="restart"/>
            <w:tcBorders>
              <w:top w:val="single" w:sz="8" w:space="0" w:color="auto"/>
              <w:left w:val="single" w:sz="8" w:space="0" w:color="auto"/>
              <w:bottom w:val="single" w:sz="8" w:space="0" w:color="000000"/>
              <w:right w:val="nil"/>
            </w:tcBorders>
            <w:shd w:val="clear" w:color="auto" w:fill="BFBFBF"/>
            <w:noWrap/>
            <w:vAlign w:val="center"/>
            <w:hideMark/>
          </w:tcPr>
          <w:p w14:paraId="238ACC41" w14:textId="77777777" w:rsidR="00D817FF" w:rsidRPr="00303906" w:rsidRDefault="00D817FF" w:rsidP="00D817FF">
            <w:pPr>
              <w:spacing w:after="0" w:line="240" w:lineRule="auto"/>
              <w:rPr>
                <w:b/>
                <w:bCs/>
                <w:color w:val="000000"/>
              </w:rPr>
            </w:pPr>
            <w:r w:rsidRPr="00303906">
              <w:rPr>
                <w:b/>
                <w:bCs/>
                <w:color w:val="000000"/>
              </w:rPr>
              <w:t>Revenue collection</w:t>
            </w:r>
          </w:p>
        </w:tc>
        <w:tc>
          <w:tcPr>
            <w:tcW w:w="3889" w:type="dxa"/>
            <w:gridSpan w:val="4"/>
            <w:tcBorders>
              <w:top w:val="nil"/>
              <w:left w:val="single" w:sz="8" w:space="0" w:color="auto"/>
              <w:bottom w:val="single" w:sz="8" w:space="0" w:color="auto"/>
              <w:right w:val="single" w:sz="8" w:space="0" w:color="auto"/>
            </w:tcBorders>
            <w:shd w:val="clear" w:color="auto" w:fill="FFFFFF"/>
            <w:noWrap/>
            <w:vAlign w:val="center"/>
            <w:hideMark/>
          </w:tcPr>
          <w:p w14:paraId="1ECA975B" w14:textId="77777777" w:rsidR="00D817FF" w:rsidRPr="00303906" w:rsidRDefault="00D817FF" w:rsidP="00D817FF">
            <w:pPr>
              <w:spacing w:after="0" w:line="240" w:lineRule="auto"/>
              <w:rPr>
                <w:color w:val="000000"/>
                <w:sz w:val="20"/>
              </w:rPr>
            </w:pPr>
            <w:r w:rsidRPr="00303906">
              <w:rPr>
                <w:color w:val="000000"/>
                <w:sz w:val="20"/>
              </w:rPr>
              <w:t>Comprehensiveness (#4.1)</w:t>
            </w:r>
          </w:p>
        </w:tc>
        <w:tc>
          <w:tcPr>
            <w:tcW w:w="484" w:type="dxa"/>
            <w:tcBorders>
              <w:top w:val="single" w:sz="8" w:space="0" w:color="auto"/>
              <w:left w:val="nil"/>
              <w:bottom w:val="single" w:sz="8" w:space="0" w:color="auto"/>
              <w:right w:val="single" w:sz="8" w:space="0" w:color="auto"/>
            </w:tcBorders>
            <w:shd w:val="clear" w:color="auto" w:fill="FFFFFF"/>
            <w:noWrap/>
            <w:vAlign w:val="bottom"/>
            <w:hideMark/>
          </w:tcPr>
          <w:p w14:paraId="5D1D4B4F" w14:textId="77777777" w:rsidR="00D817FF" w:rsidRPr="00303906" w:rsidRDefault="00D817FF" w:rsidP="00D817FF">
            <w:pPr>
              <w:spacing w:after="0" w:line="240" w:lineRule="auto"/>
              <w:rPr>
                <w:color w:val="000000"/>
              </w:rPr>
            </w:pPr>
            <w:r w:rsidRPr="00303906">
              <w:rPr>
                <w:color w:val="000000"/>
              </w:rPr>
              <w:t> </w:t>
            </w:r>
          </w:p>
        </w:tc>
        <w:tc>
          <w:tcPr>
            <w:tcW w:w="484" w:type="dxa"/>
            <w:tcBorders>
              <w:top w:val="single" w:sz="8" w:space="0" w:color="auto"/>
              <w:left w:val="nil"/>
              <w:bottom w:val="single" w:sz="8" w:space="0" w:color="auto"/>
              <w:right w:val="single" w:sz="8" w:space="0" w:color="auto"/>
            </w:tcBorders>
            <w:shd w:val="clear" w:color="auto" w:fill="FFFFFF"/>
            <w:noWrap/>
            <w:vAlign w:val="bottom"/>
            <w:hideMark/>
          </w:tcPr>
          <w:p w14:paraId="47DEF9F4" w14:textId="77777777" w:rsidR="00D817FF" w:rsidRPr="00303906" w:rsidRDefault="00D817FF" w:rsidP="00D817FF">
            <w:pPr>
              <w:spacing w:after="0" w:line="240" w:lineRule="auto"/>
              <w:rPr>
                <w:color w:val="000000"/>
              </w:rPr>
            </w:pPr>
            <w:r w:rsidRPr="00303906">
              <w:rPr>
                <w:color w:val="000000"/>
              </w:rPr>
              <w:t> </w:t>
            </w:r>
          </w:p>
        </w:tc>
        <w:tc>
          <w:tcPr>
            <w:tcW w:w="484" w:type="dxa"/>
            <w:tcBorders>
              <w:top w:val="single" w:sz="8" w:space="0" w:color="auto"/>
              <w:left w:val="nil"/>
              <w:bottom w:val="single" w:sz="8" w:space="0" w:color="auto"/>
              <w:right w:val="single" w:sz="8" w:space="0" w:color="auto"/>
            </w:tcBorders>
            <w:shd w:val="clear" w:color="auto" w:fill="FFC000"/>
            <w:noWrap/>
            <w:vAlign w:val="bottom"/>
            <w:hideMark/>
          </w:tcPr>
          <w:p w14:paraId="5027E0D4" w14:textId="77777777" w:rsidR="00D817FF" w:rsidRPr="00303906" w:rsidRDefault="00D817FF" w:rsidP="00D817FF">
            <w:pPr>
              <w:spacing w:after="0" w:line="240" w:lineRule="auto"/>
              <w:rPr>
                <w:color w:val="000000"/>
              </w:rPr>
            </w:pPr>
            <w:r w:rsidRPr="00303906">
              <w:rPr>
                <w:color w:val="000000"/>
              </w:rPr>
              <w:t> </w:t>
            </w:r>
          </w:p>
        </w:tc>
        <w:tc>
          <w:tcPr>
            <w:tcW w:w="504" w:type="dxa"/>
            <w:tcBorders>
              <w:top w:val="single" w:sz="8" w:space="0" w:color="auto"/>
              <w:left w:val="nil"/>
              <w:bottom w:val="single" w:sz="8" w:space="0" w:color="auto"/>
              <w:right w:val="single" w:sz="8" w:space="0" w:color="auto"/>
            </w:tcBorders>
            <w:shd w:val="clear" w:color="auto" w:fill="FFFFFF"/>
            <w:noWrap/>
            <w:vAlign w:val="bottom"/>
            <w:hideMark/>
          </w:tcPr>
          <w:p w14:paraId="24E90108" w14:textId="77777777" w:rsidR="00D817FF" w:rsidRPr="00303906" w:rsidRDefault="00D817FF" w:rsidP="00D817FF">
            <w:pPr>
              <w:spacing w:after="0" w:line="240" w:lineRule="auto"/>
              <w:rPr>
                <w:color w:val="000000"/>
              </w:rPr>
            </w:pPr>
            <w:r w:rsidRPr="00303906">
              <w:rPr>
                <w:color w:val="000000"/>
              </w:rPr>
              <w:t> </w:t>
            </w:r>
          </w:p>
        </w:tc>
        <w:tc>
          <w:tcPr>
            <w:tcW w:w="484" w:type="dxa"/>
            <w:gridSpan w:val="2"/>
            <w:tcBorders>
              <w:top w:val="single" w:sz="8" w:space="0" w:color="auto"/>
              <w:left w:val="nil"/>
              <w:bottom w:val="single" w:sz="8" w:space="0" w:color="auto"/>
              <w:right w:val="single" w:sz="8" w:space="0" w:color="auto"/>
            </w:tcBorders>
            <w:shd w:val="clear" w:color="auto" w:fill="FFFFFF"/>
            <w:noWrap/>
            <w:vAlign w:val="bottom"/>
            <w:hideMark/>
          </w:tcPr>
          <w:p w14:paraId="19D9457C" w14:textId="77777777" w:rsidR="00D817FF" w:rsidRPr="00303906" w:rsidRDefault="00D817FF" w:rsidP="00D817FF">
            <w:pPr>
              <w:spacing w:after="0" w:line="240" w:lineRule="auto"/>
              <w:rPr>
                <w:color w:val="000000"/>
              </w:rPr>
            </w:pPr>
            <w:r w:rsidRPr="00303906">
              <w:rPr>
                <w:color w:val="000000"/>
              </w:rPr>
              <w:t> </w:t>
            </w:r>
          </w:p>
        </w:tc>
      </w:tr>
      <w:tr w:rsidR="00D817FF" w:rsidRPr="00575789" w14:paraId="683D32BA" w14:textId="77777777" w:rsidTr="00303906">
        <w:trPr>
          <w:trHeight w:val="53"/>
        </w:trPr>
        <w:tc>
          <w:tcPr>
            <w:tcW w:w="2077" w:type="dxa"/>
            <w:gridSpan w:val="3"/>
            <w:vMerge/>
            <w:tcBorders>
              <w:top w:val="single" w:sz="8" w:space="0" w:color="auto"/>
              <w:left w:val="single" w:sz="8" w:space="0" w:color="auto"/>
              <w:bottom w:val="single" w:sz="8" w:space="0" w:color="000000"/>
              <w:right w:val="nil"/>
            </w:tcBorders>
            <w:vAlign w:val="center"/>
            <w:hideMark/>
          </w:tcPr>
          <w:p w14:paraId="47FB63C2" w14:textId="77777777" w:rsidR="00D817FF" w:rsidRPr="00303906" w:rsidRDefault="00D817FF" w:rsidP="00D817FF">
            <w:pPr>
              <w:spacing w:after="0" w:line="256" w:lineRule="auto"/>
              <w:rPr>
                <w:b/>
                <w:bCs/>
                <w:color w:val="000000"/>
              </w:rPr>
            </w:pPr>
          </w:p>
        </w:tc>
        <w:tc>
          <w:tcPr>
            <w:tcW w:w="3889" w:type="dxa"/>
            <w:gridSpan w:val="4"/>
            <w:tcBorders>
              <w:top w:val="nil"/>
              <w:left w:val="single" w:sz="8" w:space="0" w:color="auto"/>
              <w:bottom w:val="single" w:sz="8" w:space="0" w:color="auto"/>
              <w:right w:val="single" w:sz="8" w:space="0" w:color="auto"/>
            </w:tcBorders>
            <w:shd w:val="clear" w:color="auto" w:fill="FFFFFF"/>
            <w:noWrap/>
            <w:vAlign w:val="center"/>
            <w:hideMark/>
          </w:tcPr>
          <w:p w14:paraId="122EE232" w14:textId="77777777" w:rsidR="00D817FF" w:rsidRPr="00303906" w:rsidRDefault="00D817FF" w:rsidP="00D817FF">
            <w:pPr>
              <w:spacing w:after="0" w:line="240" w:lineRule="auto"/>
              <w:rPr>
                <w:color w:val="000000"/>
                <w:sz w:val="20"/>
              </w:rPr>
            </w:pPr>
            <w:r w:rsidRPr="00303906">
              <w:rPr>
                <w:color w:val="000000"/>
                <w:sz w:val="20"/>
              </w:rPr>
              <w:t>In-kind revenues (#4.2)</w:t>
            </w:r>
          </w:p>
        </w:tc>
        <w:tc>
          <w:tcPr>
            <w:tcW w:w="484" w:type="dxa"/>
            <w:tcBorders>
              <w:top w:val="single" w:sz="8" w:space="0" w:color="auto"/>
              <w:left w:val="nil"/>
              <w:bottom w:val="single" w:sz="8" w:space="0" w:color="auto"/>
              <w:right w:val="single" w:sz="8" w:space="0" w:color="auto"/>
            </w:tcBorders>
            <w:shd w:val="clear" w:color="auto" w:fill="000000"/>
            <w:noWrap/>
            <w:vAlign w:val="bottom"/>
            <w:hideMark/>
          </w:tcPr>
          <w:p w14:paraId="2BA84E0A" w14:textId="77777777" w:rsidR="00D817FF" w:rsidRPr="00303906" w:rsidRDefault="00D817FF" w:rsidP="00D817FF">
            <w:pPr>
              <w:spacing w:after="0" w:line="240" w:lineRule="auto"/>
              <w:rPr>
                <w:color w:val="000000"/>
              </w:rPr>
            </w:pPr>
            <w:r w:rsidRPr="00303906">
              <w:rPr>
                <w:color w:val="000000"/>
              </w:rPr>
              <w:t> </w:t>
            </w:r>
          </w:p>
        </w:tc>
        <w:tc>
          <w:tcPr>
            <w:tcW w:w="484" w:type="dxa"/>
            <w:tcBorders>
              <w:top w:val="single" w:sz="8" w:space="0" w:color="auto"/>
              <w:left w:val="nil"/>
              <w:bottom w:val="single" w:sz="8" w:space="0" w:color="auto"/>
              <w:right w:val="single" w:sz="8" w:space="0" w:color="auto"/>
            </w:tcBorders>
            <w:shd w:val="clear" w:color="auto" w:fill="auto"/>
            <w:noWrap/>
            <w:vAlign w:val="bottom"/>
            <w:hideMark/>
          </w:tcPr>
          <w:p w14:paraId="72C6A01C" w14:textId="77777777" w:rsidR="00D817FF" w:rsidRPr="00303906" w:rsidRDefault="00D817FF" w:rsidP="00D817FF">
            <w:pPr>
              <w:spacing w:after="0" w:line="240" w:lineRule="auto"/>
              <w:rPr>
                <w:color w:val="000000"/>
              </w:rPr>
            </w:pPr>
            <w:r w:rsidRPr="00303906">
              <w:rPr>
                <w:color w:val="000000"/>
              </w:rPr>
              <w:t> </w:t>
            </w:r>
          </w:p>
        </w:tc>
        <w:tc>
          <w:tcPr>
            <w:tcW w:w="484" w:type="dxa"/>
            <w:tcBorders>
              <w:top w:val="single" w:sz="8" w:space="0" w:color="auto"/>
              <w:left w:val="nil"/>
              <w:bottom w:val="single" w:sz="8" w:space="0" w:color="auto"/>
              <w:right w:val="single" w:sz="8" w:space="0" w:color="auto"/>
            </w:tcBorders>
            <w:shd w:val="clear" w:color="auto" w:fill="auto"/>
            <w:noWrap/>
            <w:vAlign w:val="center"/>
            <w:hideMark/>
          </w:tcPr>
          <w:p w14:paraId="48F94124" w14:textId="77777777" w:rsidR="00D817FF" w:rsidRPr="00303906" w:rsidRDefault="00D817FF" w:rsidP="00D817FF">
            <w:pPr>
              <w:spacing w:after="0" w:line="240" w:lineRule="auto"/>
              <w:jc w:val="center"/>
              <w:rPr>
                <w:color w:val="00B050"/>
              </w:rPr>
            </w:pPr>
            <w:r w:rsidRPr="00303906">
              <w:rPr>
                <w:color w:val="00B050"/>
              </w:rPr>
              <w:t> </w:t>
            </w:r>
          </w:p>
        </w:tc>
        <w:tc>
          <w:tcPr>
            <w:tcW w:w="50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44DC5F" w14:textId="77777777" w:rsidR="00D817FF" w:rsidRPr="00303906" w:rsidRDefault="00D817FF" w:rsidP="00D817FF">
            <w:pPr>
              <w:spacing w:after="0" w:line="240" w:lineRule="auto"/>
              <w:jc w:val="center"/>
              <w:rPr>
                <w:color w:val="00B050"/>
              </w:rPr>
            </w:pPr>
            <w:r w:rsidRPr="00303906">
              <w:rPr>
                <w:color w:val="00B050"/>
              </w:rPr>
              <w:t> </w:t>
            </w:r>
          </w:p>
        </w:tc>
        <w:tc>
          <w:tcPr>
            <w:tcW w:w="484"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C6D744" w14:textId="77777777" w:rsidR="00D817FF" w:rsidRPr="00303906" w:rsidRDefault="00D817FF" w:rsidP="00D817FF">
            <w:pPr>
              <w:spacing w:after="0" w:line="240" w:lineRule="auto"/>
              <w:jc w:val="center"/>
              <w:rPr>
                <w:color w:val="00B050"/>
              </w:rPr>
            </w:pPr>
            <w:r w:rsidRPr="00303906">
              <w:rPr>
                <w:color w:val="00B050"/>
              </w:rPr>
              <w:t> </w:t>
            </w:r>
          </w:p>
        </w:tc>
      </w:tr>
      <w:tr w:rsidR="00D817FF" w:rsidRPr="00575789" w14:paraId="016D5230" w14:textId="77777777" w:rsidTr="00303906">
        <w:trPr>
          <w:trHeight w:val="77"/>
        </w:trPr>
        <w:tc>
          <w:tcPr>
            <w:tcW w:w="2077" w:type="dxa"/>
            <w:gridSpan w:val="3"/>
            <w:vMerge/>
            <w:tcBorders>
              <w:top w:val="single" w:sz="8" w:space="0" w:color="auto"/>
              <w:left w:val="single" w:sz="8" w:space="0" w:color="auto"/>
              <w:bottom w:val="single" w:sz="8" w:space="0" w:color="000000"/>
              <w:right w:val="nil"/>
            </w:tcBorders>
            <w:vAlign w:val="center"/>
            <w:hideMark/>
          </w:tcPr>
          <w:p w14:paraId="0ED0007C" w14:textId="77777777" w:rsidR="00D817FF" w:rsidRPr="00303906" w:rsidRDefault="00D817FF" w:rsidP="00D817FF">
            <w:pPr>
              <w:spacing w:after="0" w:line="256" w:lineRule="auto"/>
              <w:rPr>
                <w:b/>
                <w:bCs/>
                <w:color w:val="000000"/>
              </w:rPr>
            </w:pPr>
          </w:p>
        </w:tc>
        <w:tc>
          <w:tcPr>
            <w:tcW w:w="3889" w:type="dxa"/>
            <w:gridSpan w:val="4"/>
            <w:tcBorders>
              <w:top w:val="nil"/>
              <w:left w:val="single" w:sz="8" w:space="0" w:color="auto"/>
              <w:bottom w:val="single" w:sz="8" w:space="0" w:color="auto"/>
              <w:right w:val="single" w:sz="8" w:space="0" w:color="auto"/>
            </w:tcBorders>
            <w:shd w:val="clear" w:color="auto" w:fill="FFFFFF"/>
            <w:noWrap/>
            <w:vAlign w:val="center"/>
            <w:hideMark/>
          </w:tcPr>
          <w:p w14:paraId="5CAF52A3" w14:textId="77777777" w:rsidR="00D817FF" w:rsidRPr="00303906" w:rsidRDefault="00D817FF" w:rsidP="00D817FF">
            <w:pPr>
              <w:spacing w:after="0" w:line="240" w:lineRule="auto"/>
              <w:rPr>
                <w:color w:val="000000"/>
                <w:sz w:val="20"/>
              </w:rPr>
            </w:pPr>
            <w:r w:rsidRPr="00303906">
              <w:rPr>
                <w:color w:val="000000"/>
                <w:sz w:val="20"/>
              </w:rPr>
              <w:t>Barter agreements (#4.3)</w:t>
            </w:r>
          </w:p>
        </w:tc>
        <w:tc>
          <w:tcPr>
            <w:tcW w:w="484" w:type="dxa"/>
            <w:tcBorders>
              <w:top w:val="single" w:sz="8" w:space="0" w:color="auto"/>
              <w:left w:val="nil"/>
              <w:bottom w:val="single" w:sz="8" w:space="0" w:color="auto"/>
              <w:right w:val="single" w:sz="8" w:space="0" w:color="auto"/>
            </w:tcBorders>
            <w:shd w:val="clear" w:color="auto" w:fill="FFFFFF"/>
            <w:noWrap/>
            <w:vAlign w:val="bottom"/>
            <w:hideMark/>
          </w:tcPr>
          <w:p w14:paraId="4D021CE4" w14:textId="77777777" w:rsidR="00D817FF" w:rsidRPr="00303906" w:rsidRDefault="00D817FF" w:rsidP="00D817FF">
            <w:pPr>
              <w:spacing w:after="0" w:line="240" w:lineRule="auto"/>
              <w:rPr>
                <w:color w:val="000000"/>
              </w:rPr>
            </w:pPr>
            <w:r w:rsidRPr="00303906">
              <w:rPr>
                <w:color w:val="000000"/>
              </w:rPr>
              <w:t> </w:t>
            </w:r>
          </w:p>
        </w:tc>
        <w:tc>
          <w:tcPr>
            <w:tcW w:w="484" w:type="dxa"/>
            <w:tcBorders>
              <w:top w:val="single" w:sz="8" w:space="0" w:color="auto"/>
              <w:left w:val="nil"/>
              <w:bottom w:val="single" w:sz="8" w:space="0" w:color="auto"/>
              <w:right w:val="single" w:sz="8" w:space="0" w:color="auto"/>
            </w:tcBorders>
            <w:shd w:val="clear" w:color="auto" w:fill="FF0000"/>
            <w:noWrap/>
            <w:vAlign w:val="bottom"/>
            <w:hideMark/>
          </w:tcPr>
          <w:p w14:paraId="651B4353" w14:textId="77777777" w:rsidR="00D817FF" w:rsidRPr="00303906" w:rsidRDefault="00D817FF" w:rsidP="00D817FF">
            <w:pPr>
              <w:spacing w:after="0" w:line="240" w:lineRule="auto"/>
              <w:rPr>
                <w:color w:val="000000"/>
              </w:rPr>
            </w:pPr>
            <w:r w:rsidRPr="00303906">
              <w:rPr>
                <w:color w:val="000000"/>
              </w:rPr>
              <w:t> </w:t>
            </w:r>
          </w:p>
        </w:tc>
        <w:tc>
          <w:tcPr>
            <w:tcW w:w="484" w:type="dxa"/>
            <w:tcBorders>
              <w:top w:val="single" w:sz="8" w:space="0" w:color="auto"/>
              <w:left w:val="nil"/>
              <w:bottom w:val="single" w:sz="8" w:space="0" w:color="auto"/>
              <w:right w:val="single" w:sz="8" w:space="0" w:color="auto"/>
            </w:tcBorders>
            <w:shd w:val="clear" w:color="auto" w:fill="FFFFFF"/>
            <w:noWrap/>
            <w:vAlign w:val="center"/>
            <w:hideMark/>
          </w:tcPr>
          <w:p w14:paraId="61F2A197" w14:textId="77777777" w:rsidR="00D817FF" w:rsidRPr="00303906" w:rsidRDefault="00D817FF" w:rsidP="00D817FF">
            <w:pPr>
              <w:spacing w:after="0" w:line="240" w:lineRule="auto"/>
              <w:jc w:val="center"/>
              <w:rPr>
                <w:color w:val="00B050"/>
              </w:rPr>
            </w:pPr>
            <w:r w:rsidRPr="00303906">
              <w:rPr>
                <w:color w:val="00B050"/>
              </w:rPr>
              <w:t> </w:t>
            </w:r>
          </w:p>
        </w:tc>
        <w:tc>
          <w:tcPr>
            <w:tcW w:w="504" w:type="dxa"/>
            <w:tcBorders>
              <w:top w:val="single" w:sz="8" w:space="0" w:color="auto"/>
              <w:left w:val="nil"/>
              <w:bottom w:val="single" w:sz="8" w:space="0" w:color="auto"/>
              <w:right w:val="single" w:sz="8" w:space="0" w:color="auto"/>
            </w:tcBorders>
            <w:shd w:val="clear" w:color="auto" w:fill="FFFFFF"/>
            <w:noWrap/>
            <w:vAlign w:val="bottom"/>
            <w:hideMark/>
          </w:tcPr>
          <w:p w14:paraId="342E00E9" w14:textId="77777777" w:rsidR="00D817FF" w:rsidRPr="00303906" w:rsidRDefault="00D817FF" w:rsidP="00D817FF">
            <w:pPr>
              <w:spacing w:after="0" w:line="240" w:lineRule="auto"/>
              <w:rPr>
                <w:color w:val="000000"/>
              </w:rPr>
            </w:pPr>
            <w:r w:rsidRPr="00303906">
              <w:rPr>
                <w:color w:val="000000"/>
              </w:rPr>
              <w:t> </w:t>
            </w:r>
          </w:p>
        </w:tc>
        <w:tc>
          <w:tcPr>
            <w:tcW w:w="484" w:type="dxa"/>
            <w:gridSpan w:val="2"/>
            <w:tcBorders>
              <w:top w:val="single" w:sz="8" w:space="0" w:color="auto"/>
              <w:left w:val="nil"/>
              <w:bottom w:val="single" w:sz="8" w:space="0" w:color="auto"/>
              <w:right w:val="single" w:sz="8" w:space="0" w:color="auto"/>
            </w:tcBorders>
            <w:shd w:val="clear" w:color="auto" w:fill="FFFFFF"/>
            <w:noWrap/>
            <w:vAlign w:val="bottom"/>
            <w:hideMark/>
          </w:tcPr>
          <w:p w14:paraId="63E5C96D" w14:textId="77777777" w:rsidR="00D817FF" w:rsidRPr="00303906" w:rsidRDefault="00D817FF" w:rsidP="00D817FF">
            <w:pPr>
              <w:spacing w:after="0" w:line="240" w:lineRule="auto"/>
              <w:rPr>
                <w:color w:val="000000"/>
              </w:rPr>
            </w:pPr>
            <w:r w:rsidRPr="00303906">
              <w:rPr>
                <w:color w:val="000000"/>
              </w:rPr>
              <w:t> </w:t>
            </w:r>
          </w:p>
        </w:tc>
      </w:tr>
      <w:tr w:rsidR="00D817FF" w:rsidRPr="00575789" w14:paraId="50159949" w14:textId="77777777" w:rsidTr="00303906">
        <w:trPr>
          <w:trHeight w:val="53"/>
        </w:trPr>
        <w:tc>
          <w:tcPr>
            <w:tcW w:w="2077" w:type="dxa"/>
            <w:gridSpan w:val="3"/>
            <w:vMerge/>
            <w:tcBorders>
              <w:top w:val="single" w:sz="8" w:space="0" w:color="auto"/>
              <w:left w:val="single" w:sz="8" w:space="0" w:color="auto"/>
              <w:bottom w:val="single" w:sz="8" w:space="0" w:color="000000"/>
              <w:right w:val="nil"/>
            </w:tcBorders>
            <w:vAlign w:val="center"/>
            <w:hideMark/>
          </w:tcPr>
          <w:p w14:paraId="59F6AB04" w14:textId="77777777" w:rsidR="00D817FF" w:rsidRPr="00303906" w:rsidRDefault="00D817FF" w:rsidP="00D817FF">
            <w:pPr>
              <w:spacing w:after="0" w:line="256" w:lineRule="auto"/>
              <w:rPr>
                <w:b/>
                <w:bCs/>
                <w:color w:val="000000"/>
              </w:rPr>
            </w:pPr>
          </w:p>
        </w:tc>
        <w:tc>
          <w:tcPr>
            <w:tcW w:w="3889" w:type="dxa"/>
            <w:gridSpan w:val="4"/>
            <w:tcBorders>
              <w:top w:val="nil"/>
              <w:left w:val="single" w:sz="8" w:space="0" w:color="auto"/>
              <w:bottom w:val="single" w:sz="8" w:space="0" w:color="auto"/>
              <w:right w:val="single" w:sz="8" w:space="0" w:color="auto"/>
            </w:tcBorders>
            <w:shd w:val="clear" w:color="auto" w:fill="FFFFFF"/>
            <w:noWrap/>
            <w:vAlign w:val="center"/>
            <w:hideMark/>
          </w:tcPr>
          <w:p w14:paraId="670B9F67" w14:textId="77777777" w:rsidR="00D817FF" w:rsidRPr="00303906" w:rsidRDefault="00D817FF" w:rsidP="00D817FF">
            <w:pPr>
              <w:spacing w:after="0" w:line="240" w:lineRule="auto"/>
              <w:rPr>
                <w:color w:val="000000"/>
                <w:sz w:val="20"/>
              </w:rPr>
            </w:pPr>
            <w:r w:rsidRPr="00303906">
              <w:rPr>
                <w:color w:val="000000"/>
                <w:sz w:val="20"/>
              </w:rPr>
              <w:t>Transportation revenues (#4.4)</w:t>
            </w:r>
          </w:p>
        </w:tc>
        <w:tc>
          <w:tcPr>
            <w:tcW w:w="484" w:type="dxa"/>
            <w:tcBorders>
              <w:top w:val="single" w:sz="8" w:space="0" w:color="auto"/>
              <w:left w:val="nil"/>
              <w:bottom w:val="single" w:sz="8" w:space="0" w:color="auto"/>
              <w:right w:val="single" w:sz="8" w:space="0" w:color="auto"/>
            </w:tcBorders>
            <w:shd w:val="clear" w:color="auto" w:fill="F2F2F2"/>
            <w:noWrap/>
            <w:vAlign w:val="center"/>
            <w:hideMark/>
          </w:tcPr>
          <w:p w14:paraId="43EF2DC0" w14:textId="77777777" w:rsidR="00D817FF" w:rsidRPr="00303906" w:rsidRDefault="00D817FF" w:rsidP="00D817FF">
            <w:pPr>
              <w:spacing w:after="0" w:line="240" w:lineRule="auto"/>
              <w:jc w:val="center"/>
              <w:rPr>
                <w:color w:val="00B050"/>
              </w:rPr>
            </w:pPr>
            <w:r w:rsidRPr="00303906">
              <w:rPr>
                <w:color w:val="00B050"/>
              </w:rPr>
              <w:t> </w:t>
            </w:r>
          </w:p>
        </w:tc>
        <w:tc>
          <w:tcPr>
            <w:tcW w:w="484" w:type="dxa"/>
            <w:tcBorders>
              <w:top w:val="single" w:sz="8" w:space="0" w:color="auto"/>
              <w:left w:val="nil"/>
              <w:bottom w:val="single" w:sz="8" w:space="0" w:color="auto"/>
              <w:right w:val="single" w:sz="8" w:space="0" w:color="auto"/>
            </w:tcBorders>
            <w:shd w:val="clear" w:color="auto" w:fill="F2F2F2"/>
            <w:noWrap/>
            <w:vAlign w:val="bottom"/>
            <w:hideMark/>
          </w:tcPr>
          <w:p w14:paraId="49BAF7D7" w14:textId="77777777" w:rsidR="00D817FF" w:rsidRPr="00303906" w:rsidRDefault="00D817FF" w:rsidP="00D817FF">
            <w:pPr>
              <w:spacing w:after="0" w:line="240" w:lineRule="auto"/>
              <w:rPr>
                <w:color w:val="000000"/>
              </w:rPr>
            </w:pPr>
            <w:r w:rsidRPr="00303906">
              <w:rPr>
                <w:color w:val="000000"/>
              </w:rPr>
              <w:t> </w:t>
            </w:r>
          </w:p>
        </w:tc>
        <w:tc>
          <w:tcPr>
            <w:tcW w:w="484" w:type="dxa"/>
            <w:tcBorders>
              <w:top w:val="single" w:sz="8" w:space="0" w:color="auto"/>
              <w:left w:val="nil"/>
              <w:bottom w:val="single" w:sz="8" w:space="0" w:color="auto"/>
              <w:right w:val="single" w:sz="8" w:space="0" w:color="auto"/>
            </w:tcBorders>
            <w:shd w:val="clear" w:color="auto" w:fill="F2F2F2"/>
            <w:noWrap/>
            <w:vAlign w:val="center"/>
            <w:hideMark/>
          </w:tcPr>
          <w:p w14:paraId="24C2CBD3" w14:textId="77777777" w:rsidR="00D817FF" w:rsidRPr="00303906" w:rsidRDefault="00D817FF" w:rsidP="00D817FF">
            <w:pPr>
              <w:spacing w:after="0" w:line="240" w:lineRule="auto"/>
              <w:jc w:val="center"/>
              <w:rPr>
                <w:color w:val="00B050"/>
              </w:rPr>
            </w:pPr>
            <w:r w:rsidRPr="00303906">
              <w:rPr>
                <w:color w:val="00B050"/>
              </w:rPr>
              <w:t> </w:t>
            </w:r>
          </w:p>
        </w:tc>
        <w:tc>
          <w:tcPr>
            <w:tcW w:w="504" w:type="dxa"/>
            <w:tcBorders>
              <w:top w:val="single" w:sz="8" w:space="0" w:color="auto"/>
              <w:left w:val="nil"/>
              <w:bottom w:val="single" w:sz="8" w:space="0" w:color="auto"/>
              <w:right w:val="single" w:sz="8" w:space="0" w:color="auto"/>
            </w:tcBorders>
            <w:shd w:val="clear" w:color="auto" w:fill="F2F2F2"/>
            <w:noWrap/>
            <w:vAlign w:val="center"/>
            <w:hideMark/>
          </w:tcPr>
          <w:p w14:paraId="60121386" w14:textId="77777777" w:rsidR="00D817FF" w:rsidRPr="00303906" w:rsidRDefault="00D817FF" w:rsidP="00D817FF">
            <w:pPr>
              <w:spacing w:after="0" w:line="240" w:lineRule="auto"/>
              <w:jc w:val="center"/>
              <w:rPr>
                <w:color w:val="00B050"/>
              </w:rPr>
            </w:pPr>
            <w:r w:rsidRPr="00303906">
              <w:rPr>
                <w:color w:val="00B050"/>
              </w:rPr>
              <w:t> </w:t>
            </w:r>
          </w:p>
        </w:tc>
        <w:tc>
          <w:tcPr>
            <w:tcW w:w="484" w:type="dxa"/>
            <w:gridSpan w:val="2"/>
            <w:tcBorders>
              <w:top w:val="single" w:sz="8" w:space="0" w:color="auto"/>
              <w:left w:val="nil"/>
              <w:bottom w:val="single" w:sz="8" w:space="0" w:color="auto"/>
              <w:right w:val="single" w:sz="8" w:space="0" w:color="auto"/>
            </w:tcBorders>
            <w:shd w:val="clear" w:color="auto" w:fill="F2F2F2"/>
            <w:noWrap/>
            <w:vAlign w:val="center"/>
            <w:hideMark/>
          </w:tcPr>
          <w:p w14:paraId="3083EC86" w14:textId="77777777" w:rsidR="00D817FF" w:rsidRPr="00303906" w:rsidRDefault="00D817FF" w:rsidP="00D817FF">
            <w:pPr>
              <w:spacing w:after="0" w:line="240" w:lineRule="auto"/>
              <w:jc w:val="center"/>
              <w:rPr>
                <w:color w:val="00B050"/>
              </w:rPr>
            </w:pPr>
            <w:r w:rsidRPr="00303906">
              <w:rPr>
                <w:color w:val="00B050"/>
              </w:rPr>
              <w:t> </w:t>
            </w:r>
          </w:p>
        </w:tc>
      </w:tr>
      <w:tr w:rsidR="00D817FF" w:rsidRPr="00575789" w14:paraId="2093734F" w14:textId="77777777" w:rsidTr="00303906">
        <w:trPr>
          <w:trHeight w:val="53"/>
        </w:trPr>
        <w:tc>
          <w:tcPr>
            <w:tcW w:w="2077" w:type="dxa"/>
            <w:gridSpan w:val="3"/>
            <w:vMerge/>
            <w:tcBorders>
              <w:top w:val="single" w:sz="8" w:space="0" w:color="auto"/>
              <w:left w:val="single" w:sz="8" w:space="0" w:color="auto"/>
              <w:bottom w:val="single" w:sz="8" w:space="0" w:color="000000"/>
              <w:right w:val="nil"/>
            </w:tcBorders>
            <w:vAlign w:val="center"/>
            <w:hideMark/>
          </w:tcPr>
          <w:p w14:paraId="67A65FBB" w14:textId="77777777" w:rsidR="00D817FF" w:rsidRPr="00303906" w:rsidRDefault="00D817FF" w:rsidP="00D817FF">
            <w:pPr>
              <w:spacing w:after="0" w:line="256" w:lineRule="auto"/>
              <w:rPr>
                <w:b/>
                <w:bCs/>
                <w:color w:val="000000"/>
              </w:rPr>
            </w:pPr>
          </w:p>
        </w:tc>
        <w:tc>
          <w:tcPr>
            <w:tcW w:w="3889" w:type="dxa"/>
            <w:gridSpan w:val="4"/>
            <w:tcBorders>
              <w:top w:val="nil"/>
              <w:left w:val="single" w:sz="8" w:space="0" w:color="auto"/>
              <w:bottom w:val="single" w:sz="8" w:space="0" w:color="auto"/>
              <w:right w:val="single" w:sz="8" w:space="0" w:color="auto"/>
            </w:tcBorders>
            <w:shd w:val="clear" w:color="auto" w:fill="FFFFFF"/>
            <w:noWrap/>
            <w:vAlign w:val="center"/>
            <w:hideMark/>
          </w:tcPr>
          <w:p w14:paraId="74B37D72" w14:textId="77777777" w:rsidR="00D817FF" w:rsidRPr="00303906" w:rsidRDefault="00D817FF" w:rsidP="00D817FF">
            <w:pPr>
              <w:spacing w:after="0" w:line="240" w:lineRule="auto"/>
              <w:rPr>
                <w:color w:val="000000"/>
                <w:sz w:val="20"/>
              </w:rPr>
            </w:pPr>
            <w:r w:rsidRPr="00303906">
              <w:rPr>
                <w:color w:val="000000"/>
                <w:sz w:val="20"/>
              </w:rPr>
              <w:t>SOE transactions (#4.5)</w:t>
            </w:r>
          </w:p>
        </w:tc>
        <w:tc>
          <w:tcPr>
            <w:tcW w:w="484" w:type="dxa"/>
            <w:tcBorders>
              <w:top w:val="single" w:sz="8" w:space="0" w:color="auto"/>
              <w:left w:val="nil"/>
              <w:bottom w:val="single" w:sz="8" w:space="0" w:color="auto"/>
              <w:right w:val="single" w:sz="8" w:space="0" w:color="auto"/>
            </w:tcBorders>
            <w:shd w:val="clear" w:color="auto" w:fill="FFFFFF"/>
            <w:noWrap/>
            <w:vAlign w:val="bottom"/>
            <w:hideMark/>
          </w:tcPr>
          <w:p w14:paraId="24E06990" w14:textId="77777777" w:rsidR="00D817FF" w:rsidRPr="00303906" w:rsidRDefault="00D817FF" w:rsidP="00D817FF">
            <w:pPr>
              <w:spacing w:after="0" w:line="240" w:lineRule="auto"/>
              <w:rPr>
                <w:color w:val="000000"/>
              </w:rPr>
            </w:pPr>
            <w:r w:rsidRPr="00303906">
              <w:rPr>
                <w:color w:val="000000"/>
              </w:rPr>
              <w:t> </w:t>
            </w:r>
          </w:p>
        </w:tc>
        <w:tc>
          <w:tcPr>
            <w:tcW w:w="484" w:type="dxa"/>
            <w:tcBorders>
              <w:top w:val="single" w:sz="8" w:space="0" w:color="auto"/>
              <w:left w:val="nil"/>
              <w:bottom w:val="single" w:sz="8" w:space="0" w:color="auto"/>
              <w:right w:val="single" w:sz="8" w:space="0" w:color="auto"/>
            </w:tcBorders>
            <w:shd w:val="clear" w:color="auto" w:fill="FF0000"/>
            <w:noWrap/>
            <w:vAlign w:val="bottom"/>
            <w:hideMark/>
          </w:tcPr>
          <w:p w14:paraId="503E898F" w14:textId="77777777" w:rsidR="00D817FF" w:rsidRPr="00303906" w:rsidRDefault="00D817FF" w:rsidP="00D817FF">
            <w:pPr>
              <w:spacing w:after="0" w:line="240" w:lineRule="auto"/>
              <w:rPr>
                <w:color w:val="000000"/>
              </w:rPr>
            </w:pPr>
            <w:r w:rsidRPr="00303906">
              <w:rPr>
                <w:color w:val="000000"/>
              </w:rPr>
              <w:t> </w:t>
            </w:r>
          </w:p>
        </w:tc>
        <w:tc>
          <w:tcPr>
            <w:tcW w:w="484" w:type="dxa"/>
            <w:tcBorders>
              <w:top w:val="single" w:sz="8" w:space="0" w:color="auto"/>
              <w:left w:val="nil"/>
              <w:bottom w:val="single" w:sz="8" w:space="0" w:color="auto"/>
              <w:right w:val="single" w:sz="8" w:space="0" w:color="auto"/>
            </w:tcBorders>
            <w:shd w:val="clear" w:color="auto" w:fill="auto"/>
            <w:noWrap/>
            <w:vAlign w:val="center"/>
            <w:hideMark/>
          </w:tcPr>
          <w:p w14:paraId="0A302166" w14:textId="77777777" w:rsidR="00D817FF" w:rsidRPr="00303906" w:rsidRDefault="00D817FF" w:rsidP="00D817FF">
            <w:pPr>
              <w:spacing w:after="0" w:line="240" w:lineRule="auto"/>
              <w:jc w:val="center"/>
              <w:rPr>
                <w:color w:val="00B050"/>
              </w:rPr>
            </w:pPr>
            <w:r w:rsidRPr="00303906">
              <w:rPr>
                <w:color w:val="00B050"/>
              </w:rPr>
              <w:t> </w:t>
            </w:r>
          </w:p>
        </w:tc>
        <w:tc>
          <w:tcPr>
            <w:tcW w:w="504" w:type="dxa"/>
            <w:tcBorders>
              <w:top w:val="single" w:sz="8" w:space="0" w:color="auto"/>
              <w:left w:val="nil"/>
              <w:bottom w:val="single" w:sz="8" w:space="0" w:color="auto"/>
              <w:right w:val="single" w:sz="8" w:space="0" w:color="auto"/>
            </w:tcBorders>
            <w:shd w:val="clear" w:color="auto" w:fill="auto"/>
            <w:noWrap/>
            <w:vAlign w:val="bottom"/>
            <w:hideMark/>
          </w:tcPr>
          <w:p w14:paraId="737DEF7D" w14:textId="77777777" w:rsidR="00D817FF" w:rsidRPr="00303906" w:rsidRDefault="00D817FF" w:rsidP="00D817FF">
            <w:pPr>
              <w:spacing w:after="0" w:line="240" w:lineRule="auto"/>
              <w:rPr>
                <w:color w:val="92D050"/>
              </w:rPr>
            </w:pPr>
            <w:r w:rsidRPr="00303906">
              <w:rPr>
                <w:color w:val="000000"/>
              </w:rPr>
              <w:t> </w:t>
            </w:r>
          </w:p>
        </w:tc>
        <w:tc>
          <w:tcPr>
            <w:tcW w:w="484" w:type="dxa"/>
            <w:gridSpan w:val="2"/>
            <w:tcBorders>
              <w:top w:val="single" w:sz="8" w:space="0" w:color="auto"/>
              <w:left w:val="nil"/>
              <w:bottom w:val="single" w:sz="8" w:space="0" w:color="auto"/>
              <w:right w:val="single" w:sz="8" w:space="0" w:color="auto"/>
            </w:tcBorders>
            <w:shd w:val="clear" w:color="auto" w:fill="FFFFFF"/>
            <w:noWrap/>
            <w:vAlign w:val="bottom"/>
            <w:hideMark/>
          </w:tcPr>
          <w:p w14:paraId="41597968" w14:textId="77777777" w:rsidR="00D817FF" w:rsidRPr="00303906" w:rsidRDefault="00D817FF" w:rsidP="00D817FF">
            <w:pPr>
              <w:spacing w:after="0" w:line="240" w:lineRule="auto"/>
              <w:rPr>
                <w:color w:val="000000"/>
              </w:rPr>
            </w:pPr>
            <w:r w:rsidRPr="00303906">
              <w:rPr>
                <w:color w:val="000000"/>
              </w:rPr>
              <w:t> </w:t>
            </w:r>
          </w:p>
        </w:tc>
      </w:tr>
      <w:tr w:rsidR="00D817FF" w:rsidRPr="00575789" w14:paraId="2B0D04AB" w14:textId="77777777" w:rsidTr="00B331A9">
        <w:trPr>
          <w:trHeight w:val="53"/>
        </w:trPr>
        <w:tc>
          <w:tcPr>
            <w:tcW w:w="2077" w:type="dxa"/>
            <w:gridSpan w:val="3"/>
            <w:vMerge/>
            <w:tcBorders>
              <w:top w:val="single" w:sz="8" w:space="0" w:color="auto"/>
              <w:left w:val="single" w:sz="8" w:space="0" w:color="auto"/>
              <w:bottom w:val="single" w:sz="8" w:space="0" w:color="000000"/>
              <w:right w:val="nil"/>
            </w:tcBorders>
            <w:vAlign w:val="center"/>
            <w:hideMark/>
          </w:tcPr>
          <w:p w14:paraId="53BB6016" w14:textId="77777777" w:rsidR="00D817FF" w:rsidRPr="00303906" w:rsidRDefault="00D817FF" w:rsidP="00D817FF">
            <w:pPr>
              <w:spacing w:after="0" w:line="256" w:lineRule="auto"/>
              <w:rPr>
                <w:b/>
                <w:bCs/>
                <w:color w:val="000000"/>
              </w:rPr>
            </w:pPr>
          </w:p>
        </w:tc>
        <w:tc>
          <w:tcPr>
            <w:tcW w:w="3889" w:type="dxa"/>
            <w:gridSpan w:val="4"/>
            <w:tcBorders>
              <w:top w:val="nil"/>
              <w:left w:val="single" w:sz="8" w:space="0" w:color="auto"/>
              <w:bottom w:val="single" w:sz="8" w:space="0" w:color="auto"/>
              <w:right w:val="single" w:sz="8" w:space="0" w:color="auto"/>
            </w:tcBorders>
            <w:shd w:val="clear" w:color="auto" w:fill="FFFFFF"/>
            <w:noWrap/>
            <w:vAlign w:val="center"/>
            <w:hideMark/>
          </w:tcPr>
          <w:p w14:paraId="56620348" w14:textId="77777777" w:rsidR="00D817FF" w:rsidRPr="00303906" w:rsidRDefault="00D817FF" w:rsidP="00D817FF">
            <w:pPr>
              <w:spacing w:after="0" w:line="240" w:lineRule="auto"/>
              <w:rPr>
                <w:color w:val="000000"/>
                <w:sz w:val="20"/>
              </w:rPr>
            </w:pPr>
            <w:r w:rsidRPr="00303906">
              <w:rPr>
                <w:color w:val="000000"/>
                <w:sz w:val="20"/>
              </w:rPr>
              <w:t>Direct subnational payments (#4.6)</w:t>
            </w:r>
          </w:p>
        </w:tc>
        <w:tc>
          <w:tcPr>
            <w:tcW w:w="484" w:type="dxa"/>
            <w:tcBorders>
              <w:top w:val="single" w:sz="8" w:space="0" w:color="auto"/>
              <w:left w:val="nil"/>
              <w:bottom w:val="single" w:sz="8" w:space="0" w:color="auto"/>
              <w:right w:val="single" w:sz="8" w:space="0" w:color="auto"/>
            </w:tcBorders>
            <w:shd w:val="clear" w:color="auto" w:fill="D9D9D9"/>
            <w:noWrap/>
            <w:vAlign w:val="bottom"/>
            <w:hideMark/>
          </w:tcPr>
          <w:p w14:paraId="0924D274" w14:textId="77777777" w:rsidR="00D817FF" w:rsidRPr="00303906" w:rsidRDefault="00D817FF" w:rsidP="00D817FF">
            <w:pPr>
              <w:spacing w:after="0" w:line="240" w:lineRule="auto"/>
              <w:rPr>
                <w:color w:val="000000"/>
              </w:rPr>
            </w:pPr>
            <w:r w:rsidRPr="00303906">
              <w:rPr>
                <w:color w:val="000000"/>
              </w:rPr>
              <w:t> </w:t>
            </w:r>
          </w:p>
        </w:tc>
        <w:tc>
          <w:tcPr>
            <w:tcW w:w="484" w:type="dxa"/>
            <w:tcBorders>
              <w:top w:val="single" w:sz="8" w:space="0" w:color="auto"/>
              <w:left w:val="nil"/>
              <w:bottom w:val="single" w:sz="8" w:space="0" w:color="auto"/>
              <w:right w:val="single" w:sz="8" w:space="0" w:color="auto"/>
            </w:tcBorders>
            <w:shd w:val="clear" w:color="auto" w:fill="D9D9D9"/>
            <w:noWrap/>
            <w:vAlign w:val="bottom"/>
            <w:hideMark/>
          </w:tcPr>
          <w:p w14:paraId="64AA51D4" w14:textId="77777777" w:rsidR="00D817FF" w:rsidRPr="00303906" w:rsidRDefault="00D817FF" w:rsidP="00D817FF">
            <w:pPr>
              <w:spacing w:after="0" w:line="240" w:lineRule="auto"/>
              <w:rPr>
                <w:color w:val="000000"/>
              </w:rPr>
            </w:pPr>
            <w:r w:rsidRPr="00303906">
              <w:rPr>
                <w:color w:val="000000"/>
              </w:rPr>
              <w:t> </w:t>
            </w:r>
          </w:p>
        </w:tc>
        <w:tc>
          <w:tcPr>
            <w:tcW w:w="484" w:type="dxa"/>
            <w:tcBorders>
              <w:top w:val="single" w:sz="8" w:space="0" w:color="auto"/>
              <w:left w:val="nil"/>
              <w:bottom w:val="single" w:sz="8" w:space="0" w:color="auto"/>
              <w:right w:val="single" w:sz="8" w:space="0" w:color="auto"/>
            </w:tcBorders>
            <w:shd w:val="clear" w:color="auto" w:fill="D9D9D9"/>
            <w:noWrap/>
            <w:vAlign w:val="bottom"/>
            <w:hideMark/>
          </w:tcPr>
          <w:p w14:paraId="751219DD" w14:textId="77777777" w:rsidR="00D817FF" w:rsidRPr="00303906" w:rsidRDefault="00D817FF" w:rsidP="00D817FF">
            <w:pPr>
              <w:spacing w:after="0" w:line="240" w:lineRule="auto"/>
              <w:rPr>
                <w:color w:val="000000"/>
              </w:rPr>
            </w:pPr>
            <w:r w:rsidRPr="00303906">
              <w:rPr>
                <w:color w:val="000000"/>
              </w:rPr>
              <w:t> </w:t>
            </w:r>
          </w:p>
        </w:tc>
        <w:tc>
          <w:tcPr>
            <w:tcW w:w="504" w:type="dxa"/>
            <w:tcBorders>
              <w:top w:val="single" w:sz="8" w:space="0" w:color="auto"/>
              <w:left w:val="nil"/>
              <w:bottom w:val="single" w:sz="8" w:space="0" w:color="auto"/>
              <w:right w:val="single" w:sz="8" w:space="0" w:color="auto"/>
            </w:tcBorders>
            <w:shd w:val="clear" w:color="auto" w:fill="D9D9D9"/>
            <w:noWrap/>
            <w:vAlign w:val="bottom"/>
            <w:hideMark/>
          </w:tcPr>
          <w:p w14:paraId="52772A0C" w14:textId="77777777" w:rsidR="00D817FF" w:rsidRPr="00303906" w:rsidRDefault="00D817FF" w:rsidP="00D817FF">
            <w:pPr>
              <w:spacing w:after="0" w:line="240" w:lineRule="auto"/>
              <w:rPr>
                <w:color w:val="000000"/>
              </w:rPr>
            </w:pPr>
            <w:r w:rsidRPr="00303906">
              <w:rPr>
                <w:color w:val="000000"/>
              </w:rPr>
              <w:t> </w:t>
            </w:r>
          </w:p>
        </w:tc>
        <w:tc>
          <w:tcPr>
            <w:tcW w:w="484" w:type="dxa"/>
            <w:gridSpan w:val="2"/>
            <w:tcBorders>
              <w:top w:val="single" w:sz="8" w:space="0" w:color="auto"/>
              <w:left w:val="nil"/>
              <w:bottom w:val="single" w:sz="8" w:space="0" w:color="auto"/>
              <w:right w:val="single" w:sz="8" w:space="0" w:color="auto"/>
            </w:tcBorders>
            <w:shd w:val="clear" w:color="auto" w:fill="D9D9D9"/>
            <w:noWrap/>
            <w:vAlign w:val="bottom"/>
            <w:hideMark/>
          </w:tcPr>
          <w:p w14:paraId="4094E474" w14:textId="77777777" w:rsidR="00D817FF" w:rsidRPr="00303906" w:rsidRDefault="00D817FF" w:rsidP="00D817FF">
            <w:pPr>
              <w:spacing w:after="0" w:line="240" w:lineRule="auto"/>
              <w:rPr>
                <w:color w:val="000000"/>
              </w:rPr>
            </w:pPr>
            <w:r w:rsidRPr="00303906">
              <w:rPr>
                <w:color w:val="000000"/>
              </w:rPr>
              <w:t> </w:t>
            </w:r>
          </w:p>
        </w:tc>
      </w:tr>
      <w:tr w:rsidR="00D817FF" w:rsidRPr="00575789" w14:paraId="1B350DCF" w14:textId="77777777" w:rsidTr="00303906">
        <w:trPr>
          <w:trHeight w:val="273"/>
        </w:trPr>
        <w:tc>
          <w:tcPr>
            <w:tcW w:w="2077" w:type="dxa"/>
            <w:gridSpan w:val="3"/>
            <w:vMerge/>
            <w:tcBorders>
              <w:top w:val="single" w:sz="8" w:space="0" w:color="auto"/>
              <w:left w:val="single" w:sz="8" w:space="0" w:color="auto"/>
              <w:bottom w:val="single" w:sz="8" w:space="0" w:color="000000"/>
              <w:right w:val="nil"/>
            </w:tcBorders>
            <w:vAlign w:val="center"/>
            <w:hideMark/>
          </w:tcPr>
          <w:p w14:paraId="2D78D563" w14:textId="77777777" w:rsidR="00D817FF" w:rsidRPr="00303906" w:rsidRDefault="00D817FF" w:rsidP="00D817FF">
            <w:pPr>
              <w:spacing w:after="0" w:line="256" w:lineRule="auto"/>
              <w:rPr>
                <w:b/>
                <w:bCs/>
                <w:color w:val="000000"/>
              </w:rPr>
            </w:pPr>
          </w:p>
        </w:tc>
        <w:tc>
          <w:tcPr>
            <w:tcW w:w="3889" w:type="dxa"/>
            <w:gridSpan w:val="4"/>
            <w:tcBorders>
              <w:top w:val="nil"/>
              <w:left w:val="single" w:sz="8" w:space="0" w:color="auto"/>
              <w:bottom w:val="single" w:sz="8" w:space="0" w:color="auto"/>
              <w:right w:val="single" w:sz="8" w:space="0" w:color="auto"/>
            </w:tcBorders>
            <w:shd w:val="clear" w:color="auto" w:fill="FFFFFF"/>
            <w:noWrap/>
            <w:vAlign w:val="center"/>
            <w:hideMark/>
          </w:tcPr>
          <w:p w14:paraId="0F9EF276" w14:textId="77777777" w:rsidR="00D817FF" w:rsidRPr="00303906" w:rsidRDefault="00D817FF" w:rsidP="00D817FF">
            <w:pPr>
              <w:spacing w:after="0" w:line="240" w:lineRule="auto"/>
              <w:rPr>
                <w:color w:val="000000"/>
                <w:sz w:val="20"/>
              </w:rPr>
            </w:pPr>
            <w:r w:rsidRPr="00303906">
              <w:rPr>
                <w:color w:val="000000"/>
                <w:sz w:val="20"/>
              </w:rPr>
              <w:t>Disaggregation (#4.7)</w:t>
            </w:r>
          </w:p>
        </w:tc>
        <w:tc>
          <w:tcPr>
            <w:tcW w:w="484" w:type="dxa"/>
            <w:tcBorders>
              <w:top w:val="single" w:sz="8" w:space="0" w:color="auto"/>
              <w:left w:val="nil"/>
              <w:bottom w:val="single" w:sz="8" w:space="0" w:color="auto"/>
              <w:right w:val="single" w:sz="8" w:space="0" w:color="auto"/>
            </w:tcBorders>
            <w:shd w:val="clear" w:color="auto" w:fill="FFFFFF"/>
            <w:noWrap/>
            <w:vAlign w:val="bottom"/>
            <w:hideMark/>
          </w:tcPr>
          <w:p w14:paraId="5FC854E2" w14:textId="77777777" w:rsidR="00D817FF" w:rsidRPr="00303906" w:rsidRDefault="00D817FF" w:rsidP="00D817FF">
            <w:pPr>
              <w:spacing w:after="0" w:line="240" w:lineRule="auto"/>
              <w:rPr>
                <w:color w:val="000000"/>
              </w:rPr>
            </w:pPr>
            <w:r w:rsidRPr="00303906">
              <w:rPr>
                <w:color w:val="000000"/>
              </w:rPr>
              <w:t> </w:t>
            </w:r>
          </w:p>
        </w:tc>
        <w:tc>
          <w:tcPr>
            <w:tcW w:w="484" w:type="dxa"/>
            <w:tcBorders>
              <w:top w:val="single" w:sz="8" w:space="0" w:color="auto"/>
              <w:left w:val="nil"/>
              <w:bottom w:val="single" w:sz="8" w:space="0" w:color="auto"/>
              <w:right w:val="single" w:sz="8" w:space="0" w:color="auto"/>
            </w:tcBorders>
            <w:shd w:val="clear" w:color="auto" w:fill="FFFFFF"/>
            <w:noWrap/>
            <w:vAlign w:val="bottom"/>
            <w:hideMark/>
          </w:tcPr>
          <w:p w14:paraId="236D4EE6" w14:textId="77777777" w:rsidR="00D817FF" w:rsidRPr="00303906" w:rsidRDefault="00D817FF" w:rsidP="00D817FF">
            <w:pPr>
              <w:spacing w:after="0" w:line="240" w:lineRule="auto"/>
              <w:rPr>
                <w:color w:val="000000"/>
              </w:rPr>
            </w:pPr>
            <w:r w:rsidRPr="00303906">
              <w:rPr>
                <w:color w:val="000000"/>
              </w:rPr>
              <w:t> </w:t>
            </w:r>
          </w:p>
        </w:tc>
        <w:tc>
          <w:tcPr>
            <w:tcW w:w="484" w:type="dxa"/>
            <w:tcBorders>
              <w:top w:val="single" w:sz="8" w:space="0" w:color="auto"/>
              <w:left w:val="nil"/>
              <w:bottom w:val="single" w:sz="8" w:space="0" w:color="auto"/>
              <w:right w:val="single" w:sz="8" w:space="0" w:color="auto"/>
            </w:tcBorders>
            <w:shd w:val="clear" w:color="auto" w:fill="auto"/>
            <w:noWrap/>
            <w:vAlign w:val="bottom"/>
            <w:hideMark/>
          </w:tcPr>
          <w:p w14:paraId="33789D81" w14:textId="77777777" w:rsidR="00D817FF" w:rsidRPr="00303906" w:rsidRDefault="00D817FF" w:rsidP="00D817FF">
            <w:pPr>
              <w:spacing w:after="0" w:line="240" w:lineRule="auto"/>
              <w:rPr>
                <w:color w:val="000000"/>
              </w:rPr>
            </w:pPr>
            <w:r w:rsidRPr="00303906">
              <w:rPr>
                <w:color w:val="000000"/>
              </w:rPr>
              <w:t> </w:t>
            </w:r>
          </w:p>
        </w:tc>
        <w:tc>
          <w:tcPr>
            <w:tcW w:w="504" w:type="dxa"/>
            <w:tcBorders>
              <w:top w:val="single" w:sz="8" w:space="0" w:color="auto"/>
              <w:left w:val="nil"/>
              <w:bottom w:val="single" w:sz="8" w:space="0" w:color="auto"/>
              <w:right w:val="single" w:sz="8" w:space="0" w:color="auto"/>
            </w:tcBorders>
            <w:shd w:val="clear" w:color="auto" w:fill="92D050"/>
            <w:noWrap/>
            <w:vAlign w:val="bottom"/>
            <w:hideMark/>
          </w:tcPr>
          <w:p w14:paraId="353F306F" w14:textId="77777777" w:rsidR="00D817FF" w:rsidRPr="00303906" w:rsidRDefault="00D817FF" w:rsidP="00D817FF">
            <w:pPr>
              <w:spacing w:after="0" w:line="240" w:lineRule="auto"/>
              <w:rPr>
                <w:color w:val="000000"/>
              </w:rPr>
            </w:pPr>
            <w:r w:rsidRPr="00303906">
              <w:rPr>
                <w:color w:val="000000"/>
              </w:rPr>
              <w:t> </w:t>
            </w:r>
          </w:p>
        </w:tc>
        <w:tc>
          <w:tcPr>
            <w:tcW w:w="484" w:type="dxa"/>
            <w:gridSpan w:val="2"/>
            <w:tcBorders>
              <w:top w:val="single" w:sz="8" w:space="0" w:color="auto"/>
              <w:left w:val="nil"/>
              <w:bottom w:val="single" w:sz="8" w:space="0" w:color="auto"/>
              <w:right w:val="single" w:sz="8" w:space="0" w:color="auto"/>
            </w:tcBorders>
            <w:shd w:val="clear" w:color="auto" w:fill="FFFFFF"/>
            <w:noWrap/>
            <w:vAlign w:val="bottom"/>
            <w:hideMark/>
          </w:tcPr>
          <w:p w14:paraId="5431F29B" w14:textId="77777777" w:rsidR="00D817FF" w:rsidRPr="00303906" w:rsidRDefault="00D817FF" w:rsidP="00D817FF">
            <w:pPr>
              <w:spacing w:after="0" w:line="240" w:lineRule="auto"/>
              <w:rPr>
                <w:color w:val="000000"/>
              </w:rPr>
            </w:pPr>
            <w:r w:rsidRPr="00303906">
              <w:rPr>
                <w:color w:val="000000"/>
              </w:rPr>
              <w:t> </w:t>
            </w:r>
          </w:p>
        </w:tc>
      </w:tr>
      <w:tr w:rsidR="00D817FF" w:rsidRPr="00575789" w14:paraId="08258FD6" w14:textId="77777777" w:rsidTr="00303906">
        <w:trPr>
          <w:trHeight w:val="56"/>
        </w:trPr>
        <w:tc>
          <w:tcPr>
            <w:tcW w:w="2077" w:type="dxa"/>
            <w:gridSpan w:val="3"/>
            <w:vMerge/>
            <w:tcBorders>
              <w:top w:val="single" w:sz="8" w:space="0" w:color="auto"/>
              <w:left w:val="single" w:sz="8" w:space="0" w:color="auto"/>
              <w:bottom w:val="single" w:sz="8" w:space="0" w:color="000000"/>
              <w:right w:val="nil"/>
            </w:tcBorders>
            <w:vAlign w:val="center"/>
            <w:hideMark/>
          </w:tcPr>
          <w:p w14:paraId="5D5F8E72" w14:textId="77777777" w:rsidR="00D817FF" w:rsidRPr="00303906" w:rsidRDefault="00D817FF" w:rsidP="00D817FF">
            <w:pPr>
              <w:spacing w:after="0" w:line="256" w:lineRule="auto"/>
              <w:rPr>
                <w:b/>
                <w:bCs/>
                <w:color w:val="000000"/>
              </w:rPr>
            </w:pPr>
          </w:p>
        </w:tc>
        <w:tc>
          <w:tcPr>
            <w:tcW w:w="3889" w:type="dxa"/>
            <w:gridSpan w:val="4"/>
            <w:tcBorders>
              <w:top w:val="nil"/>
              <w:left w:val="single" w:sz="8" w:space="0" w:color="auto"/>
              <w:bottom w:val="single" w:sz="8" w:space="0" w:color="auto"/>
              <w:right w:val="single" w:sz="8" w:space="0" w:color="auto"/>
            </w:tcBorders>
            <w:shd w:val="clear" w:color="auto" w:fill="FFFFFF"/>
            <w:noWrap/>
            <w:vAlign w:val="center"/>
            <w:hideMark/>
          </w:tcPr>
          <w:p w14:paraId="35E899DC" w14:textId="77777777" w:rsidR="00D817FF" w:rsidRPr="00303906" w:rsidRDefault="00D817FF" w:rsidP="00D817FF">
            <w:pPr>
              <w:spacing w:after="0" w:line="240" w:lineRule="auto"/>
              <w:rPr>
                <w:color w:val="000000"/>
                <w:sz w:val="20"/>
              </w:rPr>
            </w:pPr>
            <w:r w:rsidRPr="00303906">
              <w:rPr>
                <w:color w:val="000000"/>
                <w:sz w:val="20"/>
              </w:rPr>
              <w:t>Data timeliness (#4.8)</w:t>
            </w:r>
          </w:p>
        </w:tc>
        <w:tc>
          <w:tcPr>
            <w:tcW w:w="484" w:type="dxa"/>
            <w:tcBorders>
              <w:top w:val="single" w:sz="8" w:space="0" w:color="auto"/>
              <w:left w:val="nil"/>
              <w:bottom w:val="single" w:sz="8" w:space="0" w:color="auto"/>
              <w:right w:val="single" w:sz="8" w:space="0" w:color="auto"/>
            </w:tcBorders>
            <w:shd w:val="clear" w:color="auto" w:fill="FFFFFF"/>
            <w:noWrap/>
            <w:vAlign w:val="bottom"/>
            <w:hideMark/>
          </w:tcPr>
          <w:p w14:paraId="37635CB9" w14:textId="77777777" w:rsidR="00D817FF" w:rsidRPr="00303906" w:rsidRDefault="00D817FF" w:rsidP="00D817FF">
            <w:pPr>
              <w:spacing w:after="0" w:line="240" w:lineRule="auto"/>
              <w:rPr>
                <w:color w:val="000000"/>
              </w:rPr>
            </w:pPr>
            <w:r w:rsidRPr="00303906">
              <w:rPr>
                <w:color w:val="000000"/>
              </w:rPr>
              <w:t> </w:t>
            </w:r>
          </w:p>
        </w:tc>
        <w:tc>
          <w:tcPr>
            <w:tcW w:w="484" w:type="dxa"/>
            <w:tcBorders>
              <w:top w:val="single" w:sz="8" w:space="0" w:color="auto"/>
              <w:left w:val="nil"/>
              <w:bottom w:val="single" w:sz="8" w:space="0" w:color="auto"/>
              <w:right w:val="single" w:sz="8" w:space="0" w:color="auto"/>
            </w:tcBorders>
            <w:shd w:val="clear" w:color="auto" w:fill="FFFFFF"/>
            <w:noWrap/>
            <w:vAlign w:val="bottom"/>
            <w:hideMark/>
          </w:tcPr>
          <w:p w14:paraId="79E8E9D7" w14:textId="77777777" w:rsidR="00D817FF" w:rsidRPr="00303906" w:rsidRDefault="00D817FF" w:rsidP="00D817FF">
            <w:pPr>
              <w:spacing w:after="0" w:line="240" w:lineRule="auto"/>
              <w:rPr>
                <w:color w:val="000000"/>
              </w:rPr>
            </w:pPr>
            <w:r w:rsidRPr="00303906">
              <w:rPr>
                <w:color w:val="000000"/>
              </w:rPr>
              <w:t> </w:t>
            </w:r>
          </w:p>
        </w:tc>
        <w:tc>
          <w:tcPr>
            <w:tcW w:w="484" w:type="dxa"/>
            <w:tcBorders>
              <w:top w:val="single" w:sz="8" w:space="0" w:color="auto"/>
              <w:left w:val="nil"/>
              <w:bottom w:val="single" w:sz="8" w:space="0" w:color="auto"/>
              <w:right w:val="single" w:sz="8" w:space="0" w:color="auto"/>
            </w:tcBorders>
            <w:shd w:val="clear" w:color="auto" w:fill="FFFFFF"/>
            <w:noWrap/>
            <w:vAlign w:val="bottom"/>
            <w:hideMark/>
          </w:tcPr>
          <w:p w14:paraId="775FC5A1" w14:textId="77777777" w:rsidR="00D817FF" w:rsidRPr="00303906" w:rsidRDefault="00D817FF" w:rsidP="00D817FF">
            <w:pPr>
              <w:spacing w:after="0" w:line="240" w:lineRule="auto"/>
              <w:rPr>
                <w:color w:val="000000"/>
              </w:rPr>
            </w:pPr>
            <w:r w:rsidRPr="00303906">
              <w:rPr>
                <w:color w:val="000000"/>
              </w:rPr>
              <w:t> </w:t>
            </w:r>
          </w:p>
        </w:tc>
        <w:tc>
          <w:tcPr>
            <w:tcW w:w="504" w:type="dxa"/>
            <w:tcBorders>
              <w:top w:val="single" w:sz="8" w:space="0" w:color="auto"/>
              <w:left w:val="nil"/>
              <w:bottom w:val="single" w:sz="8" w:space="0" w:color="auto"/>
              <w:right w:val="single" w:sz="8" w:space="0" w:color="auto"/>
            </w:tcBorders>
            <w:shd w:val="clear" w:color="auto" w:fill="92D050"/>
            <w:noWrap/>
            <w:vAlign w:val="bottom"/>
            <w:hideMark/>
          </w:tcPr>
          <w:p w14:paraId="302D9A50" w14:textId="77777777" w:rsidR="00D817FF" w:rsidRPr="00303906" w:rsidRDefault="00D817FF" w:rsidP="00D817FF">
            <w:pPr>
              <w:spacing w:after="0" w:line="240" w:lineRule="auto"/>
              <w:rPr>
                <w:color w:val="000000"/>
              </w:rPr>
            </w:pPr>
            <w:r w:rsidRPr="00303906">
              <w:rPr>
                <w:color w:val="000000"/>
              </w:rPr>
              <w:t> </w:t>
            </w:r>
          </w:p>
        </w:tc>
        <w:tc>
          <w:tcPr>
            <w:tcW w:w="484" w:type="dxa"/>
            <w:gridSpan w:val="2"/>
            <w:tcBorders>
              <w:top w:val="single" w:sz="8" w:space="0" w:color="auto"/>
              <w:left w:val="nil"/>
              <w:bottom w:val="single" w:sz="8" w:space="0" w:color="auto"/>
              <w:right w:val="single" w:sz="8" w:space="0" w:color="auto"/>
            </w:tcBorders>
            <w:shd w:val="clear" w:color="auto" w:fill="FFFFFF"/>
            <w:noWrap/>
            <w:vAlign w:val="bottom"/>
            <w:hideMark/>
          </w:tcPr>
          <w:p w14:paraId="6085CD65" w14:textId="77777777" w:rsidR="00D817FF" w:rsidRPr="00303906" w:rsidRDefault="00D817FF" w:rsidP="00D817FF">
            <w:pPr>
              <w:spacing w:after="0" w:line="240" w:lineRule="auto"/>
              <w:rPr>
                <w:color w:val="000000"/>
              </w:rPr>
            </w:pPr>
            <w:r w:rsidRPr="00303906">
              <w:rPr>
                <w:color w:val="000000"/>
              </w:rPr>
              <w:t> </w:t>
            </w:r>
          </w:p>
        </w:tc>
      </w:tr>
      <w:tr w:rsidR="00D817FF" w:rsidRPr="00575789" w14:paraId="6B0C595C" w14:textId="77777777" w:rsidTr="00303906">
        <w:trPr>
          <w:trHeight w:val="300"/>
        </w:trPr>
        <w:tc>
          <w:tcPr>
            <w:tcW w:w="2077" w:type="dxa"/>
            <w:gridSpan w:val="3"/>
            <w:vMerge/>
            <w:tcBorders>
              <w:top w:val="single" w:sz="8" w:space="0" w:color="auto"/>
              <w:left w:val="single" w:sz="8" w:space="0" w:color="auto"/>
              <w:bottom w:val="single" w:sz="8" w:space="0" w:color="000000"/>
              <w:right w:val="nil"/>
            </w:tcBorders>
            <w:vAlign w:val="center"/>
            <w:hideMark/>
          </w:tcPr>
          <w:p w14:paraId="240BA6B0" w14:textId="77777777" w:rsidR="00D817FF" w:rsidRPr="00303906" w:rsidRDefault="00D817FF" w:rsidP="00D817FF">
            <w:pPr>
              <w:spacing w:after="0" w:line="256" w:lineRule="auto"/>
              <w:rPr>
                <w:b/>
                <w:bCs/>
                <w:color w:val="000000"/>
              </w:rPr>
            </w:pPr>
          </w:p>
        </w:tc>
        <w:tc>
          <w:tcPr>
            <w:tcW w:w="3889" w:type="dxa"/>
            <w:gridSpan w:val="4"/>
            <w:tcBorders>
              <w:top w:val="nil"/>
              <w:left w:val="single" w:sz="8" w:space="0" w:color="auto"/>
              <w:bottom w:val="single" w:sz="8" w:space="0" w:color="auto"/>
              <w:right w:val="single" w:sz="8" w:space="0" w:color="auto"/>
            </w:tcBorders>
            <w:shd w:val="clear" w:color="auto" w:fill="FFFFFF"/>
            <w:noWrap/>
            <w:vAlign w:val="center"/>
            <w:hideMark/>
          </w:tcPr>
          <w:p w14:paraId="6E066C46" w14:textId="77777777" w:rsidR="00D817FF" w:rsidRPr="00303906" w:rsidRDefault="00D817FF" w:rsidP="00D817FF">
            <w:pPr>
              <w:spacing w:after="0" w:line="240" w:lineRule="auto"/>
              <w:rPr>
                <w:color w:val="000000"/>
                <w:sz w:val="20"/>
              </w:rPr>
            </w:pPr>
            <w:r w:rsidRPr="00303906">
              <w:rPr>
                <w:color w:val="000000"/>
                <w:sz w:val="20"/>
              </w:rPr>
              <w:t>Data quality (#4.9)</w:t>
            </w:r>
          </w:p>
        </w:tc>
        <w:tc>
          <w:tcPr>
            <w:tcW w:w="484" w:type="dxa"/>
            <w:tcBorders>
              <w:top w:val="single" w:sz="8" w:space="0" w:color="auto"/>
              <w:left w:val="nil"/>
              <w:bottom w:val="single" w:sz="8" w:space="0" w:color="auto"/>
              <w:right w:val="single" w:sz="8" w:space="0" w:color="auto"/>
            </w:tcBorders>
            <w:shd w:val="clear" w:color="auto" w:fill="FFFFFF"/>
            <w:noWrap/>
            <w:vAlign w:val="bottom"/>
            <w:hideMark/>
          </w:tcPr>
          <w:p w14:paraId="0774BE6E" w14:textId="77777777" w:rsidR="00D817FF" w:rsidRPr="00303906" w:rsidRDefault="00D817FF" w:rsidP="00D817FF">
            <w:pPr>
              <w:spacing w:after="0" w:line="240" w:lineRule="auto"/>
              <w:rPr>
                <w:color w:val="000000"/>
              </w:rPr>
            </w:pPr>
            <w:r w:rsidRPr="00303906">
              <w:rPr>
                <w:color w:val="000000"/>
              </w:rPr>
              <w:t> </w:t>
            </w:r>
          </w:p>
        </w:tc>
        <w:tc>
          <w:tcPr>
            <w:tcW w:w="484" w:type="dxa"/>
            <w:tcBorders>
              <w:top w:val="single" w:sz="8" w:space="0" w:color="auto"/>
              <w:left w:val="nil"/>
              <w:bottom w:val="single" w:sz="8" w:space="0" w:color="auto"/>
              <w:right w:val="single" w:sz="8" w:space="0" w:color="auto"/>
            </w:tcBorders>
            <w:shd w:val="clear" w:color="auto" w:fill="FFFFFF"/>
            <w:noWrap/>
            <w:vAlign w:val="bottom"/>
            <w:hideMark/>
          </w:tcPr>
          <w:p w14:paraId="24BA4553" w14:textId="77777777" w:rsidR="00D817FF" w:rsidRPr="00303906" w:rsidRDefault="00D817FF" w:rsidP="00D817FF">
            <w:pPr>
              <w:spacing w:after="0" w:line="240" w:lineRule="auto"/>
              <w:rPr>
                <w:color w:val="000000"/>
              </w:rPr>
            </w:pPr>
            <w:r w:rsidRPr="00303906">
              <w:rPr>
                <w:color w:val="000000"/>
              </w:rPr>
              <w:t> </w:t>
            </w:r>
          </w:p>
        </w:tc>
        <w:tc>
          <w:tcPr>
            <w:tcW w:w="484" w:type="dxa"/>
            <w:tcBorders>
              <w:top w:val="single" w:sz="8" w:space="0" w:color="auto"/>
              <w:left w:val="nil"/>
              <w:bottom w:val="single" w:sz="8" w:space="0" w:color="auto"/>
              <w:right w:val="single" w:sz="8" w:space="0" w:color="auto"/>
            </w:tcBorders>
            <w:shd w:val="clear" w:color="auto" w:fill="FFC000"/>
            <w:noWrap/>
            <w:vAlign w:val="bottom"/>
            <w:hideMark/>
          </w:tcPr>
          <w:p w14:paraId="19023FF2" w14:textId="77777777" w:rsidR="00D817FF" w:rsidRPr="00303906" w:rsidRDefault="00D817FF" w:rsidP="00D817FF">
            <w:pPr>
              <w:spacing w:after="0" w:line="240" w:lineRule="auto"/>
              <w:rPr>
                <w:color w:val="000000"/>
              </w:rPr>
            </w:pPr>
            <w:r w:rsidRPr="00303906">
              <w:rPr>
                <w:color w:val="000000"/>
              </w:rPr>
              <w:t> </w:t>
            </w:r>
          </w:p>
        </w:tc>
        <w:tc>
          <w:tcPr>
            <w:tcW w:w="504" w:type="dxa"/>
            <w:tcBorders>
              <w:top w:val="single" w:sz="8" w:space="0" w:color="auto"/>
              <w:left w:val="nil"/>
              <w:bottom w:val="single" w:sz="8" w:space="0" w:color="auto"/>
              <w:right w:val="single" w:sz="8" w:space="0" w:color="auto"/>
            </w:tcBorders>
            <w:shd w:val="clear" w:color="auto" w:fill="FFFFFF"/>
            <w:noWrap/>
            <w:vAlign w:val="bottom"/>
            <w:hideMark/>
          </w:tcPr>
          <w:p w14:paraId="065BE2A3" w14:textId="77777777" w:rsidR="00D817FF" w:rsidRPr="00303906" w:rsidRDefault="00D817FF" w:rsidP="00D817FF">
            <w:pPr>
              <w:spacing w:after="0" w:line="240" w:lineRule="auto"/>
              <w:rPr>
                <w:color w:val="000000"/>
              </w:rPr>
            </w:pPr>
            <w:r w:rsidRPr="00303906">
              <w:rPr>
                <w:color w:val="000000"/>
              </w:rPr>
              <w:t> </w:t>
            </w:r>
          </w:p>
        </w:tc>
        <w:tc>
          <w:tcPr>
            <w:tcW w:w="484" w:type="dxa"/>
            <w:gridSpan w:val="2"/>
            <w:tcBorders>
              <w:top w:val="single" w:sz="8" w:space="0" w:color="auto"/>
              <w:left w:val="nil"/>
              <w:bottom w:val="single" w:sz="8" w:space="0" w:color="auto"/>
              <w:right w:val="single" w:sz="8" w:space="0" w:color="auto"/>
            </w:tcBorders>
            <w:shd w:val="clear" w:color="auto" w:fill="FFFFFF"/>
            <w:noWrap/>
            <w:vAlign w:val="bottom"/>
            <w:hideMark/>
          </w:tcPr>
          <w:p w14:paraId="0E1231C7" w14:textId="77777777" w:rsidR="00D817FF" w:rsidRPr="00303906" w:rsidRDefault="00D817FF" w:rsidP="00D817FF">
            <w:pPr>
              <w:spacing w:after="0" w:line="240" w:lineRule="auto"/>
              <w:rPr>
                <w:color w:val="000000"/>
              </w:rPr>
            </w:pPr>
            <w:r w:rsidRPr="00303906">
              <w:rPr>
                <w:color w:val="000000"/>
              </w:rPr>
              <w:t> </w:t>
            </w:r>
          </w:p>
        </w:tc>
      </w:tr>
      <w:tr w:rsidR="00D817FF" w:rsidRPr="00575789" w14:paraId="2B783794" w14:textId="77777777" w:rsidTr="00303906">
        <w:trPr>
          <w:trHeight w:val="300"/>
        </w:trPr>
        <w:tc>
          <w:tcPr>
            <w:tcW w:w="2077" w:type="dxa"/>
            <w:gridSpan w:val="3"/>
            <w:vMerge w:val="restart"/>
            <w:tcBorders>
              <w:top w:val="single" w:sz="8" w:space="0" w:color="auto"/>
              <w:left w:val="single" w:sz="8" w:space="0" w:color="auto"/>
              <w:bottom w:val="nil"/>
              <w:right w:val="nil"/>
            </w:tcBorders>
            <w:shd w:val="clear" w:color="auto" w:fill="BFBFBF"/>
            <w:vAlign w:val="center"/>
            <w:hideMark/>
          </w:tcPr>
          <w:p w14:paraId="53CD15DB" w14:textId="77777777" w:rsidR="00D817FF" w:rsidRPr="00303906" w:rsidRDefault="00D817FF" w:rsidP="00D817FF">
            <w:pPr>
              <w:spacing w:after="0" w:line="240" w:lineRule="auto"/>
              <w:rPr>
                <w:b/>
                <w:bCs/>
                <w:color w:val="000000"/>
              </w:rPr>
            </w:pPr>
            <w:r w:rsidRPr="00303906">
              <w:rPr>
                <w:b/>
                <w:bCs/>
                <w:color w:val="000000"/>
              </w:rPr>
              <w:t>Revenue allocation</w:t>
            </w:r>
          </w:p>
        </w:tc>
        <w:tc>
          <w:tcPr>
            <w:tcW w:w="3889" w:type="dxa"/>
            <w:gridSpan w:val="4"/>
            <w:tcBorders>
              <w:top w:val="nil"/>
              <w:left w:val="single" w:sz="8" w:space="0" w:color="auto"/>
              <w:bottom w:val="single" w:sz="8" w:space="0" w:color="auto"/>
              <w:right w:val="single" w:sz="8" w:space="0" w:color="auto"/>
            </w:tcBorders>
            <w:shd w:val="clear" w:color="auto" w:fill="FFFFFF"/>
            <w:vAlign w:val="center"/>
            <w:hideMark/>
          </w:tcPr>
          <w:p w14:paraId="7DCC6113" w14:textId="77777777" w:rsidR="00D817FF" w:rsidRPr="00303906" w:rsidRDefault="007C2D5F" w:rsidP="00D817FF">
            <w:pPr>
              <w:spacing w:after="0" w:line="240" w:lineRule="auto"/>
              <w:rPr>
                <w:color w:val="000000"/>
                <w:sz w:val="20"/>
              </w:rPr>
            </w:pPr>
            <w:r w:rsidRPr="00303906">
              <w:rPr>
                <w:color w:val="000000"/>
                <w:sz w:val="20"/>
              </w:rPr>
              <w:t>Distribution of EI revenues</w:t>
            </w:r>
            <w:r w:rsidRPr="00303906" w:rsidDel="007C2D5F">
              <w:rPr>
                <w:color w:val="000000"/>
                <w:sz w:val="20"/>
              </w:rPr>
              <w:t xml:space="preserve"> </w:t>
            </w:r>
            <w:r w:rsidR="00D817FF" w:rsidRPr="00303906">
              <w:rPr>
                <w:color w:val="000000"/>
                <w:sz w:val="20"/>
              </w:rPr>
              <w:t>(#5.1)</w:t>
            </w:r>
          </w:p>
        </w:tc>
        <w:tc>
          <w:tcPr>
            <w:tcW w:w="484" w:type="dxa"/>
            <w:tcBorders>
              <w:top w:val="single" w:sz="8" w:space="0" w:color="auto"/>
              <w:left w:val="nil"/>
              <w:bottom w:val="single" w:sz="8" w:space="0" w:color="auto"/>
              <w:right w:val="single" w:sz="8" w:space="0" w:color="auto"/>
            </w:tcBorders>
            <w:shd w:val="clear" w:color="auto" w:fill="FFFFFF"/>
            <w:noWrap/>
            <w:vAlign w:val="bottom"/>
            <w:hideMark/>
          </w:tcPr>
          <w:p w14:paraId="24B51309" w14:textId="77777777" w:rsidR="00D817FF" w:rsidRPr="00303906" w:rsidRDefault="00D817FF" w:rsidP="00D817FF">
            <w:pPr>
              <w:spacing w:after="0" w:line="240" w:lineRule="auto"/>
              <w:rPr>
                <w:color w:val="000000"/>
              </w:rPr>
            </w:pPr>
            <w:r w:rsidRPr="00303906">
              <w:rPr>
                <w:color w:val="000000"/>
              </w:rPr>
              <w:t> </w:t>
            </w:r>
          </w:p>
        </w:tc>
        <w:tc>
          <w:tcPr>
            <w:tcW w:w="484" w:type="dxa"/>
            <w:tcBorders>
              <w:top w:val="single" w:sz="8" w:space="0" w:color="auto"/>
              <w:left w:val="nil"/>
              <w:bottom w:val="single" w:sz="8" w:space="0" w:color="auto"/>
              <w:right w:val="single" w:sz="8" w:space="0" w:color="auto"/>
            </w:tcBorders>
            <w:noWrap/>
            <w:vAlign w:val="bottom"/>
            <w:hideMark/>
          </w:tcPr>
          <w:p w14:paraId="51A800EF" w14:textId="77777777" w:rsidR="00D817FF" w:rsidRPr="00303906" w:rsidRDefault="00D817FF" w:rsidP="00D817FF">
            <w:pPr>
              <w:spacing w:after="0" w:line="240" w:lineRule="auto"/>
              <w:rPr>
                <w:color w:val="000000"/>
              </w:rPr>
            </w:pPr>
            <w:r w:rsidRPr="00303906">
              <w:rPr>
                <w:color w:val="000000"/>
              </w:rPr>
              <w:t> </w:t>
            </w:r>
          </w:p>
        </w:tc>
        <w:tc>
          <w:tcPr>
            <w:tcW w:w="484" w:type="dxa"/>
            <w:tcBorders>
              <w:top w:val="single" w:sz="8" w:space="0" w:color="auto"/>
              <w:left w:val="nil"/>
              <w:bottom w:val="single" w:sz="8" w:space="0" w:color="auto"/>
              <w:right w:val="single" w:sz="8" w:space="0" w:color="auto"/>
            </w:tcBorders>
            <w:noWrap/>
            <w:vAlign w:val="bottom"/>
            <w:hideMark/>
          </w:tcPr>
          <w:p w14:paraId="3538A14C" w14:textId="77777777" w:rsidR="00D817FF" w:rsidRPr="00303906" w:rsidRDefault="00D817FF" w:rsidP="00D817FF">
            <w:pPr>
              <w:spacing w:after="0" w:line="240" w:lineRule="auto"/>
              <w:rPr>
                <w:color w:val="000000"/>
              </w:rPr>
            </w:pPr>
            <w:r w:rsidRPr="00303906">
              <w:rPr>
                <w:color w:val="000000"/>
              </w:rPr>
              <w:t> </w:t>
            </w:r>
          </w:p>
        </w:tc>
        <w:tc>
          <w:tcPr>
            <w:tcW w:w="504" w:type="dxa"/>
            <w:tcBorders>
              <w:top w:val="single" w:sz="8" w:space="0" w:color="auto"/>
              <w:left w:val="nil"/>
              <w:bottom w:val="single" w:sz="8" w:space="0" w:color="auto"/>
              <w:right w:val="single" w:sz="8" w:space="0" w:color="auto"/>
            </w:tcBorders>
            <w:shd w:val="clear" w:color="auto" w:fill="92D050"/>
            <w:noWrap/>
            <w:vAlign w:val="bottom"/>
            <w:hideMark/>
          </w:tcPr>
          <w:p w14:paraId="5890BD98" w14:textId="77777777" w:rsidR="00D817FF" w:rsidRPr="00303906" w:rsidRDefault="00D817FF" w:rsidP="00D817FF">
            <w:pPr>
              <w:spacing w:after="0" w:line="240" w:lineRule="auto"/>
              <w:rPr>
                <w:color w:val="000000"/>
              </w:rPr>
            </w:pPr>
            <w:r w:rsidRPr="00303906">
              <w:rPr>
                <w:color w:val="000000"/>
              </w:rPr>
              <w:t> </w:t>
            </w:r>
          </w:p>
        </w:tc>
        <w:tc>
          <w:tcPr>
            <w:tcW w:w="484" w:type="dxa"/>
            <w:gridSpan w:val="2"/>
            <w:tcBorders>
              <w:top w:val="single" w:sz="8" w:space="0" w:color="auto"/>
              <w:left w:val="nil"/>
              <w:bottom w:val="single" w:sz="8" w:space="0" w:color="auto"/>
              <w:right w:val="single" w:sz="8" w:space="0" w:color="auto"/>
            </w:tcBorders>
            <w:shd w:val="clear" w:color="auto" w:fill="auto"/>
            <w:noWrap/>
            <w:vAlign w:val="bottom"/>
            <w:hideMark/>
          </w:tcPr>
          <w:p w14:paraId="43C65A05" w14:textId="77777777" w:rsidR="00D817FF" w:rsidRPr="00303906" w:rsidRDefault="00D817FF" w:rsidP="00D817FF">
            <w:pPr>
              <w:spacing w:after="0" w:line="240" w:lineRule="auto"/>
              <w:rPr>
                <w:color w:val="000000"/>
              </w:rPr>
            </w:pPr>
            <w:r w:rsidRPr="00303906">
              <w:rPr>
                <w:color w:val="000000"/>
              </w:rPr>
              <w:t> </w:t>
            </w:r>
          </w:p>
        </w:tc>
      </w:tr>
      <w:tr w:rsidR="00D817FF" w:rsidRPr="00575789" w14:paraId="6BFBD78A" w14:textId="77777777" w:rsidTr="00303906">
        <w:trPr>
          <w:trHeight w:val="300"/>
        </w:trPr>
        <w:tc>
          <w:tcPr>
            <w:tcW w:w="2077" w:type="dxa"/>
            <w:gridSpan w:val="3"/>
            <w:vMerge/>
            <w:tcBorders>
              <w:top w:val="single" w:sz="8" w:space="0" w:color="auto"/>
              <w:left w:val="single" w:sz="8" w:space="0" w:color="auto"/>
              <w:bottom w:val="nil"/>
              <w:right w:val="nil"/>
            </w:tcBorders>
            <w:vAlign w:val="center"/>
            <w:hideMark/>
          </w:tcPr>
          <w:p w14:paraId="3DF8E05D" w14:textId="77777777" w:rsidR="00D817FF" w:rsidRPr="00303906" w:rsidRDefault="00D817FF" w:rsidP="00D817FF">
            <w:pPr>
              <w:spacing w:after="0" w:line="256" w:lineRule="auto"/>
              <w:rPr>
                <w:b/>
                <w:bCs/>
                <w:color w:val="000000"/>
              </w:rPr>
            </w:pPr>
          </w:p>
        </w:tc>
        <w:tc>
          <w:tcPr>
            <w:tcW w:w="3889" w:type="dxa"/>
            <w:gridSpan w:val="4"/>
            <w:tcBorders>
              <w:top w:val="nil"/>
              <w:left w:val="single" w:sz="8" w:space="0" w:color="auto"/>
              <w:bottom w:val="single" w:sz="8" w:space="0" w:color="auto"/>
              <w:right w:val="single" w:sz="8" w:space="0" w:color="auto"/>
            </w:tcBorders>
            <w:shd w:val="clear" w:color="auto" w:fill="FFFFFF"/>
            <w:vAlign w:val="center"/>
            <w:hideMark/>
          </w:tcPr>
          <w:p w14:paraId="0FC42116" w14:textId="77777777" w:rsidR="00D817FF" w:rsidRPr="00303906" w:rsidRDefault="00D817FF" w:rsidP="00D817FF">
            <w:pPr>
              <w:spacing w:after="0" w:line="240" w:lineRule="auto"/>
              <w:rPr>
                <w:color w:val="000000"/>
                <w:sz w:val="20"/>
              </w:rPr>
            </w:pPr>
            <w:r w:rsidRPr="00303906">
              <w:rPr>
                <w:color w:val="000000"/>
                <w:sz w:val="20"/>
              </w:rPr>
              <w:t>Subnational transfers (#5.2)</w:t>
            </w:r>
          </w:p>
        </w:tc>
        <w:tc>
          <w:tcPr>
            <w:tcW w:w="484" w:type="dxa"/>
            <w:tcBorders>
              <w:top w:val="single" w:sz="8" w:space="0" w:color="auto"/>
              <w:left w:val="nil"/>
              <w:bottom w:val="single" w:sz="8" w:space="0" w:color="auto"/>
              <w:right w:val="single" w:sz="8" w:space="0" w:color="auto"/>
            </w:tcBorders>
            <w:shd w:val="clear" w:color="auto" w:fill="F2F2F2"/>
            <w:noWrap/>
            <w:vAlign w:val="bottom"/>
            <w:hideMark/>
          </w:tcPr>
          <w:p w14:paraId="7235FF8A" w14:textId="77777777" w:rsidR="00D817FF" w:rsidRPr="00303906" w:rsidRDefault="00D817FF" w:rsidP="00D817FF">
            <w:pPr>
              <w:spacing w:after="0" w:line="240" w:lineRule="auto"/>
              <w:rPr>
                <w:color w:val="000000"/>
              </w:rPr>
            </w:pPr>
            <w:r w:rsidRPr="00303906">
              <w:rPr>
                <w:color w:val="000000"/>
              </w:rPr>
              <w:t> </w:t>
            </w:r>
          </w:p>
        </w:tc>
        <w:tc>
          <w:tcPr>
            <w:tcW w:w="484" w:type="dxa"/>
            <w:tcBorders>
              <w:top w:val="single" w:sz="8" w:space="0" w:color="auto"/>
              <w:left w:val="nil"/>
              <w:bottom w:val="single" w:sz="8" w:space="0" w:color="auto"/>
              <w:right w:val="single" w:sz="8" w:space="0" w:color="auto"/>
            </w:tcBorders>
            <w:shd w:val="clear" w:color="auto" w:fill="F2F2F2"/>
            <w:noWrap/>
            <w:vAlign w:val="bottom"/>
            <w:hideMark/>
          </w:tcPr>
          <w:p w14:paraId="1C9933F7" w14:textId="77777777" w:rsidR="00D817FF" w:rsidRPr="00303906" w:rsidRDefault="00D817FF" w:rsidP="00D817FF">
            <w:pPr>
              <w:spacing w:after="0" w:line="240" w:lineRule="auto"/>
              <w:rPr>
                <w:color w:val="000000"/>
              </w:rPr>
            </w:pPr>
            <w:r w:rsidRPr="00303906">
              <w:rPr>
                <w:color w:val="000000"/>
              </w:rPr>
              <w:t> </w:t>
            </w:r>
          </w:p>
        </w:tc>
        <w:tc>
          <w:tcPr>
            <w:tcW w:w="484" w:type="dxa"/>
            <w:tcBorders>
              <w:top w:val="single" w:sz="8" w:space="0" w:color="auto"/>
              <w:left w:val="nil"/>
              <w:bottom w:val="single" w:sz="8" w:space="0" w:color="auto"/>
              <w:right w:val="single" w:sz="8" w:space="0" w:color="auto"/>
            </w:tcBorders>
            <w:shd w:val="clear" w:color="auto" w:fill="F2F2F2"/>
            <w:noWrap/>
            <w:vAlign w:val="bottom"/>
            <w:hideMark/>
          </w:tcPr>
          <w:p w14:paraId="3C6B54AF" w14:textId="77777777" w:rsidR="00D817FF" w:rsidRPr="00303906" w:rsidRDefault="00D817FF" w:rsidP="00D817FF">
            <w:pPr>
              <w:spacing w:after="0" w:line="240" w:lineRule="auto"/>
              <w:rPr>
                <w:color w:val="000000"/>
              </w:rPr>
            </w:pPr>
            <w:r w:rsidRPr="00303906">
              <w:rPr>
                <w:color w:val="000000"/>
              </w:rPr>
              <w:t> </w:t>
            </w:r>
          </w:p>
        </w:tc>
        <w:tc>
          <w:tcPr>
            <w:tcW w:w="504" w:type="dxa"/>
            <w:tcBorders>
              <w:top w:val="single" w:sz="8" w:space="0" w:color="auto"/>
              <w:left w:val="nil"/>
              <w:bottom w:val="single" w:sz="8" w:space="0" w:color="auto"/>
              <w:right w:val="single" w:sz="8" w:space="0" w:color="auto"/>
            </w:tcBorders>
            <w:shd w:val="clear" w:color="auto" w:fill="F2F2F2"/>
            <w:noWrap/>
            <w:vAlign w:val="bottom"/>
            <w:hideMark/>
          </w:tcPr>
          <w:p w14:paraId="7C9CA220" w14:textId="77777777" w:rsidR="00D817FF" w:rsidRPr="00303906" w:rsidRDefault="00D817FF" w:rsidP="00D817FF">
            <w:pPr>
              <w:spacing w:after="0" w:line="240" w:lineRule="auto"/>
              <w:rPr>
                <w:color w:val="000000"/>
              </w:rPr>
            </w:pPr>
            <w:r w:rsidRPr="00303906">
              <w:rPr>
                <w:color w:val="000000"/>
              </w:rPr>
              <w:t> </w:t>
            </w:r>
          </w:p>
        </w:tc>
        <w:tc>
          <w:tcPr>
            <w:tcW w:w="484" w:type="dxa"/>
            <w:gridSpan w:val="2"/>
            <w:tcBorders>
              <w:top w:val="single" w:sz="8" w:space="0" w:color="auto"/>
              <w:left w:val="nil"/>
              <w:bottom w:val="single" w:sz="8" w:space="0" w:color="auto"/>
              <w:right w:val="single" w:sz="8" w:space="0" w:color="auto"/>
            </w:tcBorders>
            <w:shd w:val="clear" w:color="auto" w:fill="F2F2F2"/>
            <w:noWrap/>
            <w:vAlign w:val="bottom"/>
            <w:hideMark/>
          </w:tcPr>
          <w:p w14:paraId="20049CB0" w14:textId="77777777" w:rsidR="00D817FF" w:rsidRPr="00303906" w:rsidRDefault="00D817FF" w:rsidP="00D817FF">
            <w:pPr>
              <w:spacing w:after="0" w:line="240" w:lineRule="auto"/>
              <w:rPr>
                <w:color w:val="000000"/>
              </w:rPr>
            </w:pPr>
            <w:r w:rsidRPr="00303906">
              <w:rPr>
                <w:color w:val="000000"/>
              </w:rPr>
              <w:t> </w:t>
            </w:r>
          </w:p>
        </w:tc>
      </w:tr>
      <w:tr w:rsidR="00D817FF" w:rsidRPr="00575789" w14:paraId="744A0776" w14:textId="77777777" w:rsidTr="00B331A9">
        <w:trPr>
          <w:trHeight w:val="300"/>
        </w:trPr>
        <w:tc>
          <w:tcPr>
            <w:tcW w:w="2077" w:type="dxa"/>
            <w:gridSpan w:val="3"/>
            <w:vMerge/>
            <w:tcBorders>
              <w:top w:val="single" w:sz="8" w:space="0" w:color="auto"/>
              <w:left w:val="single" w:sz="8" w:space="0" w:color="auto"/>
              <w:bottom w:val="nil"/>
              <w:right w:val="nil"/>
            </w:tcBorders>
            <w:vAlign w:val="center"/>
            <w:hideMark/>
          </w:tcPr>
          <w:p w14:paraId="3788AD8A" w14:textId="77777777" w:rsidR="00D817FF" w:rsidRPr="00303906" w:rsidRDefault="00D817FF" w:rsidP="00D817FF">
            <w:pPr>
              <w:spacing w:after="0" w:line="256" w:lineRule="auto"/>
              <w:rPr>
                <w:b/>
                <w:bCs/>
                <w:color w:val="000000"/>
              </w:rPr>
            </w:pPr>
          </w:p>
        </w:tc>
        <w:tc>
          <w:tcPr>
            <w:tcW w:w="3889" w:type="dxa"/>
            <w:gridSpan w:val="4"/>
            <w:tcBorders>
              <w:top w:val="nil"/>
              <w:left w:val="single" w:sz="8" w:space="0" w:color="auto"/>
              <w:bottom w:val="single" w:sz="8" w:space="0" w:color="auto"/>
              <w:right w:val="single" w:sz="8" w:space="0" w:color="auto"/>
            </w:tcBorders>
            <w:shd w:val="clear" w:color="auto" w:fill="FFFFFF"/>
            <w:vAlign w:val="center"/>
            <w:hideMark/>
          </w:tcPr>
          <w:p w14:paraId="117649E6" w14:textId="77777777" w:rsidR="00D817FF" w:rsidRPr="00303906" w:rsidRDefault="007C2D5F" w:rsidP="007C2D5F">
            <w:pPr>
              <w:spacing w:after="0" w:line="240" w:lineRule="auto"/>
              <w:rPr>
                <w:color w:val="000000"/>
                <w:sz w:val="20"/>
              </w:rPr>
            </w:pPr>
            <w:r w:rsidRPr="00303906">
              <w:rPr>
                <w:color w:val="000000"/>
                <w:sz w:val="20"/>
              </w:rPr>
              <w:t xml:space="preserve">Revenue management &amp; expenditures </w:t>
            </w:r>
            <w:r w:rsidR="00D817FF" w:rsidRPr="00303906">
              <w:rPr>
                <w:color w:val="000000"/>
                <w:sz w:val="20"/>
              </w:rPr>
              <w:t>(#5.3)</w:t>
            </w:r>
          </w:p>
        </w:tc>
        <w:tc>
          <w:tcPr>
            <w:tcW w:w="484" w:type="dxa"/>
            <w:tcBorders>
              <w:top w:val="nil"/>
              <w:left w:val="nil"/>
              <w:bottom w:val="single" w:sz="8" w:space="0" w:color="auto"/>
              <w:right w:val="single" w:sz="8" w:space="0" w:color="auto"/>
            </w:tcBorders>
            <w:shd w:val="clear" w:color="auto" w:fill="D9D9D9"/>
            <w:noWrap/>
            <w:vAlign w:val="bottom"/>
            <w:hideMark/>
          </w:tcPr>
          <w:p w14:paraId="01FDA9F7" w14:textId="77777777" w:rsidR="00D817FF" w:rsidRPr="00303906" w:rsidRDefault="00D817FF" w:rsidP="00D817FF">
            <w:pPr>
              <w:spacing w:after="0" w:line="240" w:lineRule="auto"/>
              <w:rPr>
                <w:color w:val="000000"/>
              </w:rPr>
            </w:pPr>
            <w:r w:rsidRPr="00303906">
              <w:rPr>
                <w:color w:val="000000"/>
              </w:rPr>
              <w:t> </w:t>
            </w:r>
          </w:p>
        </w:tc>
        <w:tc>
          <w:tcPr>
            <w:tcW w:w="484" w:type="dxa"/>
            <w:tcBorders>
              <w:top w:val="nil"/>
              <w:left w:val="nil"/>
              <w:bottom w:val="single" w:sz="8" w:space="0" w:color="auto"/>
              <w:right w:val="single" w:sz="8" w:space="0" w:color="auto"/>
            </w:tcBorders>
            <w:shd w:val="clear" w:color="auto" w:fill="D9D9D9"/>
            <w:noWrap/>
            <w:vAlign w:val="bottom"/>
            <w:hideMark/>
          </w:tcPr>
          <w:p w14:paraId="7B6E1F0D" w14:textId="77777777" w:rsidR="00D817FF" w:rsidRPr="00303906" w:rsidRDefault="00D817FF" w:rsidP="00D817FF">
            <w:pPr>
              <w:spacing w:after="0" w:line="240" w:lineRule="auto"/>
              <w:rPr>
                <w:color w:val="000000"/>
              </w:rPr>
            </w:pPr>
            <w:r w:rsidRPr="00303906">
              <w:rPr>
                <w:color w:val="000000"/>
              </w:rPr>
              <w:t> </w:t>
            </w:r>
          </w:p>
        </w:tc>
        <w:tc>
          <w:tcPr>
            <w:tcW w:w="484" w:type="dxa"/>
            <w:tcBorders>
              <w:top w:val="nil"/>
              <w:left w:val="nil"/>
              <w:bottom w:val="single" w:sz="8" w:space="0" w:color="auto"/>
              <w:right w:val="single" w:sz="8" w:space="0" w:color="auto"/>
            </w:tcBorders>
            <w:shd w:val="clear" w:color="auto" w:fill="D9D9D9"/>
            <w:noWrap/>
            <w:vAlign w:val="bottom"/>
            <w:hideMark/>
          </w:tcPr>
          <w:p w14:paraId="4AAA2A03" w14:textId="77777777" w:rsidR="00D817FF" w:rsidRPr="00303906" w:rsidRDefault="00D817FF" w:rsidP="00D817FF">
            <w:pPr>
              <w:spacing w:after="0" w:line="240" w:lineRule="auto"/>
              <w:rPr>
                <w:color w:val="000000"/>
              </w:rPr>
            </w:pPr>
            <w:r w:rsidRPr="00303906">
              <w:rPr>
                <w:color w:val="000000"/>
              </w:rPr>
              <w:t> </w:t>
            </w:r>
          </w:p>
        </w:tc>
        <w:tc>
          <w:tcPr>
            <w:tcW w:w="504" w:type="dxa"/>
            <w:tcBorders>
              <w:top w:val="nil"/>
              <w:left w:val="nil"/>
              <w:bottom w:val="single" w:sz="8" w:space="0" w:color="auto"/>
              <w:right w:val="single" w:sz="8" w:space="0" w:color="auto"/>
            </w:tcBorders>
            <w:shd w:val="clear" w:color="auto" w:fill="D9D9D9"/>
            <w:noWrap/>
            <w:vAlign w:val="bottom"/>
            <w:hideMark/>
          </w:tcPr>
          <w:p w14:paraId="7D1AA268" w14:textId="77777777" w:rsidR="00D817FF" w:rsidRPr="00303906" w:rsidRDefault="00D817FF" w:rsidP="00D817FF">
            <w:pPr>
              <w:spacing w:after="0" w:line="240" w:lineRule="auto"/>
              <w:rPr>
                <w:color w:val="000000"/>
              </w:rPr>
            </w:pPr>
            <w:r w:rsidRPr="00303906">
              <w:rPr>
                <w:color w:val="000000"/>
              </w:rPr>
              <w:t> </w:t>
            </w:r>
          </w:p>
        </w:tc>
        <w:tc>
          <w:tcPr>
            <w:tcW w:w="484" w:type="dxa"/>
            <w:gridSpan w:val="2"/>
            <w:tcBorders>
              <w:top w:val="nil"/>
              <w:left w:val="nil"/>
              <w:bottom w:val="single" w:sz="8" w:space="0" w:color="auto"/>
              <w:right w:val="single" w:sz="8" w:space="0" w:color="auto"/>
            </w:tcBorders>
            <w:shd w:val="clear" w:color="auto" w:fill="D9D9D9"/>
            <w:noWrap/>
            <w:vAlign w:val="bottom"/>
            <w:hideMark/>
          </w:tcPr>
          <w:p w14:paraId="01D57083" w14:textId="77777777" w:rsidR="00D817FF" w:rsidRPr="00303906" w:rsidRDefault="00D817FF" w:rsidP="00D817FF">
            <w:pPr>
              <w:spacing w:after="0" w:line="240" w:lineRule="auto"/>
              <w:rPr>
                <w:color w:val="000000"/>
              </w:rPr>
            </w:pPr>
            <w:r w:rsidRPr="00303906">
              <w:rPr>
                <w:color w:val="000000"/>
              </w:rPr>
              <w:t> </w:t>
            </w:r>
          </w:p>
        </w:tc>
      </w:tr>
      <w:tr w:rsidR="00D817FF" w:rsidRPr="00575789" w14:paraId="775B3537" w14:textId="77777777" w:rsidTr="00B331A9">
        <w:trPr>
          <w:trHeight w:val="300"/>
        </w:trPr>
        <w:tc>
          <w:tcPr>
            <w:tcW w:w="2077" w:type="dxa"/>
            <w:gridSpan w:val="3"/>
            <w:vMerge w:val="restart"/>
            <w:tcBorders>
              <w:top w:val="single" w:sz="8" w:space="0" w:color="auto"/>
              <w:left w:val="single" w:sz="8" w:space="0" w:color="auto"/>
              <w:bottom w:val="single" w:sz="8" w:space="0" w:color="auto"/>
              <w:right w:val="single" w:sz="8" w:space="0" w:color="000000"/>
            </w:tcBorders>
            <w:shd w:val="clear" w:color="auto" w:fill="BFBFBF"/>
            <w:vAlign w:val="center"/>
            <w:hideMark/>
          </w:tcPr>
          <w:p w14:paraId="570D2AB6" w14:textId="77777777" w:rsidR="00D817FF" w:rsidRPr="00303906" w:rsidRDefault="00D817FF" w:rsidP="00D817FF">
            <w:pPr>
              <w:spacing w:after="0" w:line="240" w:lineRule="auto"/>
              <w:rPr>
                <w:b/>
                <w:bCs/>
                <w:color w:val="000000"/>
              </w:rPr>
            </w:pPr>
            <w:r w:rsidRPr="00303906">
              <w:rPr>
                <w:b/>
                <w:bCs/>
                <w:color w:val="000000"/>
              </w:rPr>
              <w:t>Socio-economic contribution</w:t>
            </w:r>
          </w:p>
        </w:tc>
        <w:tc>
          <w:tcPr>
            <w:tcW w:w="3889" w:type="dxa"/>
            <w:gridSpan w:val="4"/>
            <w:tcBorders>
              <w:top w:val="nil"/>
              <w:left w:val="single" w:sz="8" w:space="0" w:color="auto"/>
              <w:bottom w:val="single" w:sz="8" w:space="0" w:color="auto"/>
              <w:right w:val="single" w:sz="8" w:space="0" w:color="auto"/>
            </w:tcBorders>
            <w:shd w:val="clear" w:color="auto" w:fill="FFFFFF"/>
            <w:vAlign w:val="center"/>
            <w:hideMark/>
          </w:tcPr>
          <w:p w14:paraId="2F2C67CD" w14:textId="77777777" w:rsidR="00D817FF" w:rsidRPr="00303906" w:rsidRDefault="00D817FF" w:rsidP="00D817FF">
            <w:pPr>
              <w:spacing w:after="0" w:line="240" w:lineRule="auto"/>
              <w:rPr>
                <w:color w:val="000000"/>
                <w:sz w:val="20"/>
              </w:rPr>
            </w:pPr>
            <w:r w:rsidRPr="00303906">
              <w:rPr>
                <w:color w:val="000000"/>
                <w:sz w:val="20"/>
              </w:rPr>
              <w:t>Mandatory social expenditures (#6.1.a)</w:t>
            </w:r>
          </w:p>
        </w:tc>
        <w:tc>
          <w:tcPr>
            <w:tcW w:w="484" w:type="dxa"/>
            <w:tcBorders>
              <w:top w:val="nil"/>
              <w:left w:val="nil"/>
              <w:bottom w:val="single" w:sz="8" w:space="0" w:color="auto"/>
              <w:right w:val="single" w:sz="8" w:space="0" w:color="auto"/>
            </w:tcBorders>
            <w:noWrap/>
            <w:vAlign w:val="bottom"/>
            <w:hideMark/>
          </w:tcPr>
          <w:p w14:paraId="5596FB96" w14:textId="77777777" w:rsidR="00D817FF" w:rsidRPr="00303906" w:rsidRDefault="00D817FF" w:rsidP="00D817FF">
            <w:pPr>
              <w:spacing w:after="0" w:line="240" w:lineRule="auto"/>
              <w:rPr>
                <w:color w:val="000000"/>
              </w:rPr>
            </w:pPr>
            <w:r w:rsidRPr="00303906">
              <w:rPr>
                <w:color w:val="000000"/>
              </w:rPr>
              <w:t> </w:t>
            </w:r>
          </w:p>
        </w:tc>
        <w:tc>
          <w:tcPr>
            <w:tcW w:w="484" w:type="dxa"/>
            <w:tcBorders>
              <w:top w:val="nil"/>
              <w:left w:val="nil"/>
              <w:bottom w:val="single" w:sz="8" w:space="0" w:color="auto"/>
              <w:right w:val="single" w:sz="8" w:space="0" w:color="auto"/>
            </w:tcBorders>
            <w:shd w:val="clear" w:color="auto" w:fill="FF0000"/>
            <w:noWrap/>
            <w:vAlign w:val="bottom"/>
            <w:hideMark/>
          </w:tcPr>
          <w:p w14:paraId="1C3E9AB6" w14:textId="77777777" w:rsidR="00D817FF" w:rsidRPr="00303906" w:rsidRDefault="00D817FF" w:rsidP="00D817FF">
            <w:pPr>
              <w:spacing w:after="0" w:line="240" w:lineRule="auto"/>
              <w:rPr>
                <w:color w:val="000000"/>
              </w:rPr>
            </w:pPr>
            <w:r w:rsidRPr="00303906">
              <w:rPr>
                <w:color w:val="000000"/>
              </w:rPr>
              <w:t> </w:t>
            </w:r>
          </w:p>
        </w:tc>
        <w:tc>
          <w:tcPr>
            <w:tcW w:w="484" w:type="dxa"/>
            <w:tcBorders>
              <w:top w:val="single" w:sz="8" w:space="0" w:color="auto"/>
              <w:left w:val="nil"/>
              <w:bottom w:val="single" w:sz="8" w:space="0" w:color="auto"/>
              <w:right w:val="single" w:sz="8" w:space="0" w:color="auto"/>
            </w:tcBorders>
            <w:shd w:val="clear" w:color="auto" w:fill="auto"/>
            <w:noWrap/>
            <w:vAlign w:val="bottom"/>
            <w:hideMark/>
          </w:tcPr>
          <w:p w14:paraId="28C1FD34" w14:textId="77777777" w:rsidR="00D817FF" w:rsidRPr="00303906" w:rsidRDefault="00D817FF" w:rsidP="00D817FF">
            <w:pPr>
              <w:spacing w:after="0" w:line="240" w:lineRule="auto"/>
              <w:rPr>
                <w:color w:val="000000"/>
              </w:rPr>
            </w:pPr>
            <w:r w:rsidRPr="00303906">
              <w:rPr>
                <w:color w:val="000000"/>
              </w:rPr>
              <w:t> </w:t>
            </w:r>
          </w:p>
        </w:tc>
        <w:tc>
          <w:tcPr>
            <w:tcW w:w="504" w:type="dxa"/>
            <w:tcBorders>
              <w:top w:val="nil"/>
              <w:left w:val="nil"/>
              <w:bottom w:val="single" w:sz="8" w:space="0" w:color="auto"/>
              <w:right w:val="single" w:sz="8" w:space="0" w:color="auto"/>
            </w:tcBorders>
            <w:noWrap/>
            <w:vAlign w:val="bottom"/>
            <w:hideMark/>
          </w:tcPr>
          <w:p w14:paraId="351B7980" w14:textId="77777777" w:rsidR="00D817FF" w:rsidRPr="00303906" w:rsidRDefault="00D817FF" w:rsidP="00D817FF">
            <w:pPr>
              <w:spacing w:after="0" w:line="240" w:lineRule="auto"/>
              <w:rPr>
                <w:color w:val="000000"/>
              </w:rPr>
            </w:pPr>
            <w:r w:rsidRPr="00303906">
              <w:rPr>
                <w:color w:val="000000"/>
              </w:rPr>
              <w:t> </w:t>
            </w:r>
          </w:p>
        </w:tc>
        <w:tc>
          <w:tcPr>
            <w:tcW w:w="484" w:type="dxa"/>
            <w:gridSpan w:val="2"/>
            <w:tcBorders>
              <w:top w:val="nil"/>
              <w:left w:val="nil"/>
              <w:bottom w:val="single" w:sz="8" w:space="0" w:color="auto"/>
              <w:right w:val="single" w:sz="8" w:space="0" w:color="auto"/>
            </w:tcBorders>
            <w:noWrap/>
            <w:vAlign w:val="bottom"/>
            <w:hideMark/>
          </w:tcPr>
          <w:p w14:paraId="7A10F385" w14:textId="77777777" w:rsidR="00D817FF" w:rsidRPr="00303906" w:rsidRDefault="00D817FF" w:rsidP="00D817FF">
            <w:pPr>
              <w:spacing w:after="0" w:line="240" w:lineRule="auto"/>
              <w:rPr>
                <w:color w:val="000000"/>
              </w:rPr>
            </w:pPr>
            <w:r w:rsidRPr="00303906">
              <w:rPr>
                <w:color w:val="000000"/>
              </w:rPr>
              <w:t> </w:t>
            </w:r>
          </w:p>
        </w:tc>
      </w:tr>
      <w:tr w:rsidR="00D817FF" w:rsidRPr="00575789" w14:paraId="07F00E09" w14:textId="77777777" w:rsidTr="00B331A9">
        <w:trPr>
          <w:trHeight w:val="300"/>
        </w:trPr>
        <w:tc>
          <w:tcPr>
            <w:tcW w:w="2077" w:type="dxa"/>
            <w:gridSpan w:val="3"/>
            <w:vMerge/>
            <w:tcBorders>
              <w:top w:val="single" w:sz="8" w:space="0" w:color="auto"/>
              <w:left w:val="single" w:sz="8" w:space="0" w:color="auto"/>
              <w:bottom w:val="single" w:sz="8" w:space="0" w:color="auto"/>
              <w:right w:val="single" w:sz="8" w:space="0" w:color="000000"/>
            </w:tcBorders>
            <w:vAlign w:val="center"/>
            <w:hideMark/>
          </w:tcPr>
          <w:p w14:paraId="01158196" w14:textId="77777777" w:rsidR="00D817FF" w:rsidRPr="00303906" w:rsidRDefault="00D817FF" w:rsidP="00D817FF">
            <w:pPr>
              <w:spacing w:after="0" w:line="256" w:lineRule="auto"/>
              <w:rPr>
                <w:b/>
                <w:bCs/>
                <w:color w:val="000000"/>
              </w:rPr>
            </w:pPr>
          </w:p>
        </w:tc>
        <w:tc>
          <w:tcPr>
            <w:tcW w:w="3889" w:type="dxa"/>
            <w:gridSpan w:val="4"/>
            <w:tcBorders>
              <w:top w:val="nil"/>
              <w:left w:val="single" w:sz="8" w:space="0" w:color="auto"/>
              <w:bottom w:val="single" w:sz="8" w:space="0" w:color="auto"/>
              <w:right w:val="single" w:sz="8" w:space="0" w:color="auto"/>
            </w:tcBorders>
            <w:shd w:val="clear" w:color="auto" w:fill="FFFFFF"/>
            <w:vAlign w:val="center"/>
            <w:hideMark/>
          </w:tcPr>
          <w:p w14:paraId="3118FBAF" w14:textId="77777777" w:rsidR="00D817FF" w:rsidRPr="00303906" w:rsidRDefault="00D817FF" w:rsidP="00D817FF">
            <w:pPr>
              <w:spacing w:after="0" w:line="240" w:lineRule="auto"/>
              <w:rPr>
                <w:color w:val="000000"/>
                <w:sz w:val="20"/>
              </w:rPr>
            </w:pPr>
            <w:r w:rsidRPr="00303906">
              <w:rPr>
                <w:color w:val="000000"/>
                <w:sz w:val="20"/>
              </w:rPr>
              <w:t>Discretionary social expenditures (#6.1.b)</w:t>
            </w:r>
          </w:p>
        </w:tc>
        <w:tc>
          <w:tcPr>
            <w:tcW w:w="484" w:type="dxa"/>
            <w:tcBorders>
              <w:top w:val="nil"/>
              <w:left w:val="nil"/>
              <w:bottom w:val="single" w:sz="8" w:space="0" w:color="auto"/>
              <w:right w:val="single" w:sz="8" w:space="0" w:color="auto"/>
            </w:tcBorders>
            <w:shd w:val="clear" w:color="auto" w:fill="D9D9D9"/>
            <w:noWrap/>
            <w:vAlign w:val="bottom"/>
            <w:hideMark/>
          </w:tcPr>
          <w:p w14:paraId="267C3827" w14:textId="77777777" w:rsidR="00D817FF" w:rsidRPr="00303906" w:rsidRDefault="00D817FF" w:rsidP="00D817FF">
            <w:pPr>
              <w:spacing w:after="0" w:line="240" w:lineRule="auto"/>
              <w:rPr>
                <w:color w:val="000000"/>
              </w:rPr>
            </w:pPr>
            <w:r w:rsidRPr="00303906">
              <w:rPr>
                <w:color w:val="000000"/>
              </w:rPr>
              <w:t> </w:t>
            </w:r>
          </w:p>
        </w:tc>
        <w:tc>
          <w:tcPr>
            <w:tcW w:w="484" w:type="dxa"/>
            <w:tcBorders>
              <w:top w:val="nil"/>
              <w:left w:val="nil"/>
              <w:bottom w:val="single" w:sz="8" w:space="0" w:color="auto"/>
              <w:right w:val="single" w:sz="8" w:space="0" w:color="auto"/>
            </w:tcBorders>
            <w:shd w:val="clear" w:color="auto" w:fill="D9D9D9"/>
            <w:noWrap/>
            <w:vAlign w:val="bottom"/>
            <w:hideMark/>
          </w:tcPr>
          <w:p w14:paraId="0682EB67" w14:textId="77777777" w:rsidR="00D817FF" w:rsidRPr="00303906" w:rsidRDefault="00D817FF" w:rsidP="00D817FF">
            <w:pPr>
              <w:spacing w:after="0" w:line="240" w:lineRule="auto"/>
              <w:rPr>
                <w:color w:val="000000"/>
              </w:rPr>
            </w:pPr>
            <w:r w:rsidRPr="00303906">
              <w:rPr>
                <w:color w:val="000000"/>
              </w:rPr>
              <w:t> </w:t>
            </w:r>
          </w:p>
        </w:tc>
        <w:tc>
          <w:tcPr>
            <w:tcW w:w="484" w:type="dxa"/>
            <w:tcBorders>
              <w:top w:val="nil"/>
              <w:left w:val="nil"/>
              <w:bottom w:val="single" w:sz="8" w:space="0" w:color="auto"/>
              <w:right w:val="single" w:sz="8" w:space="0" w:color="auto"/>
            </w:tcBorders>
            <w:shd w:val="clear" w:color="auto" w:fill="D9D9D9"/>
            <w:noWrap/>
            <w:vAlign w:val="bottom"/>
            <w:hideMark/>
          </w:tcPr>
          <w:p w14:paraId="678D853A" w14:textId="77777777" w:rsidR="00D817FF" w:rsidRPr="00303906" w:rsidRDefault="00D817FF" w:rsidP="00D817FF">
            <w:pPr>
              <w:spacing w:after="0" w:line="240" w:lineRule="auto"/>
              <w:rPr>
                <w:color w:val="000000"/>
              </w:rPr>
            </w:pPr>
            <w:r w:rsidRPr="00303906">
              <w:rPr>
                <w:color w:val="000000"/>
              </w:rPr>
              <w:t> </w:t>
            </w:r>
          </w:p>
        </w:tc>
        <w:tc>
          <w:tcPr>
            <w:tcW w:w="504" w:type="dxa"/>
            <w:tcBorders>
              <w:top w:val="nil"/>
              <w:left w:val="nil"/>
              <w:bottom w:val="single" w:sz="8" w:space="0" w:color="auto"/>
              <w:right w:val="single" w:sz="8" w:space="0" w:color="auto"/>
            </w:tcBorders>
            <w:shd w:val="clear" w:color="auto" w:fill="D9D9D9"/>
            <w:noWrap/>
            <w:vAlign w:val="bottom"/>
            <w:hideMark/>
          </w:tcPr>
          <w:p w14:paraId="3B3CEA1C" w14:textId="77777777" w:rsidR="00D817FF" w:rsidRPr="00303906" w:rsidRDefault="00D817FF" w:rsidP="00D817FF">
            <w:pPr>
              <w:spacing w:after="0" w:line="240" w:lineRule="auto"/>
              <w:rPr>
                <w:color w:val="000000"/>
              </w:rPr>
            </w:pPr>
            <w:r w:rsidRPr="00303906">
              <w:rPr>
                <w:color w:val="000000"/>
              </w:rPr>
              <w:t> </w:t>
            </w:r>
          </w:p>
        </w:tc>
        <w:tc>
          <w:tcPr>
            <w:tcW w:w="484" w:type="dxa"/>
            <w:gridSpan w:val="2"/>
            <w:tcBorders>
              <w:top w:val="nil"/>
              <w:left w:val="nil"/>
              <w:bottom w:val="single" w:sz="8" w:space="0" w:color="auto"/>
              <w:right w:val="single" w:sz="8" w:space="0" w:color="auto"/>
            </w:tcBorders>
            <w:shd w:val="clear" w:color="auto" w:fill="D9D9D9"/>
            <w:noWrap/>
            <w:vAlign w:val="bottom"/>
            <w:hideMark/>
          </w:tcPr>
          <w:p w14:paraId="2AEE02D9" w14:textId="77777777" w:rsidR="00D817FF" w:rsidRPr="00303906" w:rsidRDefault="00D817FF" w:rsidP="00D817FF">
            <w:pPr>
              <w:spacing w:after="0" w:line="240" w:lineRule="auto"/>
              <w:rPr>
                <w:color w:val="000000"/>
              </w:rPr>
            </w:pPr>
            <w:r w:rsidRPr="00303906">
              <w:rPr>
                <w:color w:val="000000"/>
              </w:rPr>
              <w:t> </w:t>
            </w:r>
          </w:p>
        </w:tc>
      </w:tr>
      <w:tr w:rsidR="00D817FF" w:rsidRPr="00575789" w14:paraId="7261A00A" w14:textId="77777777" w:rsidTr="00303906">
        <w:trPr>
          <w:trHeight w:val="300"/>
        </w:trPr>
        <w:tc>
          <w:tcPr>
            <w:tcW w:w="2077" w:type="dxa"/>
            <w:gridSpan w:val="3"/>
            <w:vMerge/>
            <w:tcBorders>
              <w:top w:val="single" w:sz="8" w:space="0" w:color="auto"/>
              <w:left w:val="single" w:sz="8" w:space="0" w:color="auto"/>
              <w:bottom w:val="single" w:sz="8" w:space="0" w:color="auto"/>
              <w:right w:val="single" w:sz="8" w:space="0" w:color="000000"/>
            </w:tcBorders>
            <w:vAlign w:val="center"/>
            <w:hideMark/>
          </w:tcPr>
          <w:p w14:paraId="1F572286" w14:textId="77777777" w:rsidR="00D817FF" w:rsidRPr="00303906" w:rsidRDefault="00D817FF" w:rsidP="00D817FF">
            <w:pPr>
              <w:spacing w:after="0" w:line="256" w:lineRule="auto"/>
              <w:rPr>
                <w:b/>
                <w:bCs/>
                <w:color w:val="000000"/>
              </w:rPr>
            </w:pPr>
          </w:p>
        </w:tc>
        <w:tc>
          <w:tcPr>
            <w:tcW w:w="3889" w:type="dxa"/>
            <w:gridSpan w:val="4"/>
            <w:tcBorders>
              <w:top w:val="nil"/>
              <w:left w:val="single" w:sz="8" w:space="0" w:color="auto"/>
              <w:bottom w:val="single" w:sz="8" w:space="0" w:color="auto"/>
              <w:right w:val="single" w:sz="8" w:space="0" w:color="auto"/>
            </w:tcBorders>
            <w:shd w:val="clear" w:color="auto" w:fill="FFFFFF"/>
            <w:vAlign w:val="center"/>
            <w:hideMark/>
          </w:tcPr>
          <w:p w14:paraId="6CD42B72" w14:textId="77777777" w:rsidR="00D817FF" w:rsidRPr="00303906" w:rsidRDefault="00D817FF" w:rsidP="00D817FF">
            <w:pPr>
              <w:spacing w:after="0" w:line="240" w:lineRule="auto"/>
              <w:rPr>
                <w:color w:val="000000"/>
                <w:sz w:val="20"/>
              </w:rPr>
            </w:pPr>
            <w:r w:rsidRPr="00303906">
              <w:rPr>
                <w:color w:val="000000"/>
                <w:sz w:val="20"/>
              </w:rPr>
              <w:t>SOE quasi-fiscal expenditures (#6.2)</w:t>
            </w:r>
          </w:p>
        </w:tc>
        <w:tc>
          <w:tcPr>
            <w:tcW w:w="484" w:type="dxa"/>
            <w:tcBorders>
              <w:top w:val="single" w:sz="8" w:space="0" w:color="auto"/>
              <w:left w:val="nil"/>
              <w:bottom w:val="single" w:sz="8" w:space="0" w:color="auto"/>
              <w:right w:val="single" w:sz="8" w:space="0" w:color="auto"/>
            </w:tcBorders>
            <w:shd w:val="clear" w:color="auto" w:fill="000000"/>
            <w:noWrap/>
            <w:vAlign w:val="bottom"/>
            <w:hideMark/>
          </w:tcPr>
          <w:p w14:paraId="22939A2B" w14:textId="77777777" w:rsidR="00D817FF" w:rsidRPr="00303906" w:rsidRDefault="00D817FF" w:rsidP="00D817FF">
            <w:pPr>
              <w:spacing w:after="0" w:line="240" w:lineRule="auto"/>
              <w:rPr>
                <w:color w:val="000000"/>
              </w:rPr>
            </w:pPr>
            <w:r w:rsidRPr="00303906">
              <w:rPr>
                <w:color w:val="000000"/>
              </w:rPr>
              <w:t> </w:t>
            </w:r>
          </w:p>
        </w:tc>
        <w:tc>
          <w:tcPr>
            <w:tcW w:w="484" w:type="dxa"/>
            <w:tcBorders>
              <w:top w:val="single" w:sz="8" w:space="0" w:color="auto"/>
              <w:left w:val="nil"/>
              <w:bottom w:val="single" w:sz="8" w:space="0" w:color="auto"/>
              <w:right w:val="single" w:sz="8" w:space="0" w:color="auto"/>
            </w:tcBorders>
            <w:shd w:val="clear" w:color="auto" w:fill="auto"/>
            <w:noWrap/>
            <w:vAlign w:val="bottom"/>
            <w:hideMark/>
          </w:tcPr>
          <w:p w14:paraId="138E30E0" w14:textId="77777777" w:rsidR="00D817FF" w:rsidRPr="00303906" w:rsidRDefault="00D817FF" w:rsidP="00D817FF">
            <w:pPr>
              <w:spacing w:after="0" w:line="240" w:lineRule="auto"/>
              <w:rPr>
                <w:color w:val="000000"/>
              </w:rPr>
            </w:pPr>
            <w:r w:rsidRPr="00303906">
              <w:rPr>
                <w:color w:val="000000"/>
              </w:rPr>
              <w:t> </w:t>
            </w:r>
          </w:p>
        </w:tc>
        <w:tc>
          <w:tcPr>
            <w:tcW w:w="484" w:type="dxa"/>
            <w:tcBorders>
              <w:top w:val="single" w:sz="8" w:space="0" w:color="auto"/>
              <w:left w:val="nil"/>
              <w:bottom w:val="single" w:sz="8" w:space="0" w:color="auto"/>
              <w:right w:val="single" w:sz="8" w:space="0" w:color="auto"/>
            </w:tcBorders>
            <w:shd w:val="clear" w:color="auto" w:fill="auto"/>
            <w:noWrap/>
            <w:vAlign w:val="bottom"/>
            <w:hideMark/>
          </w:tcPr>
          <w:p w14:paraId="50F5BF44" w14:textId="77777777" w:rsidR="00D817FF" w:rsidRPr="00303906" w:rsidRDefault="00D817FF" w:rsidP="00D817FF">
            <w:pPr>
              <w:spacing w:after="0" w:line="240" w:lineRule="auto"/>
              <w:rPr>
                <w:color w:val="000000"/>
              </w:rPr>
            </w:pPr>
            <w:r w:rsidRPr="00303906">
              <w:rPr>
                <w:color w:val="000000"/>
              </w:rPr>
              <w:t> </w:t>
            </w:r>
          </w:p>
        </w:tc>
        <w:tc>
          <w:tcPr>
            <w:tcW w:w="504" w:type="dxa"/>
            <w:tcBorders>
              <w:top w:val="single" w:sz="8" w:space="0" w:color="auto"/>
              <w:left w:val="nil"/>
              <w:bottom w:val="single" w:sz="8" w:space="0" w:color="auto"/>
              <w:right w:val="single" w:sz="8" w:space="0" w:color="auto"/>
            </w:tcBorders>
            <w:shd w:val="clear" w:color="auto" w:fill="auto"/>
            <w:noWrap/>
            <w:vAlign w:val="bottom"/>
            <w:hideMark/>
          </w:tcPr>
          <w:p w14:paraId="7EB76EE3" w14:textId="77777777" w:rsidR="00D817FF" w:rsidRPr="00303906" w:rsidRDefault="00D817FF" w:rsidP="00D817FF">
            <w:pPr>
              <w:spacing w:after="0" w:line="240" w:lineRule="auto"/>
              <w:rPr>
                <w:color w:val="000000"/>
              </w:rPr>
            </w:pPr>
            <w:r w:rsidRPr="00303906">
              <w:rPr>
                <w:color w:val="000000"/>
              </w:rPr>
              <w:t> </w:t>
            </w:r>
          </w:p>
        </w:tc>
        <w:tc>
          <w:tcPr>
            <w:tcW w:w="484" w:type="dxa"/>
            <w:gridSpan w:val="2"/>
            <w:tcBorders>
              <w:top w:val="single" w:sz="8" w:space="0" w:color="auto"/>
              <w:left w:val="nil"/>
              <w:bottom w:val="single" w:sz="8" w:space="0" w:color="auto"/>
              <w:right w:val="single" w:sz="8" w:space="0" w:color="auto"/>
            </w:tcBorders>
            <w:shd w:val="clear" w:color="auto" w:fill="auto"/>
            <w:noWrap/>
            <w:vAlign w:val="bottom"/>
            <w:hideMark/>
          </w:tcPr>
          <w:p w14:paraId="5E25FCD7" w14:textId="77777777" w:rsidR="00D817FF" w:rsidRPr="00303906" w:rsidRDefault="00D817FF" w:rsidP="00D817FF">
            <w:pPr>
              <w:spacing w:after="0" w:line="240" w:lineRule="auto"/>
              <w:rPr>
                <w:color w:val="000000"/>
              </w:rPr>
            </w:pPr>
            <w:r w:rsidRPr="00303906">
              <w:rPr>
                <w:color w:val="000000"/>
              </w:rPr>
              <w:t> </w:t>
            </w:r>
          </w:p>
        </w:tc>
      </w:tr>
      <w:tr w:rsidR="00D817FF" w:rsidRPr="00575789" w14:paraId="1227EC45" w14:textId="77777777" w:rsidTr="00B331A9">
        <w:trPr>
          <w:trHeight w:val="300"/>
        </w:trPr>
        <w:tc>
          <w:tcPr>
            <w:tcW w:w="2077" w:type="dxa"/>
            <w:gridSpan w:val="3"/>
            <w:vMerge/>
            <w:tcBorders>
              <w:top w:val="single" w:sz="8" w:space="0" w:color="auto"/>
              <w:left w:val="single" w:sz="8" w:space="0" w:color="auto"/>
              <w:bottom w:val="single" w:sz="8" w:space="0" w:color="auto"/>
              <w:right w:val="single" w:sz="8" w:space="0" w:color="000000"/>
            </w:tcBorders>
            <w:vAlign w:val="center"/>
            <w:hideMark/>
          </w:tcPr>
          <w:p w14:paraId="26459AF7" w14:textId="77777777" w:rsidR="00D817FF" w:rsidRPr="00303906" w:rsidRDefault="00D817FF" w:rsidP="00D817FF">
            <w:pPr>
              <w:spacing w:after="0" w:line="256" w:lineRule="auto"/>
              <w:rPr>
                <w:b/>
                <w:bCs/>
                <w:color w:val="000000"/>
              </w:rPr>
            </w:pPr>
          </w:p>
        </w:tc>
        <w:tc>
          <w:tcPr>
            <w:tcW w:w="3889" w:type="dxa"/>
            <w:gridSpan w:val="4"/>
            <w:tcBorders>
              <w:top w:val="nil"/>
              <w:left w:val="single" w:sz="8" w:space="0" w:color="auto"/>
              <w:bottom w:val="single" w:sz="8" w:space="0" w:color="auto"/>
              <w:right w:val="single" w:sz="8" w:space="0" w:color="auto"/>
            </w:tcBorders>
            <w:shd w:val="clear" w:color="auto" w:fill="FFFFFF"/>
            <w:vAlign w:val="center"/>
            <w:hideMark/>
          </w:tcPr>
          <w:p w14:paraId="5756CEF8" w14:textId="77777777" w:rsidR="00D817FF" w:rsidRPr="00303906" w:rsidRDefault="00D817FF" w:rsidP="00D817FF">
            <w:pPr>
              <w:spacing w:after="0" w:line="240" w:lineRule="auto"/>
              <w:rPr>
                <w:color w:val="000000"/>
                <w:sz w:val="20"/>
              </w:rPr>
            </w:pPr>
            <w:r w:rsidRPr="00303906">
              <w:rPr>
                <w:color w:val="000000"/>
                <w:sz w:val="20"/>
              </w:rPr>
              <w:t>Economic contribution (#6.3)</w:t>
            </w:r>
          </w:p>
        </w:tc>
        <w:tc>
          <w:tcPr>
            <w:tcW w:w="484" w:type="dxa"/>
            <w:tcBorders>
              <w:top w:val="single" w:sz="8" w:space="0" w:color="auto"/>
              <w:left w:val="nil"/>
              <w:bottom w:val="single" w:sz="8" w:space="0" w:color="auto"/>
              <w:right w:val="single" w:sz="8" w:space="0" w:color="auto"/>
            </w:tcBorders>
            <w:noWrap/>
            <w:vAlign w:val="bottom"/>
            <w:hideMark/>
          </w:tcPr>
          <w:p w14:paraId="384EE6BF" w14:textId="77777777" w:rsidR="00D817FF" w:rsidRPr="00303906" w:rsidRDefault="00D817FF" w:rsidP="00D817FF">
            <w:pPr>
              <w:spacing w:after="0" w:line="240" w:lineRule="auto"/>
              <w:rPr>
                <w:color w:val="000000"/>
              </w:rPr>
            </w:pPr>
            <w:r w:rsidRPr="00303906">
              <w:rPr>
                <w:color w:val="000000"/>
              </w:rPr>
              <w:t> </w:t>
            </w:r>
          </w:p>
        </w:tc>
        <w:tc>
          <w:tcPr>
            <w:tcW w:w="484" w:type="dxa"/>
            <w:tcBorders>
              <w:top w:val="single" w:sz="8" w:space="0" w:color="auto"/>
              <w:left w:val="nil"/>
              <w:bottom w:val="single" w:sz="8" w:space="0" w:color="auto"/>
              <w:right w:val="single" w:sz="8" w:space="0" w:color="auto"/>
            </w:tcBorders>
            <w:noWrap/>
            <w:vAlign w:val="bottom"/>
            <w:hideMark/>
          </w:tcPr>
          <w:p w14:paraId="45F70162" w14:textId="77777777" w:rsidR="00D817FF" w:rsidRPr="00303906" w:rsidRDefault="00D817FF" w:rsidP="00D817FF">
            <w:pPr>
              <w:spacing w:after="0" w:line="240" w:lineRule="auto"/>
              <w:rPr>
                <w:color w:val="000000"/>
              </w:rPr>
            </w:pPr>
            <w:r w:rsidRPr="00303906">
              <w:rPr>
                <w:color w:val="000000"/>
              </w:rPr>
              <w:t> </w:t>
            </w:r>
          </w:p>
        </w:tc>
        <w:tc>
          <w:tcPr>
            <w:tcW w:w="484" w:type="dxa"/>
            <w:tcBorders>
              <w:top w:val="single" w:sz="8" w:space="0" w:color="auto"/>
              <w:left w:val="nil"/>
              <w:bottom w:val="single" w:sz="8" w:space="0" w:color="auto"/>
              <w:right w:val="single" w:sz="8" w:space="0" w:color="auto"/>
            </w:tcBorders>
            <w:shd w:val="clear" w:color="auto" w:fill="auto"/>
            <w:noWrap/>
            <w:vAlign w:val="bottom"/>
            <w:hideMark/>
          </w:tcPr>
          <w:p w14:paraId="2FFCD7D5" w14:textId="77777777" w:rsidR="00D817FF" w:rsidRPr="00303906" w:rsidRDefault="00D817FF" w:rsidP="00D817FF">
            <w:pPr>
              <w:spacing w:after="0" w:line="240" w:lineRule="auto"/>
              <w:rPr>
                <w:color w:val="000000"/>
              </w:rPr>
            </w:pPr>
            <w:r w:rsidRPr="00303906">
              <w:rPr>
                <w:color w:val="000000"/>
              </w:rPr>
              <w:t> </w:t>
            </w:r>
          </w:p>
        </w:tc>
        <w:tc>
          <w:tcPr>
            <w:tcW w:w="504" w:type="dxa"/>
            <w:tcBorders>
              <w:top w:val="single" w:sz="8" w:space="0" w:color="auto"/>
              <w:left w:val="nil"/>
              <w:bottom w:val="single" w:sz="8" w:space="0" w:color="auto"/>
              <w:right w:val="single" w:sz="8" w:space="0" w:color="auto"/>
            </w:tcBorders>
            <w:shd w:val="clear" w:color="auto" w:fill="99CC00"/>
            <w:noWrap/>
            <w:vAlign w:val="bottom"/>
            <w:hideMark/>
          </w:tcPr>
          <w:p w14:paraId="11F0C7F2" w14:textId="77777777" w:rsidR="00D817FF" w:rsidRPr="00303906" w:rsidRDefault="00D817FF" w:rsidP="00D817FF">
            <w:pPr>
              <w:spacing w:after="0" w:line="240" w:lineRule="auto"/>
              <w:rPr>
                <w:color w:val="000000"/>
              </w:rPr>
            </w:pPr>
            <w:r w:rsidRPr="00303906">
              <w:rPr>
                <w:color w:val="000000"/>
              </w:rPr>
              <w:t> </w:t>
            </w:r>
          </w:p>
        </w:tc>
        <w:tc>
          <w:tcPr>
            <w:tcW w:w="484" w:type="dxa"/>
            <w:gridSpan w:val="2"/>
            <w:tcBorders>
              <w:top w:val="single" w:sz="8" w:space="0" w:color="auto"/>
              <w:left w:val="nil"/>
              <w:bottom w:val="single" w:sz="8" w:space="0" w:color="auto"/>
              <w:right w:val="single" w:sz="8" w:space="0" w:color="auto"/>
            </w:tcBorders>
            <w:noWrap/>
            <w:vAlign w:val="bottom"/>
            <w:hideMark/>
          </w:tcPr>
          <w:p w14:paraId="5D333FEA" w14:textId="77777777" w:rsidR="00D817FF" w:rsidRPr="00303906" w:rsidRDefault="00D817FF" w:rsidP="00D817FF">
            <w:pPr>
              <w:spacing w:after="0" w:line="240" w:lineRule="auto"/>
              <w:rPr>
                <w:color w:val="000000"/>
              </w:rPr>
            </w:pPr>
            <w:r w:rsidRPr="00303906">
              <w:rPr>
                <w:color w:val="000000"/>
              </w:rPr>
              <w:t> </w:t>
            </w:r>
          </w:p>
        </w:tc>
      </w:tr>
      <w:tr w:rsidR="00D817FF" w:rsidRPr="00575789" w14:paraId="6987C3D0" w14:textId="77777777" w:rsidTr="00B331A9">
        <w:trPr>
          <w:trHeight w:val="300"/>
        </w:trPr>
        <w:tc>
          <w:tcPr>
            <w:tcW w:w="2077" w:type="dxa"/>
            <w:gridSpan w:val="3"/>
            <w:vMerge w:val="restart"/>
            <w:tcBorders>
              <w:top w:val="single" w:sz="8" w:space="0" w:color="auto"/>
              <w:left w:val="single" w:sz="8" w:space="0" w:color="auto"/>
              <w:bottom w:val="single" w:sz="8" w:space="0" w:color="auto"/>
              <w:right w:val="single" w:sz="8" w:space="0" w:color="auto"/>
            </w:tcBorders>
            <w:shd w:val="clear" w:color="auto" w:fill="BFBFBF"/>
            <w:noWrap/>
            <w:vAlign w:val="center"/>
            <w:hideMark/>
          </w:tcPr>
          <w:p w14:paraId="209FDB00" w14:textId="77777777" w:rsidR="00D817FF" w:rsidRPr="00303906" w:rsidRDefault="00D817FF" w:rsidP="00D817FF">
            <w:pPr>
              <w:spacing w:after="0" w:line="240" w:lineRule="auto"/>
              <w:rPr>
                <w:b/>
                <w:bCs/>
                <w:color w:val="000000"/>
              </w:rPr>
            </w:pPr>
            <w:r w:rsidRPr="00303906">
              <w:rPr>
                <w:b/>
                <w:bCs/>
                <w:color w:val="000000"/>
              </w:rPr>
              <w:t>Outcomes and impact</w:t>
            </w:r>
          </w:p>
        </w:tc>
        <w:tc>
          <w:tcPr>
            <w:tcW w:w="3889" w:type="dxa"/>
            <w:gridSpan w:val="4"/>
            <w:tcBorders>
              <w:top w:val="single" w:sz="8" w:space="0" w:color="auto"/>
              <w:left w:val="single" w:sz="8" w:space="0" w:color="auto"/>
              <w:bottom w:val="single" w:sz="8" w:space="0" w:color="auto"/>
              <w:right w:val="single" w:sz="8" w:space="0" w:color="auto"/>
            </w:tcBorders>
            <w:noWrap/>
            <w:vAlign w:val="bottom"/>
            <w:hideMark/>
          </w:tcPr>
          <w:p w14:paraId="2FA150DD" w14:textId="77777777" w:rsidR="00D817FF" w:rsidRPr="00303906" w:rsidRDefault="00D817FF" w:rsidP="00D817FF">
            <w:pPr>
              <w:spacing w:after="0" w:line="240" w:lineRule="auto"/>
              <w:rPr>
                <w:color w:val="000000"/>
                <w:sz w:val="20"/>
              </w:rPr>
            </w:pPr>
            <w:r w:rsidRPr="00303906">
              <w:rPr>
                <w:color w:val="000000"/>
                <w:sz w:val="20"/>
              </w:rPr>
              <w:t>Public debate (#7.1)</w:t>
            </w:r>
          </w:p>
        </w:tc>
        <w:tc>
          <w:tcPr>
            <w:tcW w:w="484" w:type="dxa"/>
            <w:tcBorders>
              <w:top w:val="single" w:sz="8" w:space="0" w:color="auto"/>
              <w:left w:val="single" w:sz="8" w:space="0" w:color="auto"/>
              <w:bottom w:val="single" w:sz="8" w:space="0" w:color="auto"/>
              <w:right w:val="single" w:sz="8" w:space="0" w:color="auto"/>
            </w:tcBorders>
            <w:noWrap/>
            <w:vAlign w:val="bottom"/>
            <w:hideMark/>
          </w:tcPr>
          <w:p w14:paraId="5AA7FB29" w14:textId="77777777" w:rsidR="00D817FF" w:rsidRPr="00303906" w:rsidRDefault="00D817FF" w:rsidP="00D817FF">
            <w:pPr>
              <w:spacing w:after="0" w:line="240" w:lineRule="auto"/>
              <w:rPr>
                <w:color w:val="000000"/>
              </w:rPr>
            </w:pPr>
            <w:r w:rsidRPr="00303906">
              <w:rPr>
                <w:color w:val="000000"/>
              </w:rPr>
              <w:t> </w:t>
            </w:r>
          </w:p>
        </w:tc>
        <w:tc>
          <w:tcPr>
            <w:tcW w:w="484" w:type="dxa"/>
            <w:tcBorders>
              <w:top w:val="single" w:sz="8" w:space="0" w:color="auto"/>
              <w:left w:val="single" w:sz="8" w:space="0" w:color="auto"/>
              <w:bottom w:val="single" w:sz="8" w:space="0" w:color="auto"/>
              <w:right w:val="single" w:sz="8" w:space="0" w:color="auto"/>
            </w:tcBorders>
            <w:noWrap/>
            <w:vAlign w:val="bottom"/>
            <w:hideMark/>
          </w:tcPr>
          <w:p w14:paraId="795B3BAB" w14:textId="77777777" w:rsidR="00D817FF" w:rsidRPr="00303906" w:rsidRDefault="00D817FF" w:rsidP="00D817FF">
            <w:pPr>
              <w:spacing w:after="0" w:line="240" w:lineRule="auto"/>
              <w:rPr>
                <w:color w:val="000000"/>
              </w:rPr>
            </w:pPr>
            <w:r w:rsidRPr="00303906">
              <w:rPr>
                <w:color w:val="000000"/>
              </w:rPr>
              <w:t> </w:t>
            </w:r>
          </w:p>
        </w:tc>
        <w:tc>
          <w:tcPr>
            <w:tcW w:w="484" w:type="dxa"/>
            <w:tcBorders>
              <w:top w:val="single" w:sz="8" w:space="0" w:color="auto"/>
              <w:left w:val="single" w:sz="8" w:space="0" w:color="auto"/>
              <w:bottom w:val="single" w:sz="8" w:space="0" w:color="auto"/>
              <w:right w:val="single" w:sz="8" w:space="0" w:color="auto"/>
            </w:tcBorders>
            <w:shd w:val="clear" w:color="auto" w:fill="FFC000"/>
            <w:noWrap/>
            <w:vAlign w:val="bottom"/>
            <w:hideMark/>
          </w:tcPr>
          <w:p w14:paraId="3C0CFEEA" w14:textId="77777777" w:rsidR="00D817FF" w:rsidRPr="00303906" w:rsidRDefault="00D817FF" w:rsidP="00D817FF">
            <w:pPr>
              <w:spacing w:after="0" w:line="240" w:lineRule="auto"/>
              <w:rPr>
                <w:color w:val="000000"/>
              </w:rPr>
            </w:pPr>
            <w:r w:rsidRPr="00303906">
              <w:rPr>
                <w:color w:val="000000"/>
              </w:rPr>
              <w:t> </w:t>
            </w:r>
          </w:p>
        </w:tc>
        <w:tc>
          <w:tcPr>
            <w:tcW w:w="50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99C3125" w14:textId="77777777" w:rsidR="00D817FF" w:rsidRPr="00303906" w:rsidRDefault="00D817FF" w:rsidP="00D817FF">
            <w:pPr>
              <w:spacing w:after="0" w:line="240" w:lineRule="auto"/>
              <w:rPr>
                <w:color w:val="000000"/>
              </w:rPr>
            </w:pPr>
            <w:r w:rsidRPr="00303906">
              <w:rPr>
                <w:color w:val="000000"/>
              </w:rPr>
              <w:t> </w:t>
            </w:r>
          </w:p>
        </w:tc>
        <w:tc>
          <w:tcPr>
            <w:tcW w:w="484" w:type="dxa"/>
            <w:gridSpan w:val="2"/>
            <w:tcBorders>
              <w:top w:val="single" w:sz="8" w:space="0" w:color="auto"/>
              <w:left w:val="single" w:sz="8" w:space="0" w:color="auto"/>
              <w:bottom w:val="single" w:sz="8" w:space="0" w:color="auto"/>
              <w:right w:val="single" w:sz="8" w:space="0" w:color="auto"/>
            </w:tcBorders>
            <w:noWrap/>
            <w:vAlign w:val="bottom"/>
            <w:hideMark/>
          </w:tcPr>
          <w:p w14:paraId="581645FC" w14:textId="77777777" w:rsidR="00D817FF" w:rsidRPr="00303906" w:rsidRDefault="00D817FF" w:rsidP="00D817FF">
            <w:pPr>
              <w:spacing w:after="0" w:line="240" w:lineRule="auto"/>
              <w:rPr>
                <w:color w:val="000000"/>
              </w:rPr>
            </w:pPr>
            <w:r w:rsidRPr="00303906">
              <w:rPr>
                <w:color w:val="000000"/>
              </w:rPr>
              <w:t> </w:t>
            </w:r>
          </w:p>
        </w:tc>
      </w:tr>
      <w:tr w:rsidR="00D817FF" w:rsidRPr="00575789" w14:paraId="20030312" w14:textId="77777777" w:rsidTr="00B331A9">
        <w:trPr>
          <w:trHeight w:val="337"/>
        </w:trPr>
        <w:tc>
          <w:tcPr>
            <w:tcW w:w="2077" w:type="dxa"/>
            <w:gridSpan w:val="3"/>
            <w:vMerge/>
            <w:tcBorders>
              <w:top w:val="single" w:sz="8" w:space="0" w:color="auto"/>
              <w:left w:val="single" w:sz="8" w:space="0" w:color="auto"/>
              <w:bottom w:val="single" w:sz="8" w:space="0" w:color="auto"/>
              <w:right w:val="single" w:sz="8" w:space="0" w:color="auto"/>
            </w:tcBorders>
            <w:vAlign w:val="center"/>
            <w:hideMark/>
          </w:tcPr>
          <w:p w14:paraId="186FF8A7" w14:textId="77777777" w:rsidR="00D817FF" w:rsidRPr="00303906" w:rsidRDefault="00D817FF" w:rsidP="00D817FF">
            <w:pPr>
              <w:spacing w:after="0" w:line="256" w:lineRule="auto"/>
              <w:rPr>
                <w:b/>
                <w:bCs/>
                <w:color w:val="000000"/>
              </w:rPr>
            </w:pPr>
          </w:p>
        </w:tc>
        <w:tc>
          <w:tcPr>
            <w:tcW w:w="3889" w:type="dxa"/>
            <w:gridSpan w:val="4"/>
            <w:tcBorders>
              <w:top w:val="single" w:sz="8" w:space="0" w:color="auto"/>
              <w:left w:val="single" w:sz="8" w:space="0" w:color="auto"/>
              <w:bottom w:val="single" w:sz="8" w:space="0" w:color="auto"/>
              <w:right w:val="single" w:sz="8" w:space="0" w:color="auto"/>
            </w:tcBorders>
            <w:noWrap/>
            <w:vAlign w:val="bottom"/>
            <w:hideMark/>
          </w:tcPr>
          <w:p w14:paraId="1AA2DC56" w14:textId="77777777" w:rsidR="00D817FF" w:rsidRPr="00303906" w:rsidRDefault="00D817FF" w:rsidP="00D817FF">
            <w:pPr>
              <w:spacing w:after="0" w:line="240" w:lineRule="auto"/>
              <w:rPr>
                <w:color w:val="000000"/>
                <w:sz w:val="20"/>
              </w:rPr>
            </w:pPr>
            <w:r w:rsidRPr="00303906">
              <w:rPr>
                <w:color w:val="000000"/>
                <w:sz w:val="20"/>
              </w:rPr>
              <w:t>Data accessibility (#7.2)</w:t>
            </w:r>
          </w:p>
        </w:tc>
        <w:tc>
          <w:tcPr>
            <w:tcW w:w="484" w:type="dxa"/>
            <w:tcBorders>
              <w:top w:val="single" w:sz="8" w:space="0" w:color="auto"/>
              <w:left w:val="single" w:sz="8" w:space="0" w:color="auto"/>
              <w:bottom w:val="single" w:sz="8" w:space="0" w:color="auto"/>
              <w:right w:val="single" w:sz="8" w:space="0" w:color="auto"/>
            </w:tcBorders>
            <w:shd w:val="clear" w:color="auto" w:fill="D9D9D9"/>
            <w:noWrap/>
            <w:vAlign w:val="bottom"/>
            <w:hideMark/>
          </w:tcPr>
          <w:p w14:paraId="74EB9586" w14:textId="77777777" w:rsidR="00D817FF" w:rsidRPr="00303906" w:rsidRDefault="00D817FF" w:rsidP="00D817FF">
            <w:pPr>
              <w:spacing w:after="0" w:line="240" w:lineRule="auto"/>
              <w:rPr>
                <w:color w:val="000000"/>
              </w:rPr>
            </w:pPr>
            <w:r w:rsidRPr="00303906">
              <w:rPr>
                <w:color w:val="000000"/>
              </w:rPr>
              <w:t> </w:t>
            </w:r>
          </w:p>
        </w:tc>
        <w:tc>
          <w:tcPr>
            <w:tcW w:w="484" w:type="dxa"/>
            <w:tcBorders>
              <w:top w:val="single" w:sz="8" w:space="0" w:color="auto"/>
              <w:left w:val="single" w:sz="8" w:space="0" w:color="auto"/>
              <w:bottom w:val="single" w:sz="8" w:space="0" w:color="auto"/>
              <w:right w:val="single" w:sz="8" w:space="0" w:color="auto"/>
            </w:tcBorders>
            <w:shd w:val="clear" w:color="auto" w:fill="D9D9D9"/>
            <w:noWrap/>
            <w:vAlign w:val="bottom"/>
            <w:hideMark/>
          </w:tcPr>
          <w:p w14:paraId="0CD41E0F" w14:textId="77777777" w:rsidR="00D817FF" w:rsidRPr="00303906" w:rsidRDefault="00D817FF" w:rsidP="00D817FF">
            <w:pPr>
              <w:spacing w:after="0" w:line="240" w:lineRule="auto"/>
              <w:rPr>
                <w:color w:val="000000"/>
              </w:rPr>
            </w:pPr>
            <w:r w:rsidRPr="00303906">
              <w:rPr>
                <w:color w:val="000000"/>
              </w:rPr>
              <w:t> </w:t>
            </w:r>
          </w:p>
        </w:tc>
        <w:tc>
          <w:tcPr>
            <w:tcW w:w="484" w:type="dxa"/>
            <w:tcBorders>
              <w:top w:val="single" w:sz="8" w:space="0" w:color="auto"/>
              <w:left w:val="single" w:sz="8" w:space="0" w:color="auto"/>
              <w:bottom w:val="single" w:sz="8" w:space="0" w:color="auto"/>
              <w:right w:val="single" w:sz="8" w:space="0" w:color="auto"/>
            </w:tcBorders>
            <w:shd w:val="clear" w:color="auto" w:fill="D9D9D9"/>
            <w:noWrap/>
            <w:vAlign w:val="bottom"/>
            <w:hideMark/>
          </w:tcPr>
          <w:p w14:paraId="4091D9F9" w14:textId="77777777" w:rsidR="00D817FF" w:rsidRPr="00303906" w:rsidRDefault="00D817FF" w:rsidP="00D817FF">
            <w:pPr>
              <w:spacing w:after="0" w:line="240" w:lineRule="auto"/>
              <w:rPr>
                <w:color w:val="000000"/>
              </w:rPr>
            </w:pPr>
            <w:r w:rsidRPr="00303906">
              <w:rPr>
                <w:color w:val="000000"/>
              </w:rPr>
              <w:t> </w:t>
            </w:r>
          </w:p>
        </w:tc>
        <w:tc>
          <w:tcPr>
            <w:tcW w:w="504" w:type="dxa"/>
            <w:tcBorders>
              <w:top w:val="single" w:sz="8" w:space="0" w:color="auto"/>
              <w:left w:val="single" w:sz="8" w:space="0" w:color="auto"/>
              <w:bottom w:val="single" w:sz="8" w:space="0" w:color="auto"/>
              <w:right w:val="single" w:sz="8" w:space="0" w:color="auto"/>
            </w:tcBorders>
            <w:shd w:val="clear" w:color="auto" w:fill="D9D9D9"/>
            <w:noWrap/>
            <w:vAlign w:val="bottom"/>
            <w:hideMark/>
          </w:tcPr>
          <w:p w14:paraId="36640BF6" w14:textId="77777777" w:rsidR="00D817FF" w:rsidRPr="00303906" w:rsidRDefault="00D817FF" w:rsidP="00D817FF">
            <w:pPr>
              <w:spacing w:after="0" w:line="240" w:lineRule="auto"/>
              <w:rPr>
                <w:color w:val="000000"/>
              </w:rPr>
            </w:pPr>
            <w:r w:rsidRPr="00303906">
              <w:rPr>
                <w:color w:val="000000"/>
              </w:rPr>
              <w:t> </w:t>
            </w:r>
          </w:p>
        </w:tc>
        <w:tc>
          <w:tcPr>
            <w:tcW w:w="484" w:type="dxa"/>
            <w:gridSpan w:val="2"/>
            <w:tcBorders>
              <w:top w:val="single" w:sz="8" w:space="0" w:color="auto"/>
              <w:left w:val="single" w:sz="8" w:space="0" w:color="auto"/>
              <w:bottom w:val="single" w:sz="8" w:space="0" w:color="auto"/>
              <w:right w:val="single" w:sz="8" w:space="0" w:color="auto"/>
            </w:tcBorders>
            <w:shd w:val="clear" w:color="auto" w:fill="D9D9D9"/>
            <w:noWrap/>
            <w:vAlign w:val="bottom"/>
            <w:hideMark/>
          </w:tcPr>
          <w:p w14:paraId="372BA26D" w14:textId="77777777" w:rsidR="00D817FF" w:rsidRPr="00303906" w:rsidRDefault="00D817FF" w:rsidP="00D817FF">
            <w:pPr>
              <w:spacing w:after="0" w:line="240" w:lineRule="auto"/>
              <w:rPr>
                <w:color w:val="000000"/>
              </w:rPr>
            </w:pPr>
            <w:r w:rsidRPr="00303906">
              <w:rPr>
                <w:color w:val="000000"/>
              </w:rPr>
              <w:t> </w:t>
            </w:r>
          </w:p>
        </w:tc>
      </w:tr>
      <w:tr w:rsidR="00D817FF" w:rsidRPr="00575789" w14:paraId="6101E70B" w14:textId="77777777" w:rsidTr="00303906">
        <w:trPr>
          <w:trHeight w:val="300"/>
        </w:trPr>
        <w:tc>
          <w:tcPr>
            <w:tcW w:w="2077" w:type="dxa"/>
            <w:gridSpan w:val="3"/>
            <w:vMerge/>
            <w:tcBorders>
              <w:top w:val="single" w:sz="8" w:space="0" w:color="auto"/>
              <w:left w:val="single" w:sz="8" w:space="0" w:color="auto"/>
              <w:bottom w:val="single" w:sz="8" w:space="0" w:color="auto"/>
              <w:right w:val="single" w:sz="8" w:space="0" w:color="auto"/>
            </w:tcBorders>
            <w:vAlign w:val="center"/>
            <w:hideMark/>
          </w:tcPr>
          <w:p w14:paraId="2E998A5A" w14:textId="77777777" w:rsidR="00D817FF" w:rsidRPr="00303906" w:rsidRDefault="00D817FF" w:rsidP="00D817FF">
            <w:pPr>
              <w:spacing w:after="0" w:line="256" w:lineRule="auto"/>
              <w:rPr>
                <w:b/>
                <w:bCs/>
                <w:color w:val="000000"/>
              </w:rPr>
            </w:pPr>
          </w:p>
        </w:tc>
        <w:tc>
          <w:tcPr>
            <w:tcW w:w="3889" w:type="dxa"/>
            <w:gridSpan w:val="4"/>
            <w:tcBorders>
              <w:top w:val="single" w:sz="8" w:space="0" w:color="auto"/>
              <w:left w:val="single" w:sz="8" w:space="0" w:color="auto"/>
              <w:bottom w:val="single" w:sz="8" w:space="0" w:color="auto"/>
              <w:right w:val="single" w:sz="8" w:space="0" w:color="auto"/>
            </w:tcBorders>
            <w:noWrap/>
            <w:vAlign w:val="bottom"/>
            <w:hideMark/>
          </w:tcPr>
          <w:p w14:paraId="535D7D1B" w14:textId="77777777" w:rsidR="00D817FF" w:rsidRPr="00303906" w:rsidRDefault="00D817FF" w:rsidP="00D817FF">
            <w:pPr>
              <w:spacing w:after="0" w:line="240" w:lineRule="auto"/>
              <w:rPr>
                <w:color w:val="000000"/>
                <w:sz w:val="20"/>
              </w:rPr>
            </w:pPr>
            <w:r w:rsidRPr="00303906">
              <w:rPr>
                <w:color w:val="000000"/>
                <w:sz w:val="20"/>
              </w:rPr>
              <w:t>Follow up on recommendations (#7.3)</w:t>
            </w:r>
          </w:p>
        </w:tc>
        <w:tc>
          <w:tcPr>
            <w:tcW w:w="484"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14:paraId="4495498D" w14:textId="77777777" w:rsidR="00D817FF" w:rsidRPr="00303906" w:rsidRDefault="00D817FF" w:rsidP="00D817FF">
            <w:pPr>
              <w:spacing w:after="0" w:line="240" w:lineRule="auto"/>
              <w:rPr>
                <w:color w:val="000000"/>
              </w:rPr>
            </w:pPr>
            <w:r w:rsidRPr="00303906">
              <w:rPr>
                <w:color w:val="000000"/>
              </w:rPr>
              <w:t> </w:t>
            </w:r>
          </w:p>
        </w:tc>
        <w:tc>
          <w:tcPr>
            <w:tcW w:w="48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E3390C6" w14:textId="77777777" w:rsidR="00D817FF" w:rsidRPr="00303906" w:rsidRDefault="00D817FF" w:rsidP="00D817FF">
            <w:pPr>
              <w:spacing w:after="0" w:line="240" w:lineRule="auto"/>
              <w:rPr>
                <w:color w:val="FF0000"/>
              </w:rPr>
            </w:pPr>
            <w:r w:rsidRPr="00303906">
              <w:rPr>
                <w:color w:val="000000"/>
              </w:rPr>
              <w:t> </w:t>
            </w:r>
          </w:p>
        </w:tc>
        <w:tc>
          <w:tcPr>
            <w:tcW w:w="484" w:type="dxa"/>
            <w:tcBorders>
              <w:top w:val="single" w:sz="8" w:space="0" w:color="auto"/>
              <w:left w:val="single" w:sz="8" w:space="0" w:color="auto"/>
              <w:bottom w:val="single" w:sz="4" w:space="0" w:color="auto"/>
              <w:right w:val="single" w:sz="8" w:space="0" w:color="auto"/>
            </w:tcBorders>
            <w:shd w:val="clear" w:color="auto" w:fill="FFFFFF"/>
            <w:noWrap/>
            <w:vAlign w:val="bottom"/>
            <w:hideMark/>
          </w:tcPr>
          <w:p w14:paraId="0B45BAA6" w14:textId="77777777" w:rsidR="00D817FF" w:rsidRPr="00303906" w:rsidRDefault="00D817FF" w:rsidP="00D817FF">
            <w:pPr>
              <w:spacing w:after="0" w:line="240" w:lineRule="auto"/>
              <w:rPr>
                <w:color w:val="000000"/>
              </w:rPr>
            </w:pPr>
            <w:r w:rsidRPr="00303906">
              <w:rPr>
                <w:color w:val="000000"/>
              </w:rPr>
              <w:t> </w:t>
            </w:r>
          </w:p>
        </w:tc>
        <w:tc>
          <w:tcPr>
            <w:tcW w:w="504" w:type="dxa"/>
            <w:tcBorders>
              <w:top w:val="single" w:sz="8" w:space="0" w:color="auto"/>
              <w:left w:val="single" w:sz="8" w:space="0" w:color="auto"/>
              <w:bottom w:val="single" w:sz="8" w:space="0" w:color="auto"/>
              <w:right w:val="single" w:sz="8" w:space="0" w:color="auto"/>
            </w:tcBorders>
            <w:shd w:val="clear" w:color="auto" w:fill="92D050"/>
            <w:noWrap/>
            <w:vAlign w:val="bottom"/>
            <w:hideMark/>
          </w:tcPr>
          <w:p w14:paraId="0D16270F" w14:textId="77777777" w:rsidR="00D817FF" w:rsidRPr="00303906" w:rsidRDefault="00D817FF" w:rsidP="00D817FF">
            <w:pPr>
              <w:spacing w:after="0" w:line="240" w:lineRule="auto"/>
              <w:rPr>
                <w:color w:val="000000"/>
              </w:rPr>
            </w:pPr>
            <w:r w:rsidRPr="00303906">
              <w:rPr>
                <w:color w:val="000000"/>
              </w:rPr>
              <w:t> </w:t>
            </w:r>
          </w:p>
        </w:tc>
        <w:tc>
          <w:tcPr>
            <w:tcW w:w="484" w:type="dxa"/>
            <w:gridSpan w:val="2"/>
            <w:tcBorders>
              <w:top w:val="single" w:sz="8" w:space="0" w:color="auto"/>
              <w:left w:val="single" w:sz="8" w:space="0" w:color="auto"/>
              <w:bottom w:val="single" w:sz="8" w:space="0" w:color="auto"/>
              <w:right w:val="single" w:sz="8" w:space="0" w:color="auto"/>
            </w:tcBorders>
            <w:shd w:val="clear" w:color="auto" w:fill="FFFFFF"/>
            <w:noWrap/>
            <w:vAlign w:val="bottom"/>
            <w:hideMark/>
          </w:tcPr>
          <w:p w14:paraId="25E51922" w14:textId="77777777" w:rsidR="00D817FF" w:rsidRPr="00303906" w:rsidRDefault="00D817FF" w:rsidP="00D817FF">
            <w:pPr>
              <w:spacing w:after="0" w:line="240" w:lineRule="auto"/>
              <w:rPr>
                <w:color w:val="000000"/>
              </w:rPr>
            </w:pPr>
            <w:r w:rsidRPr="00303906">
              <w:rPr>
                <w:color w:val="000000"/>
              </w:rPr>
              <w:t> </w:t>
            </w:r>
          </w:p>
        </w:tc>
      </w:tr>
      <w:tr w:rsidR="00D817FF" w:rsidRPr="00575789" w14:paraId="41BE8AF9" w14:textId="77777777" w:rsidTr="00303906">
        <w:trPr>
          <w:trHeight w:val="300"/>
        </w:trPr>
        <w:tc>
          <w:tcPr>
            <w:tcW w:w="2077" w:type="dxa"/>
            <w:gridSpan w:val="3"/>
            <w:vMerge/>
            <w:tcBorders>
              <w:top w:val="single" w:sz="8" w:space="0" w:color="auto"/>
              <w:left w:val="single" w:sz="8" w:space="0" w:color="auto"/>
              <w:bottom w:val="single" w:sz="8" w:space="0" w:color="auto"/>
              <w:right w:val="single" w:sz="8" w:space="0" w:color="auto"/>
            </w:tcBorders>
            <w:vAlign w:val="center"/>
            <w:hideMark/>
          </w:tcPr>
          <w:p w14:paraId="21098BF5" w14:textId="77777777" w:rsidR="00D817FF" w:rsidRPr="00303906" w:rsidRDefault="00D817FF" w:rsidP="00D817FF">
            <w:pPr>
              <w:spacing w:after="0" w:line="256" w:lineRule="auto"/>
              <w:rPr>
                <w:b/>
                <w:bCs/>
                <w:color w:val="000000"/>
              </w:rPr>
            </w:pPr>
          </w:p>
        </w:tc>
        <w:tc>
          <w:tcPr>
            <w:tcW w:w="3889" w:type="dxa"/>
            <w:gridSpan w:val="4"/>
            <w:tcBorders>
              <w:top w:val="single" w:sz="8" w:space="0" w:color="auto"/>
              <w:left w:val="single" w:sz="8" w:space="0" w:color="auto"/>
              <w:bottom w:val="single" w:sz="8" w:space="0" w:color="auto"/>
              <w:right w:val="single" w:sz="8" w:space="0" w:color="auto"/>
            </w:tcBorders>
            <w:noWrap/>
            <w:vAlign w:val="bottom"/>
            <w:hideMark/>
          </w:tcPr>
          <w:p w14:paraId="064AEC41" w14:textId="77777777" w:rsidR="00D817FF" w:rsidRPr="00303906" w:rsidRDefault="00D817FF" w:rsidP="00D817FF">
            <w:pPr>
              <w:spacing w:after="0" w:line="240" w:lineRule="auto"/>
              <w:ind w:right="-77"/>
              <w:rPr>
                <w:color w:val="000000"/>
                <w:sz w:val="20"/>
              </w:rPr>
            </w:pPr>
            <w:r w:rsidRPr="00303906">
              <w:rPr>
                <w:color w:val="000000"/>
                <w:sz w:val="20"/>
              </w:rPr>
              <w:t>Outcomes &amp; impact of implementation (#7.4)</w:t>
            </w:r>
          </w:p>
        </w:tc>
        <w:tc>
          <w:tcPr>
            <w:tcW w:w="484" w:type="dxa"/>
            <w:tcBorders>
              <w:top w:val="single" w:sz="8" w:space="0" w:color="auto"/>
              <w:left w:val="single" w:sz="8" w:space="0" w:color="auto"/>
              <w:bottom w:val="single" w:sz="8" w:space="0" w:color="auto"/>
              <w:right w:val="single" w:sz="8" w:space="0" w:color="auto"/>
            </w:tcBorders>
            <w:noWrap/>
            <w:vAlign w:val="bottom"/>
            <w:hideMark/>
          </w:tcPr>
          <w:p w14:paraId="03564093" w14:textId="77777777" w:rsidR="00D817FF" w:rsidRPr="00303906" w:rsidRDefault="00D817FF" w:rsidP="00D817FF">
            <w:pPr>
              <w:spacing w:after="0" w:line="240" w:lineRule="auto"/>
              <w:rPr>
                <w:color w:val="000000"/>
              </w:rPr>
            </w:pPr>
            <w:r w:rsidRPr="00303906">
              <w:rPr>
                <w:color w:val="000000"/>
              </w:rPr>
              <w:t> </w:t>
            </w:r>
          </w:p>
        </w:tc>
        <w:tc>
          <w:tcPr>
            <w:tcW w:w="48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EF7FB68" w14:textId="77777777" w:rsidR="00D817FF" w:rsidRPr="00303906" w:rsidRDefault="00D817FF" w:rsidP="00D817FF">
            <w:pPr>
              <w:spacing w:after="0" w:line="240" w:lineRule="auto"/>
              <w:rPr>
                <w:color w:val="000000"/>
              </w:rPr>
            </w:pPr>
            <w:r w:rsidRPr="00303906">
              <w:rPr>
                <w:color w:val="000000"/>
              </w:rPr>
              <w:t> </w:t>
            </w:r>
          </w:p>
        </w:tc>
        <w:tc>
          <w:tcPr>
            <w:tcW w:w="484" w:type="dxa"/>
            <w:tcBorders>
              <w:top w:val="single" w:sz="4" w:space="0" w:color="auto"/>
              <w:left w:val="single" w:sz="8" w:space="0" w:color="auto"/>
              <w:bottom w:val="single" w:sz="8" w:space="0" w:color="auto"/>
              <w:right w:val="single" w:sz="8" w:space="0" w:color="auto"/>
            </w:tcBorders>
            <w:shd w:val="clear" w:color="auto" w:fill="FFC000"/>
            <w:noWrap/>
            <w:vAlign w:val="bottom"/>
            <w:hideMark/>
          </w:tcPr>
          <w:p w14:paraId="2A747A82" w14:textId="77777777" w:rsidR="00D817FF" w:rsidRPr="00303906" w:rsidRDefault="00D817FF" w:rsidP="00D817FF">
            <w:pPr>
              <w:spacing w:after="0" w:line="240" w:lineRule="auto"/>
              <w:rPr>
                <w:color w:val="000000"/>
              </w:rPr>
            </w:pPr>
            <w:r w:rsidRPr="00303906">
              <w:rPr>
                <w:color w:val="000000"/>
              </w:rPr>
              <w:t> </w:t>
            </w:r>
          </w:p>
        </w:tc>
        <w:tc>
          <w:tcPr>
            <w:tcW w:w="504"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14:paraId="518C89C5" w14:textId="77777777" w:rsidR="00D817FF" w:rsidRPr="00303906" w:rsidRDefault="00D817FF" w:rsidP="00D817FF">
            <w:pPr>
              <w:spacing w:after="0" w:line="240" w:lineRule="auto"/>
              <w:rPr>
                <w:color w:val="000000"/>
              </w:rPr>
            </w:pPr>
            <w:r w:rsidRPr="00303906">
              <w:rPr>
                <w:color w:val="000000"/>
              </w:rPr>
              <w:t> </w:t>
            </w:r>
          </w:p>
        </w:tc>
        <w:tc>
          <w:tcPr>
            <w:tcW w:w="484" w:type="dxa"/>
            <w:gridSpan w:val="2"/>
            <w:tcBorders>
              <w:top w:val="single" w:sz="8" w:space="0" w:color="auto"/>
              <w:left w:val="single" w:sz="8" w:space="0" w:color="auto"/>
              <w:bottom w:val="single" w:sz="8" w:space="0" w:color="auto"/>
              <w:right w:val="single" w:sz="8" w:space="0" w:color="auto"/>
            </w:tcBorders>
            <w:noWrap/>
            <w:vAlign w:val="bottom"/>
            <w:hideMark/>
          </w:tcPr>
          <w:p w14:paraId="178E1B6B" w14:textId="77777777" w:rsidR="00D817FF" w:rsidRPr="00303906" w:rsidRDefault="00D817FF" w:rsidP="00D817FF">
            <w:pPr>
              <w:spacing w:after="0" w:line="240" w:lineRule="auto"/>
              <w:rPr>
                <w:color w:val="000000"/>
              </w:rPr>
            </w:pPr>
            <w:r w:rsidRPr="00303906">
              <w:rPr>
                <w:color w:val="000000"/>
              </w:rPr>
              <w:t> </w:t>
            </w:r>
          </w:p>
        </w:tc>
      </w:tr>
      <w:tr w:rsidR="00D817FF" w:rsidRPr="00F555AA" w14:paraId="71A0EB52" w14:textId="77777777" w:rsidTr="00B331A9">
        <w:tblPrEx>
          <w:tblCellMar>
            <w:left w:w="70" w:type="dxa"/>
            <w:right w:w="70" w:type="dxa"/>
          </w:tblCellMar>
        </w:tblPrEx>
        <w:trPr>
          <w:gridBefore w:val="1"/>
          <w:gridAfter w:val="1"/>
          <w:wBefore w:w="70" w:type="dxa"/>
          <w:wAfter w:w="256" w:type="dxa"/>
          <w:trHeight w:val="337"/>
        </w:trPr>
        <w:tc>
          <w:tcPr>
            <w:tcW w:w="940" w:type="dxa"/>
            <w:tcBorders>
              <w:top w:val="nil"/>
              <w:left w:val="nil"/>
              <w:bottom w:val="nil"/>
              <w:right w:val="nil"/>
            </w:tcBorders>
            <w:shd w:val="clear" w:color="000000" w:fill="FF0000"/>
            <w:noWrap/>
            <w:vAlign w:val="bottom"/>
            <w:hideMark/>
          </w:tcPr>
          <w:p w14:paraId="45E647A7" w14:textId="77777777" w:rsidR="00D817FF" w:rsidRPr="00303906" w:rsidRDefault="00D817FF" w:rsidP="00D817FF">
            <w:pPr>
              <w:widowControl/>
              <w:suppressAutoHyphens w:val="0"/>
              <w:spacing w:after="0" w:line="240" w:lineRule="auto"/>
              <w:rPr>
                <w:rFonts w:cs="Times New Roman"/>
                <w:color w:val="000000"/>
                <w:sz w:val="14"/>
                <w:szCs w:val="14"/>
                <w:lang w:eastAsia="nb-NO"/>
              </w:rPr>
            </w:pPr>
            <w:r w:rsidRPr="00303906">
              <w:rPr>
                <w:rFonts w:cs="Times New Roman"/>
                <w:color w:val="000000"/>
                <w:sz w:val="14"/>
                <w:szCs w:val="14"/>
                <w:lang w:eastAsia="nb-NO"/>
              </w:rPr>
              <w:t> </w:t>
            </w:r>
          </w:p>
        </w:tc>
        <w:tc>
          <w:tcPr>
            <w:tcW w:w="7140" w:type="dxa"/>
            <w:gridSpan w:val="10"/>
            <w:tcBorders>
              <w:top w:val="nil"/>
              <w:left w:val="nil"/>
              <w:bottom w:val="nil"/>
              <w:right w:val="nil"/>
            </w:tcBorders>
            <w:shd w:val="clear" w:color="auto" w:fill="auto"/>
            <w:vAlign w:val="center"/>
            <w:hideMark/>
          </w:tcPr>
          <w:p w14:paraId="2E57994D" w14:textId="77777777" w:rsidR="00D817FF" w:rsidRPr="00303906" w:rsidRDefault="00D817FF" w:rsidP="00D817FF">
            <w:pPr>
              <w:widowControl/>
              <w:suppressAutoHyphens w:val="0"/>
              <w:spacing w:after="0" w:line="240" w:lineRule="auto"/>
              <w:rPr>
                <w:rFonts w:cs="Times New Roman"/>
                <w:color w:val="000000"/>
                <w:sz w:val="14"/>
                <w:szCs w:val="14"/>
                <w:lang w:val="en-US" w:eastAsia="nb-NO"/>
              </w:rPr>
            </w:pPr>
            <w:r w:rsidRPr="00303906">
              <w:rPr>
                <w:rFonts w:cs="Times New Roman"/>
                <w:color w:val="000000"/>
                <w:sz w:val="14"/>
                <w:szCs w:val="14"/>
                <w:lang w:val="en-US" w:eastAsia="nb-NO"/>
              </w:rPr>
              <w:t>The country has made no progress in addressing the requirement.  The broader objective of the requirement is in no way fulfilled.</w:t>
            </w:r>
          </w:p>
        </w:tc>
      </w:tr>
      <w:tr w:rsidR="00D817FF" w:rsidRPr="00F555AA" w14:paraId="5281F2E8" w14:textId="77777777" w:rsidTr="00B331A9">
        <w:tblPrEx>
          <w:tblCellMar>
            <w:left w:w="70" w:type="dxa"/>
            <w:right w:w="70" w:type="dxa"/>
          </w:tblCellMar>
        </w:tblPrEx>
        <w:trPr>
          <w:gridBefore w:val="1"/>
          <w:gridAfter w:val="1"/>
          <w:wBefore w:w="70" w:type="dxa"/>
          <w:wAfter w:w="256" w:type="dxa"/>
          <w:trHeight w:val="426"/>
        </w:trPr>
        <w:tc>
          <w:tcPr>
            <w:tcW w:w="940" w:type="dxa"/>
            <w:tcBorders>
              <w:top w:val="nil"/>
              <w:left w:val="nil"/>
              <w:bottom w:val="nil"/>
              <w:right w:val="nil"/>
            </w:tcBorders>
            <w:shd w:val="clear" w:color="000000" w:fill="FF6600"/>
            <w:noWrap/>
            <w:vAlign w:val="bottom"/>
            <w:hideMark/>
          </w:tcPr>
          <w:p w14:paraId="4570AC83" w14:textId="77777777" w:rsidR="00D817FF" w:rsidRPr="00303906" w:rsidRDefault="00D817FF" w:rsidP="00D817FF">
            <w:pPr>
              <w:widowControl/>
              <w:suppressAutoHyphens w:val="0"/>
              <w:spacing w:after="0" w:line="240" w:lineRule="auto"/>
              <w:rPr>
                <w:rFonts w:cs="Times New Roman"/>
                <w:color w:val="000000"/>
                <w:sz w:val="14"/>
                <w:szCs w:val="14"/>
                <w:lang w:val="en-US" w:eastAsia="nb-NO"/>
              </w:rPr>
            </w:pPr>
            <w:r w:rsidRPr="00303906">
              <w:rPr>
                <w:rFonts w:cs="Times New Roman"/>
                <w:color w:val="000000"/>
                <w:sz w:val="14"/>
                <w:szCs w:val="14"/>
                <w:lang w:val="en-US" w:eastAsia="nb-NO"/>
              </w:rPr>
              <w:t> </w:t>
            </w:r>
          </w:p>
        </w:tc>
        <w:tc>
          <w:tcPr>
            <w:tcW w:w="7140" w:type="dxa"/>
            <w:gridSpan w:val="10"/>
            <w:tcBorders>
              <w:top w:val="nil"/>
              <w:left w:val="nil"/>
              <w:bottom w:val="nil"/>
              <w:right w:val="nil"/>
            </w:tcBorders>
            <w:shd w:val="clear" w:color="auto" w:fill="auto"/>
            <w:vAlign w:val="center"/>
            <w:hideMark/>
          </w:tcPr>
          <w:p w14:paraId="0E970405" w14:textId="77777777" w:rsidR="00D817FF" w:rsidRPr="00303906" w:rsidRDefault="00D817FF" w:rsidP="00D817FF">
            <w:pPr>
              <w:widowControl/>
              <w:suppressAutoHyphens w:val="0"/>
              <w:spacing w:after="0" w:line="240" w:lineRule="auto"/>
              <w:rPr>
                <w:rFonts w:cs="Times New Roman"/>
                <w:color w:val="000000"/>
                <w:sz w:val="14"/>
                <w:szCs w:val="14"/>
                <w:lang w:val="en-US" w:eastAsia="nb-NO"/>
              </w:rPr>
            </w:pPr>
            <w:r w:rsidRPr="00303906">
              <w:rPr>
                <w:rFonts w:cs="Times New Roman"/>
                <w:color w:val="000000"/>
                <w:sz w:val="14"/>
                <w:szCs w:val="14"/>
                <w:lang w:val="en-US" w:eastAsia="nb-NO"/>
              </w:rPr>
              <w:t>The country has made inadequate progress in meeting the requirement. Significant elements of the requirement are outstanding and the broader objective of the requirement is far from being fulfilled.</w:t>
            </w:r>
          </w:p>
        </w:tc>
      </w:tr>
      <w:tr w:rsidR="00D817FF" w:rsidRPr="00F555AA" w14:paraId="156EE77F" w14:textId="77777777" w:rsidTr="00B331A9">
        <w:tblPrEx>
          <w:tblCellMar>
            <w:left w:w="70" w:type="dxa"/>
            <w:right w:w="70" w:type="dxa"/>
          </w:tblCellMar>
        </w:tblPrEx>
        <w:trPr>
          <w:gridBefore w:val="1"/>
          <w:gridAfter w:val="1"/>
          <w:wBefore w:w="70" w:type="dxa"/>
          <w:wAfter w:w="256" w:type="dxa"/>
          <w:trHeight w:val="284"/>
        </w:trPr>
        <w:tc>
          <w:tcPr>
            <w:tcW w:w="940" w:type="dxa"/>
            <w:tcBorders>
              <w:top w:val="nil"/>
              <w:left w:val="nil"/>
              <w:bottom w:val="nil"/>
              <w:right w:val="nil"/>
            </w:tcBorders>
            <w:shd w:val="clear" w:color="000000" w:fill="FFC000"/>
            <w:noWrap/>
            <w:vAlign w:val="bottom"/>
            <w:hideMark/>
          </w:tcPr>
          <w:p w14:paraId="5E5085DF" w14:textId="77777777" w:rsidR="00D817FF" w:rsidRPr="00303906" w:rsidRDefault="00D817FF" w:rsidP="00D817FF">
            <w:pPr>
              <w:widowControl/>
              <w:suppressAutoHyphens w:val="0"/>
              <w:spacing w:after="0" w:line="240" w:lineRule="auto"/>
              <w:rPr>
                <w:rFonts w:cs="Times New Roman"/>
                <w:color w:val="000000"/>
                <w:sz w:val="14"/>
                <w:szCs w:val="14"/>
                <w:lang w:val="en-US" w:eastAsia="nb-NO"/>
              </w:rPr>
            </w:pPr>
            <w:r w:rsidRPr="00303906">
              <w:rPr>
                <w:rFonts w:cs="Times New Roman"/>
                <w:color w:val="000000"/>
                <w:sz w:val="14"/>
                <w:szCs w:val="14"/>
                <w:lang w:val="en-US" w:eastAsia="nb-NO"/>
              </w:rPr>
              <w:t> </w:t>
            </w:r>
          </w:p>
        </w:tc>
        <w:tc>
          <w:tcPr>
            <w:tcW w:w="7140" w:type="dxa"/>
            <w:gridSpan w:val="10"/>
            <w:tcBorders>
              <w:top w:val="nil"/>
              <w:left w:val="nil"/>
              <w:bottom w:val="nil"/>
              <w:right w:val="nil"/>
            </w:tcBorders>
            <w:shd w:val="clear" w:color="auto" w:fill="auto"/>
            <w:vAlign w:val="bottom"/>
            <w:hideMark/>
          </w:tcPr>
          <w:p w14:paraId="522CA2D0" w14:textId="77777777" w:rsidR="00D817FF" w:rsidRPr="00303906" w:rsidRDefault="00D817FF" w:rsidP="00D817FF">
            <w:pPr>
              <w:widowControl/>
              <w:suppressAutoHyphens w:val="0"/>
              <w:spacing w:after="0" w:line="240" w:lineRule="auto"/>
              <w:rPr>
                <w:rFonts w:cs="Times New Roman"/>
                <w:color w:val="000000"/>
                <w:sz w:val="14"/>
                <w:szCs w:val="14"/>
                <w:lang w:val="en-US" w:eastAsia="nb-NO"/>
              </w:rPr>
            </w:pPr>
            <w:r w:rsidRPr="00303906">
              <w:rPr>
                <w:rFonts w:cs="Times New Roman"/>
                <w:color w:val="000000"/>
                <w:sz w:val="14"/>
                <w:szCs w:val="14"/>
                <w:lang w:val="en-US" w:eastAsia="nb-NO"/>
              </w:rPr>
              <w:t xml:space="preserve">The country has made progress in meeting the requirement. Significant elements of the requirement are being implemented and the broader objective of the requirement is being fulfilled. </w:t>
            </w:r>
          </w:p>
        </w:tc>
      </w:tr>
      <w:tr w:rsidR="00D817FF" w:rsidRPr="00F555AA" w14:paraId="39F6E683" w14:textId="77777777" w:rsidTr="00B331A9">
        <w:tblPrEx>
          <w:tblCellMar>
            <w:left w:w="70" w:type="dxa"/>
            <w:right w:w="70" w:type="dxa"/>
          </w:tblCellMar>
        </w:tblPrEx>
        <w:trPr>
          <w:gridBefore w:val="1"/>
          <w:gridAfter w:val="1"/>
          <w:wBefore w:w="70" w:type="dxa"/>
          <w:wAfter w:w="256" w:type="dxa"/>
          <w:trHeight w:val="226"/>
        </w:trPr>
        <w:tc>
          <w:tcPr>
            <w:tcW w:w="940" w:type="dxa"/>
            <w:tcBorders>
              <w:top w:val="nil"/>
              <w:left w:val="nil"/>
              <w:bottom w:val="nil"/>
              <w:right w:val="nil"/>
            </w:tcBorders>
            <w:shd w:val="clear" w:color="000000" w:fill="92D050"/>
            <w:noWrap/>
            <w:vAlign w:val="bottom"/>
            <w:hideMark/>
          </w:tcPr>
          <w:p w14:paraId="5AB3B61F" w14:textId="77777777" w:rsidR="00D817FF" w:rsidRPr="00303906" w:rsidRDefault="00D817FF" w:rsidP="00D817FF">
            <w:pPr>
              <w:widowControl/>
              <w:suppressAutoHyphens w:val="0"/>
              <w:spacing w:after="0" w:line="240" w:lineRule="auto"/>
              <w:rPr>
                <w:rFonts w:cs="Times New Roman"/>
                <w:color w:val="000000"/>
                <w:sz w:val="14"/>
                <w:szCs w:val="14"/>
                <w:lang w:val="en-US" w:eastAsia="nb-NO"/>
              </w:rPr>
            </w:pPr>
            <w:r w:rsidRPr="00303906">
              <w:rPr>
                <w:rFonts w:cs="Times New Roman"/>
                <w:color w:val="000000"/>
                <w:sz w:val="14"/>
                <w:szCs w:val="14"/>
                <w:lang w:val="en-US" w:eastAsia="nb-NO"/>
              </w:rPr>
              <w:t> </w:t>
            </w:r>
          </w:p>
        </w:tc>
        <w:tc>
          <w:tcPr>
            <w:tcW w:w="7140" w:type="dxa"/>
            <w:gridSpan w:val="10"/>
            <w:tcBorders>
              <w:top w:val="nil"/>
              <w:left w:val="nil"/>
              <w:bottom w:val="nil"/>
              <w:right w:val="nil"/>
            </w:tcBorders>
            <w:shd w:val="clear" w:color="auto" w:fill="auto"/>
            <w:vAlign w:val="bottom"/>
            <w:hideMark/>
          </w:tcPr>
          <w:p w14:paraId="3B5EABF0" w14:textId="77777777" w:rsidR="00D817FF" w:rsidRPr="00303906" w:rsidRDefault="00D817FF" w:rsidP="00D817FF">
            <w:pPr>
              <w:widowControl/>
              <w:suppressAutoHyphens w:val="0"/>
              <w:spacing w:after="0" w:line="240" w:lineRule="auto"/>
              <w:rPr>
                <w:rFonts w:cs="Times New Roman"/>
                <w:color w:val="000000"/>
                <w:sz w:val="14"/>
                <w:szCs w:val="14"/>
                <w:lang w:val="en-US" w:eastAsia="nb-NO"/>
              </w:rPr>
            </w:pPr>
            <w:r w:rsidRPr="00303906">
              <w:rPr>
                <w:rFonts w:cs="Times New Roman"/>
                <w:color w:val="000000"/>
                <w:sz w:val="14"/>
                <w:szCs w:val="14"/>
                <w:lang w:val="en-US" w:eastAsia="nb-NO"/>
              </w:rPr>
              <w:t xml:space="preserve">The country is compliant with the EITI requirement. </w:t>
            </w:r>
          </w:p>
        </w:tc>
      </w:tr>
      <w:tr w:rsidR="00D817FF" w:rsidRPr="00F555AA" w14:paraId="6A6E99FC" w14:textId="77777777" w:rsidTr="00B331A9">
        <w:tblPrEx>
          <w:tblCellMar>
            <w:left w:w="70" w:type="dxa"/>
            <w:right w:w="70" w:type="dxa"/>
          </w:tblCellMar>
        </w:tblPrEx>
        <w:trPr>
          <w:gridBefore w:val="1"/>
          <w:gridAfter w:val="1"/>
          <w:wBefore w:w="70" w:type="dxa"/>
          <w:wAfter w:w="256" w:type="dxa"/>
          <w:trHeight w:val="144"/>
        </w:trPr>
        <w:tc>
          <w:tcPr>
            <w:tcW w:w="940" w:type="dxa"/>
            <w:tcBorders>
              <w:top w:val="nil"/>
              <w:left w:val="nil"/>
              <w:bottom w:val="nil"/>
              <w:right w:val="nil"/>
            </w:tcBorders>
            <w:shd w:val="clear" w:color="000000" w:fill="4F81BD"/>
            <w:noWrap/>
            <w:vAlign w:val="bottom"/>
            <w:hideMark/>
          </w:tcPr>
          <w:p w14:paraId="4FF5FEA3" w14:textId="77777777" w:rsidR="00D817FF" w:rsidRPr="00303906" w:rsidRDefault="00D817FF" w:rsidP="00D817FF">
            <w:pPr>
              <w:widowControl/>
              <w:suppressAutoHyphens w:val="0"/>
              <w:spacing w:after="0" w:line="240" w:lineRule="auto"/>
              <w:rPr>
                <w:rFonts w:cs="Times New Roman"/>
                <w:color w:val="000000"/>
                <w:sz w:val="14"/>
                <w:szCs w:val="14"/>
                <w:lang w:val="en-US" w:eastAsia="nb-NO"/>
              </w:rPr>
            </w:pPr>
            <w:r w:rsidRPr="00303906">
              <w:rPr>
                <w:rFonts w:cs="Times New Roman"/>
                <w:color w:val="000000"/>
                <w:sz w:val="14"/>
                <w:szCs w:val="14"/>
                <w:lang w:val="en-US" w:eastAsia="nb-NO"/>
              </w:rPr>
              <w:t> </w:t>
            </w:r>
          </w:p>
        </w:tc>
        <w:tc>
          <w:tcPr>
            <w:tcW w:w="7140" w:type="dxa"/>
            <w:gridSpan w:val="10"/>
            <w:tcBorders>
              <w:top w:val="nil"/>
              <w:left w:val="nil"/>
              <w:bottom w:val="nil"/>
              <w:right w:val="nil"/>
            </w:tcBorders>
            <w:shd w:val="clear" w:color="auto" w:fill="auto"/>
            <w:vAlign w:val="bottom"/>
            <w:hideMark/>
          </w:tcPr>
          <w:p w14:paraId="2B36A542" w14:textId="77777777" w:rsidR="00D817FF" w:rsidRPr="00303906" w:rsidRDefault="00D817FF" w:rsidP="00D817FF">
            <w:pPr>
              <w:widowControl/>
              <w:suppressAutoHyphens w:val="0"/>
              <w:spacing w:after="0" w:line="240" w:lineRule="auto"/>
              <w:rPr>
                <w:rFonts w:cs="Times New Roman"/>
                <w:color w:val="000000"/>
                <w:sz w:val="14"/>
                <w:szCs w:val="14"/>
                <w:lang w:val="en-US" w:eastAsia="nb-NO"/>
              </w:rPr>
            </w:pPr>
            <w:r w:rsidRPr="00303906">
              <w:rPr>
                <w:rFonts w:cs="Times New Roman"/>
                <w:color w:val="000000"/>
                <w:sz w:val="14"/>
                <w:szCs w:val="14"/>
                <w:lang w:val="en-US" w:eastAsia="nb-NO"/>
              </w:rPr>
              <w:t xml:space="preserve">The country has gone beyond the requirement. </w:t>
            </w:r>
          </w:p>
        </w:tc>
      </w:tr>
      <w:tr w:rsidR="00D817FF" w:rsidRPr="00F555AA" w14:paraId="304DD550" w14:textId="77777777" w:rsidTr="00B331A9">
        <w:tblPrEx>
          <w:tblCellMar>
            <w:left w:w="70" w:type="dxa"/>
            <w:right w:w="70" w:type="dxa"/>
          </w:tblCellMar>
        </w:tblPrEx>
        <w:trPr>
          <w:gridBefore w:val="1"/>
          <w:gridAfter w:val="1"/>
          <w:wBefore w:w="70" w:type="dxa"/>
          <w:wAfter w:w="256" w:type="dxa"/>
          <w:trHeight w:val="283"/>
        </w:trPr>
        <w:tc>
          <w:tcPr>
            <w:tcW w:w="940" w:type="dxa"/>
            <w:tcBorders>
              <w:top w:val="nil"/>
              <w:left w:val="nil"/>
              <w:bottom w:val="nil"/>
              <w:right w:val="nil"/>
            </w:tcBorders>
            <w:shd w:val="clear" w:color="000000" w:fill="D9D9D9"/>
            <w:noWrap/>
            <w:vAlign w:val="bottom"/>
            <w:hideMark/>
          </w:tcPr>
          <w:p w14:paraId="30163D8D" w14:textId="77777777" w:rsidR="00D817FF" w:rsidRPr="00303906" w:rsidRDefault="00D817FF" w:rsidP="00D817FF">
            <w:pPr>
              <w:widowControl/>
              <w:suppressAutoHyphens w:val="0"/>
              <w:spacing w:after="0" w:line="240" w:lineRule="auto"/>
              <w:jc w:val="center"/>
              <w:rPr>
                <w:rFonts w:cs="Times New Roman"/>
                <w:color w:val="000000"/>
                <w:sz w:val="14"/>
                <w:szCs w:val="14"/>
                <w:lang w:val="en-US" w:eastAsia="nb-NO"/>
              </w:rPr>
            </w:pPr>
            <w:r w:rsidRPr="00303906">
              <w:rPr>
                <w:rFonts w:cs="Times New Roman"/>
                <w:color w:val="000000"/>
                <w:sz w:val="14"/>
                <w:szCs w:val="14"/>
                <w:lang w:val="en-US" w:eastAsia="nb-NO"/>
              </w:rPr>
              <w:t> </w:t>
            </w:r>
          </w:p>
        </w:tc>
        <w:tc>
          <w:tcPr>
            <w:tcW w:w="7140" w:type="dxa"/>
            <w:gridSpan w:val="10"/>
            <w:tcBorders>
              <w:top w:val="nil"/>
              <w:left w:val="nil"/>
              <w:bottom w:val="nil"/>
              <w:right w:val="nil"/>
            </w:tcBorders>
            <w:shd w:val="clear" w:color="auto" w:fill="auto"/>
            <w:vAlign w:val="bottom"/>
            <w:hideMark/>
          </w:tcPr>
          <w:p w14:paraId="60441E5E" w14:textId="77777777" w:rsidR="00D817FF" w:rsidRPr="00303906" w:rsidRDefault="00D817FF" w:rsidP="00D817FF">
            <w:pPr>
              <w:widowControl/>
              <w:suppressAutoHyphens w:val="0"/>
              <w:spacing w:after="0" w:line="240" w:lineRule="auto"/>
              <w:rPr>
                <w:rFonts w:cs="Times New Roman"/>
                <w:color w:val="000000"/>
                <w:sz w:val="14"/>
                <w:szCs w:val="14"/>
                <w:lang w:val="en-US" w:eastAsia="nb-NO"/>
              </w:rPr>
            </w:pPr>
            <w:r w:rsidRPr="00303906">
              <w:rPr>
                <w:rFonts w:cs="Times New Roman"/>
                <w:color w:val="000000"/>
                <w:sz w:val="14"/>
                <w:szCs w:val="14"/>
                <w:lang w:val="en-US" w:eastAsia="nb-NO"/>
              </w:rPr>
              <w:t>This requirement is only encouraged or recommended and should not be taken into account in assessing compliance.</w:t>
            </w:r>
          </w:p>
        </w:tc>
      </w:tr>
      <w:tr w:rsidR="00D817FF" w:rsidRPr="00F555AA" w14:paraId="34B83FB8" w14:textId="77777777" w:rsidTr="00303906">
        <w:tblPrEx>
          <w:tblCellMar>
            <w:left w:w="70" w:type="dxa"/>
            <w:right w:w="70" w:type="dxa"/>
          </w:tblCellMar>
        </w:tblPrEx>
        <w:trPr>
          <w:gridBefore w:val="1"/>
          <w:gridAfter w:val="1"/>
          <w:wBefore w:w="70" w:type="dxa"/>
          <w:wAfter w:w="256" w:type="dxa"/>
          <w:trHeight w:val="221"/>
        </w:trPr>
        <w:tc>
          <w:tcPr>
            <w:tcW w:w="940" w:type="dxa"/>
            <w:tcBorders>
              <w:top w:val="nil"/>
              <w:left w:val="nil"/>
              <w:bottom w:val="nil"/>
              <w:right w:val="nil"/>
            </w:tcBorders>
            <w:shd w:val="clear" w:color="auto" w:fill="C4BC96"/>
            <w:noWrap/>
            <w:vAlign w:val="bottom"/>
            <w:hideMark/>
          </w:tcPr>
          <w:p w14:paraId="34FD3DBF" w14:textId="77777777" w:rsidR="00D817FF" w:rsidRPr="00303906" w:rsidRDefault="00D817FF" w:rsidP="00D817FF">
            <w:pPr>
              <w:widowControl/>
              <w:suppressAutoHyphens w:val="0"/>
              <w:spacing w:after="0" w:line="240" w:lineRule="auto"/>
              <w:rPr>
                <w:rFonts w:cs="Times New Roman"/>
                <w:color w:val="000000"/>
                <w:sz w:val="14"/>
                <w:szCs w:val="14"/>
                <w:lang w:val="en-US" w:eastAsia="nb-NO"/>
              </w:rPr>
            </w:pPr>
          </w:p>
        </w:tc>
        <w:tc>
          <w:tcPr>
            <w:tcW w:w="7140" w:type="dxa"/>
            <w:gridSpan w:val="10"/>
            <w:tcBorders>
              <w:top w:val="nil"/>
              <w:left w:val="nil"/>
              <w:bottom w:val="nil"/>
              <w:right w:val="nil"/>
            </w:tcBorders>
            <w:shd w:val="clear" w:color="auto" w:fill="auto"/>
            <w:vAlign w:val="bottom"/>
            <w:hideMark/>
          </w:tcPr>
          <w:p w14:paraId="7236A080" w14:textId="77777777" w:rsidR="00D817FF" w:rsidRPr="00303906" w:rsidRDefault="00D817FF" w:rsidP="00D817FF">
            <w:pPr>
              <w:widowControl/>
              <w:suppressAutoHyphens w:val="0"/>
              <w:spacing w:after="0" w:line="240" w:lineRule="auto"/>
              <w:rPr>
                <w:rFonts w:cs="Times New Roman"/>
                <w:color w:val="000000"/>
                <w:sz w:val="14"/>
                <w:szCs w:val="14"/>
                <w:lang w:val="en-US" w:eastAsia="nb-NO"/>
              </w:rPr>
            </w:pPr>
            <w:r w:rsidRPr="00303906">
              <w:rPr>
                <w:rFonts w:cs="Times New Roman"/>
                <w:color w:val="000000"/>
                <w:sz w:val="14"/>
                <w:szCs w:val="14"/>
                <w:lang w:val="en-US" w:eastAsia="nb-NO"/>
              </w:rPr>
              <w:t xml:space="preserve">The MSG has demonstrated that this requirement is not applicable in the country. </w:t>
            </w:r>
          </w:p>
        </w:tc>
      </w:tr>
      <w:tr w:rsidR="00D817FF" w:rsidRPr="00F555AA" w14:paraId="04472675" w14:textId="77777777" w:rsidTr="00B331A9">
        <w:tblPrEx>
          <w:tblCellMar>
            <w:left w:w="70" w:type="dxa"/>
            <w:right w:w="70" w:type="dxa"/>
          </w:tblCellMar>
        </w:tblPrEx>
        <w:trPr>
          <w:gridBefore w:val="1"/>
          <w:gridAfter w:val="1"/>
          <w:wBefore w:w="70" w:type="dxa"/>
          <w:wAfter w:w="256" w:type="dxa"/>
          <w:trHeight w:val="152"/>
        </w:trPr>
        <w:tc>
          <w:tcPr>
            <w:tcW w:w="940" w:type="dxa"/>
            <w:tcBorders>
              <w:top w:val="nil"/>
              <w:left w:val="nil"/>
              <w:bottom w:val="nil"/>
              <w:right w:val="nil"/>
            </w:tcBorders>
            <w:shd w:val="clear" w:color="auto" w:fill="auto"/>
            <w:noWrap/>
            <w:vAlign w:val="bottom"/>
            <w:hideMark/>
          </w:tcPr>
          <w:p w14:paraId="1B713B01" w14:textId="77777777" w:rsidR="00D817FF" w:rsidRPr="00303906" w:rsidRDefault="00D817FF" w:rsidP="00D817FF">
            <w:pPr>
              <w:widowControl/>
              <w:suppressAutoHyphens w:val="0"/>
              <w:spacing w:after="0" w:line="240" w:lineRule="auto"/>
              <w:jc w:val="center"/>
              <w:rPr>
                <w:rFonts w:cs="Times New Roman"/>
                <w:color w:val="000000"/>
                <w:sz w:val="14"/>
                <w:szCs w:val="14"/>
                <w:lang w:val="nb-NO" w:eastAsia="nb-NO"/>
              </w:rPr>
            </w:pPr>
            <w:r w:rsidRPr="00303906">
              <w:rPr>
                <w:rFonts w:cs="Times New Roman"/>
                <w:color w:val="000000"/>
                <w:sz w:val="14"/>
                <w:szCs w:val="14"/>
                <w:lang w:val="nb-NO" w:eastAsia="nb-NO"/>
              </w:rPr>
              <w:t>-</w:t>
            </w:r>
          </w:p>
        </w:tc>
        <w:tc>
          <w:tcPr>
            <w:tcW w:w="7140" w:type="dxa"/>
            <w:gridSpan w:val="10"/>
            <w:tcBorders>
              <w:top w:val="nil"/>
              <w:left w:val="nil"/>
              <w:bottom w:val="nil"/>
              <w:right w:val="nil"/>
            </w:tcBorders>
            <w:shd w:val="clear" w:color="auto" w:fill="auto"/>
            <w:vAlign w:val="bottom"/>
            <w:hideMark/>
          </w:tcPr>
          <w:p w14:paraId="61F161F0" w14:textId="77777777" w:rsidR="00D817FF" w:rsidRPr="00303906" w:rsidRDefault="00D817FF" w:rsidP="00D817FF">
            <w:pPr>
              <w:widowControl/>
              <w:suppressAutoHyphens w:val="0"/>
              <w:spacing w:after="0" w:line="240" w:lineRule="auto"/>
              <w:rPr>
                <w:rFonts w:cs="Times New Roman"/>
                <w:color w:val="000000"/>
                <w:sz w:val="14"/>
                <w:szCs w:val="14"/>
                <w:lang w:val="en-US" w:eastAsia="nb-NO"/>
              </w:rPr>
            </w:pPr>
            <w:r w:rsidRPr="00303906">
              <w:rPr>
                <w:rFonts w:cs="Times New Roman"/>
                <w:color w:val="000000"/>
                <w:sz w:val="14"/>
                <w:szCs w:val="14"/>
                <w:lang w:val="en-US" w:eastAsia="nb-NO"/>
              </w:rPr>
              <w:t xml:space="preserve">No change in performance since the last Validation. </w:t>
            </w:r>
          </w:p>
        </w:tc>
      </w:tr>
      <w:tr w:rsidR="00D817FF" w:rsidRPr="00F555AA" w14:paraId="05791BD8" w14:textId="77777777" w:rsidTr="00B331A9">
        <w:tblPrEx>
          <w:tblCellMar>
            <w:left w:w="70" w:type="dxa"/>
            <w:right w:w="70" w:type="dxa"/>
          </w:tblCellMar>
        </w:tblPrEx>
        <w:trPr>
          <w:gridBefore w:val="1"/>
          <w:gridAfter w:val="1"/>
          <w:wBefore w:w="70" w:type="dxa"/>
          <w:wAfter w:w="256" w:type="dxa"/>
          <w:trHeight w:val="112"/>
        </w:trPr>
        <w:tc>
          <w:tcPr>
            <w:tcW w:w="940" w:type="dxa"/>
            <w:tcBorders>
              <w:top w:val="nil"/>
              <w:left w:val="nil"/>
              <w:bottom w:val="nil"/>
              <w:right w:val="nil"/>
            </w:tcBorders>
            <w:shd w:val="clear" w:color="auto" w:fill="auto"/>
            <w:noWrap/>
            <w:vAlign w:val="bottom"/>
            <w:hideMark/>
          </w:tcPr>
          <w:p w14:paraId="389B0A0E" w14:textId="77777777" w:rsidR="00D817FF" w:rsidRPr="00303906" w:rsidRDefault="00D817FF" w:rsidP="00D817FF">
            <w:pPr>
              <w:widowControl/>
              <w:suppressAutoHyphens w:val="0"/>
              <w:spacing w:after="0" w:line="240" w:lineRule="auto"/>
              <w:jc w:val="center"/>
              <w:rPr>
                <w:rFonts w:cs="Times New Roman"/>
                <w:color w:val="FF0000"/>
                <w:sz w:val="14"/>
                <w:szCs w:val="14"/>
                <w:lang w:val="nb-NO" w:eastAsia="nb-NO"/>
              </w:rPr>
            </w:pPr>
            <w:r w:rsidRPr="00303906">
              <w:rPr>
                <w:rFonts w:cs="Times New Roman"/>
                <w:color w:val="FF0000"/>
                <w:sz w:val="14"/>
                <w:szCs w:val="14"/>
                <w:lang w:val="nb-NO" w:eastAsia="nb-NO"/>
              </w:rPr>
              <w:t>←</w:t>
            </w:r>
          </w:p>
        </w:tc>
        <w:tc>
          <w:tcPr>
            <w:tcW w:w="7140" w:type="dxa"/>
            <w:gridSpan w:val="10"/>
            <w:tcBorders>
              <w:top w:val="nil"/>
              <w:left w:val="nil"/>
              <w:bottom w:val="nil"/>
              <w:right w:val="nil"/>
            </w:tcBorders>
            <w:shd w:val="clear" w:color="auto" w:fill="auto"/>
            <w:vAlign w:val="bottom"/>
            <w:hideMark/>
          </w:tcPr>
          <w:p w14:paraId="2EDD93BA" w14:textId="77777777" w:rsidR="00D817FF" w:rsidRPr="00303906" w:rsidRDefault="00D817FF" w:rsidP="00D817FF">
            <w:pPr>
              <w:widowControl/>
              <w:suppressAutoHyphens w:val="0"/>
              <w:spacing w:after="0" w:line="240" w:lineRule="auto"/>
              <w:rPr>
                <w:rFonts w:cs="Times New Roman"/>
                <w:color w:val="000000"/>
                <w:sz w:val="14"/>
                <w:szCs w:val="14"/>
                <w:lang w:val="en-US" w:eastAsia="nb-NO"/>
              </w:rPr>
            </w:pPr>
            <w:r w:rsidRPr="00303906">
              <w:rPr>
                <w:rFonts w:cs="Times New Roman"/>
                <w:color w:val="000000"/>
                <w:sz w:val="14"/>
                <w:szCs w:val="14"/>
                <w:lang w:val="en-US" w:eastAsia="nb-NO"/>
              </w:rPr>
              <w:t>The country is performing worse that in the last Validation.</w:t>
            </w:r>
          </w:p>
        </w:tc>
      </w:tr>
      <w:tr w:rsidR="00D817FF" w:rsidRPr="00F555AA" w14:paraId="6C38C948" w14:textId="77777777" w:rsidTr="00B331A9">
        <w:tblPrEx>
          <w:tblCellMar>
            <w:left w:w="70" w:type="dxa"/>
            <w:right w:w="70" w:type="dxa"/>
          </w:tblCellMar>
        </w:tblPrEx>
        <w:trPr>
          <w:gridBefore w:val="1"/>
          <w:gridAfter w:val="1"/>
          <w:wBefore w:w="70" w:type="dxa"/>
          <w:wAfter w:w="256" w:type="dxa"/>
          <w:trHeight w:val="173"/>
        </w:trPr>
        <w:tc>
          <w:tcPr>
            <w:tcW w:w="940" w:type="dxa"/>
            <w:tcBorders>
              <w:top w:val="nil"/>
              <w:left w:val="nil"/>
              <w:bottom w:val="nil"/>
              <w:right w:val="nil"/>
            </w:tcBorders>
            <w:shd w:val="clear" w:color="auto" w:fill="auto"/>
            <w:noWrap/>
            <w:vAlign w:val="bottom"/>
            <w:hideMark/>
          </w:tcPr>
          <w:p w14:paraId="122DD5B5" w14:textId="77777777" w:rsidR="00D817FF" w:rsidRPr="00303906" w:rsidRDefault="00D817FF" w:rsidP="00D817FF">
            <w:pPr>
              <w:widowControl/>
              <w:suppressAutoHyphens w:val="0"/>
              <w:spacing w:after="0" w:line="240" w:lineRule="auto"/>
              <w:jc w:val="center"/>
              <w:rPr>
                <w:rFonts w:cs="Times New Roman"/>
                <w:color w:val="00B050"/>
                <w:sz w:val="14"/>
                <w:szCs w:val="14"/>
                <w:lang w:val="nb-NO" w:eastAsia="nb-NO"/>
              </w:rPr>
            </w:pPr>
            <w:r w:rsidRPr="00303906">
              <w:rPr>
                <w:rFonts w:cs="Times New Roman"/>
                <w:color w:val="00B050"/>
                <w:sz w:val="14"/>
                <w:szCs w:val="14"/>
                <w:lang w:val="nb-NO" w:eastAsia="nb-NO"/>
              </w:rPr>
              <w:t>→</w:t>
            </w:r>
          </w:p>
        </w:tc>
        <w:tc>
          <w:tcPr>
            <w:tcW w:w="7140" w:type="dxa"/>
            <w:gridSpan w:val="10"/>
            <w:tcBorders>
              <w:top w:val="nil"/>
              <w:left w:val="nil"/>
              <w:bottom w:val="nil"/>
              <w:right w:val="nil"/>
            </w:tcBorders>
            <w:shd w:val="clear" w:color="auto" w:fill="auto"/>
            <w:vAlign w:val="bottom"/>
            <w:hideMark/>
          </w:tcPr>
          <w:p w14:paraId="036C48FD" w14:textId="77777777" w:rsidR="00D817FF" w:rsidRPr="00303906" w:rsidRDefault="00D817FF" w:rsidP="00D817FF">
            <w:pPr>
              <w:widowControl/>
              <w:suppressAutoHyphens w:val="0"/>
              <w:spacing w:after="0" w:line="240" w:lineRule="auto"/>
              <w:rPr>
                <w:rFonts w:cs="Times New Roman"/>
                <w:color w:val="000000"/>
                <w:sz w:val="14"/>
                <w:szCs w:val="14"/>
                <w:lang w:val="en-US" w:eastAsia="nb-NO"/>
              </w:rPr>
            </w:pPr>
            <w:r w:rsidRPr="00303906">
              <w:rPr>
                <w:rFonts w:cs="Times New Roman"/>
                <w:color w:val="000000"/>
                <w:sz w:val="14"/>
                <w:szCs w:val="14"/>
                <w:lang w:val="en-US" w:eastAsia="nb-NO"/>
              </w:rPr>
              <w:t xml:space="preserve">The country is performing better than in the last Validation. </w:t>
            </w:r>
          </w:p>
        </w:tc>
      </w:tr>
    </w:tbl>
    <w:p w14:paraId="598EB1E9" w14:textId="77777777" w:rsidR="00807B22" w:rsidRPr="00303906" w:rsidRDefault="00807B22" w:rsidP="00807B22"/>
    <w:p w14:paraId="3E37F586" w14:textId="59F01709" w:rsidR="00976EB1" w:rsidRPr="005F45A7" w:rsidRDefault="00976EB1" w:rsidP="00976EB1">
      <w:pPr>
        <w:pStyle w:val="Heading2"/>
        <w:rPr>
          <w:rFonts w:asciiTheme="majorHAnsi" w:hAnsiTheme="majorHAnsi"/>
        </w:rPr>
      </w:pPr>
      <w:bookmarkStart w:id="14" w:name="_Toc474482078"/>
      <w:bookmarkStart w:id="15" w:name="_Toc474480947"/>
      <w:bookmarkStart w:id="16" w:name="_Toc474481032"/>
      <w:r>
        <w:rPr>
          <w:rFonts w:asciiTheme="majorHAnsi" w:hAnsiTheme="majorHAnsi"/>
        </w:rPr>
        <w:t xml:space="preserve">Corrective </w:t>
      </w:r>
      <w:r w:rsidR="009D647C">
        <w:rPr>
          <w:rFonts w:asciiTheme="majorHAnsi" w:hAnsiTheme="majorHAnsi"/>
        </w:rPr>
        <w:t>a</w:t>
      </w:r>
      <w:r>
        <w:rPr>
          <w:rFonts w:asciiTheme="majorHAnsi" w:hAnsiTheme="majorHAnsi"/>
        </w:rPr>
        <w:t>ctions</w:t>
      </w:r>
      <w:bookmarkEnd w:id="14"/>
    </w:p>
    <w:bookmarkEnd w:id="15"/>
    <w:bookmarkEnd w:id="16"/>
    <w:p w14:paraId="4D9D78D2" w14:textId="77777777" w:rsidR="00067D9C" w:rsidRPr="00303906" w:rsidRDefault="00067D9C" w:rsidP="00067D9C">
      <w:pPr>
        <w:tabs>
          <w:tab w:val="right" w:pos="993"/>
        </w:tabs>
        <w:spacing w:after="0"/>
        <w:rPr>
          <w:rFonts w:eastAsia="Calibri"/>
          <w:b/>
        </w:rPr>
      </w:pPr>
      <w:r w:rsidRPr="00303906">
        <w:t xml:space="preserve">The </w:t>
      </w:r>
      <w:r w:rsidR="0061397C" w:rsidRPr="00303906">
        <w:t xml:space="preserve">EITI Board agreed </w:t>
      </w:r>
      <w:r w:rsidRPr="00303906">
        <w:t>the following corrective actions to</w:t>
      </w:r>
      <w:r w:rsidRPr="00303906">
        <w:rPr>
          <w:rFonts w:eastAsia="Calibri"/>
          <w:b/>
        </w:rPr>
        <w:t xml:space="preserve"> </w:t>
      </w:r>
      <w:r w:rsidRPr="00303906">
        <w:rPr>
          <w:rFonts w:eastAsia="Calibri"/>
        </w:rPr>
        <w:t xml:space="preserve">be undertaken by </w:t>
      </w:r>
      <w:r w:rsidR="002928D0" w:rsidRPr="00303906">
        <w:rPr>
          <w:rFonts w:eastAsia="Calibri"/>
        </w:rPr>
        <w:t>Tajikistan</w:t>
      </w:r>
      <w:r w:rsidR="0061397C" w:rsidRPr="00303906">
        <w:rPr>
          <w:rFonts w:eastAsia="Calibri"/>
        </w:rPr>
        <w:t>. Progress in addressing these corrective actions will be assessed</w:t>
      </w:r>
      <w:r w:rsidR="00DC17CC" w:rsidRPr="00303906">
        <w:rPr>
          <w:rFonts w:eastAsia="Calibri"/>
          <w:b/>
        </w:rPr>
        <w:t xml:space="preserve"> </w:t>
      </w:r>
      <w:r w:rsidR="00DC17CC" w:rsidRPr="00303906">
        <w:rPr>
          <w:rFonts w:eastAsia="Calibri"/>
        </w:rPr>
        <w:t>in a second</w:t>
      </w:r>
      <w:r w:rsidRPr="00303906">
        <w:rPr>
          <w:rFonts w:eastAsia="Calibri"/>
        </w:rPr>
        <w:t xml:space="preserve"> Validation commencing on </w:t>
      </w:r>
      <w:r w:rsidR="0061397C" w:rsidRPr="00303906">
        <w:rPr>
          <w:rFonts w:eastAsia="Calibri"/>
          <w:color w:val="FF0000"/>
        </w:rPr>
        <w:t>&lt;</w:t>
      </w:r>
      <w:r w:rsidR="00DC17CC" w:rsidRPr="00303906">
        <w:rPr>
          <w:rFonts w:eastAsia="Calibri"/>
          <w:color w:val="FF0000"/>
        </w:rPr>
        <w:t>date</w:t>
      </w:r>
      <w:r w:rsidR="0061397C" w:rsidRPr="00303906">
        <w:rPr>
          <w:rFonts w:eastAsia="Calibri"/>
          <w:color w:val="FF0000"/>
        </w:rPr>
        <w:t xml:space="preserve"> of Board decision + 18 months&gt;</w:t>
      </w:r>
      <w:r w:rsidR="003641CB" w:rsidRPr="00303906">
        <w:rPr>
          <w:rFonts w:eastAsia="Calibri"/>
        </w:rPr>
        <w:t>:</w:t>
      </w:r>
    </w:p>
    <w:p w14:paraId="2D30DC7E" w14:textId="77777777" w:rsidR="00681C1A" w:rsidRPr="000C6665" w:rsidRDefault="00681C1A" w:rsidP="00067D9C">
      <w:pPr>
        <w:tabs>
          <w:tab w:val="right" w:pos="993"/>
        </w:tabs>
        <w:spacing w:after="0"/>
        <w:rPr>
          <w:sz w:val="20"/>
          <w:szCs w:val="20"/>
        </w:rPr>
      </w:pPr>
    </w:p>
    <w:p w14:paraId="46879D33" w14:textId="6714A984" w:rsidR="003814ED" w:rsidRPr="000C6665" w:rsidRDefault="00C7788B" w:rsidP="003814ED">
      <w:pPr>
        <w:pStyle w:val="ListParagraph"/>
        <w:numPr>
          <w:ilvl w:val="0"/>
          <w:numId w:val="3"/>
        </w:numPr>
        <w:spacing w:after="120"/>
        <w:rPr>
          <w:rFonts w:eastAsia="Calibri"/>
          <w:sz w:val="20"/>
          <w:szCs w:val="20"/>
        </w:rPr>
      </w:pPr>
      <w:r w:rsidRPr="0068409E">
        <w:rPr>
          <w:rFonts w:eastAsia="Calibri"/>
          <w:sz w:val="20"/>
          <w:szCs w:val="20"/>
        </w:rPr>
        <w:t>In accordance with the requirement 1.2</w:t>
      </w:r>
      <w:r w:rsidR="00300C01" w:rsidRPr="0068409E">
        <w:rPr>
          <w:rFonts w:eastAsia="Calibri"/>
          <w:sz w:val="20"/>
          <w:szCs w:val="20"/>
        </w:rPr>
        <w:t>.a</w:t>
      </w:r>
      <w:r w:rsidRPr="0068409E">
        <w:rPr>
          <w:rFonts w:eastAsia="Calibri"/>
          <w:sz w:val="20"/>
          <w:szCs w:val="20"/>
        </w:rPr>
        <w:t>,</w:t>
      </w:r>
      <w:r w:rsidR="00466089" w:rsidRPr="0068409E">
        <w:rPr>
          <w:rFonts w:eastAsia="Calibri"/>
          <w:sz w:val="20"/>
          <w:szCs w:val="20"/>
        </w:rPr>
        <w:t xml:space="preserve"> </w:t>
      </w:r>
      <w:r w:rsidR="00F52DED" w:rsidRPr="0068409E">
        <w:rPr>
          <w:rFonts w:eastAsia="Calibri"/>
          <w:sz w:val="20"/>
          <w:szCs w:val="20"/>
        </w:rPr>
        <w:t xml:space="preserve">companies </w:t>
      </w:r>
      <w:r w:rsidR="00681C1A" w:rsidRPr="000B7811">
        <w:rPr>
          <w:rFonts w:eastAsia="Calibri"/>
          <w:sz w:val="20"/>
          <w:szCs w:val="20"/>
        </w:rPr>
        <w:t xml:space="preserve">should </w:t>
      </w:r>
      <w:r w:rsidR="00F52DED" w:rsidRPr="000B7811">
        <w:rPr>
          <w:rFonts w:eastAsia="Calibri"/>
          <w:sz w:val="20"/>
          <w:szCs w:val="20"/>
        </w:rPr>
        <w:t>demonstrate that they are</w:t>
      </w:r>
      <w:r w:rsidR="00F52DED" w:rsidRPr="00015790">
        <w:rPr>
          <w:rFonts w:eastAsia="Calibri"/>
          <w:sz w:val="20"/>
          <w:szCs w:val="20"/>
        </w:rPr>
        <w:t xml:space="preserve"> </w:t>
      </w:r>
      <w:r w:rsidR="00681C1A" w:rsidRPr="0068409E">
        <w:rPr>
          <w:rFonts w:eastAsia="Calibri"/>
          <w:sz w:val="20"/>
          <w:szCs w:val="20"/>
        </w:rPr>
        <w:t>full</w:t>
      </w:r>
      <w:r w:rsidR="00F52DED" w:rsidRPr="0068409E">
        <w:rPr>
          <w:rFonts w:eastAsia="Calibri"/>
          <w:sz w:val="20"/>
          <w:szCs w:val="20"/>
        </w:rPr>
        <w:t>y</w:t>
      </w:r>
      <w:r w:rsidR="00367949" w:rsidRPr="0068409E">
        <w:rPr>
          <w:rFonts w:eastAsia="Calibri"/>
          <w:sz w:val="20"/>
          <w:szCs w:val="20"/>
        </w:rPr>
        <w:t>,</w:t>
      </w:r>
      <w:r w:rsidR="00681C1A" w:rsidRPr="0068409E">
        <w:rPr>
          <w:rFonts w:eastAsia="Calibri"/>
          <w:sz w:val="20"/>
          <w:szCs w:val="20"/>
        </w:rPr>
        <w:t xml:space="preserve"> active</w:t>
      </w:r>
      <w:r w:rsidR="00F52DED" w:rsidRPr="0068409E">
        <w:rPr>
          <w:rFonts w:eastAsia="Calibri"/>
          <w:sz w:val="20"/>
          <w:szCs w:val="20"/>
        </w:rPr>
        <w:t>ly</w:t>
      </w:r>
      <w:r w:rsidR="00681C1A" w:rsidRPr="0068409E">
        <w:rPr>
          <w:rFonts w:eastAsia="Calibri"/>
          <w:sz w:val="20"/>
          <w:szCs w:val="20"/>
        </w:rPr>
        <w:t xml:space="preserve"> </w:t>
      </w:r>
      <w:r w:rsidR="00367949" w:rsidRPr="0068409E">
        <w:rPr>
          <w:rFonts w:eastAsia="Calibri"/>
          <w:sz w:val="20"/>
          <w:szCs w:val="20"/>
        </w:rPr>
        <w:t>and effective</w:t>
      </w:r>
      <w:r w:rsidR="00F52DED" w:rsidRPr="0068409E">
        <w:rPr>
          <w:rFonts w:eastAsia="Calibri"/>
          <w:sz w:val="20"/>
          <w:szCs w:val="20"/>
        </w:rPr>
        <w:t>ly</w:t>
      </w:r>
      <w:r w:rsidR="00367949" w:rsidRPr="0068409E">
        <w:rPr>
          <w:rFonts w:eastAsia="Calibri"/>
          <w:sz w:val="20"/>
          <w:szCs w:val="20"/>
        </w:rPr>
        <w:t xml:space="preserve"> </w:t>
      </w:r>
      <w:r w:rsidR="00F52DED" w:rsidRPr="0068409E">
        <w:rPr>
          <w:rFonts w:eastAsia="Calibri"/>
          <w:sz w:val="20"/>
          <w:szCs w:val="20"/>
        </w:rPr>
        <w:t>engaged</w:t>
      </w:r>
      <w:r w:rsidR="00681C1A" w:rsidRPr="0068409E">
        <w:rPr>
          <w:rFonts w:eastAsia="Calibri"/>
          <w:sz w:val="20"/>
          <w:szCs w:val="20"/>
        </w:rPr>
        <w:t xml:space="preserve"> in the EITI process. </w:t>
      </w:r>
      <w:r w:rsidR="007F124E" w:rsidRPr="0068409E">
        <w:rPr>
          <w:rFonts w:eastAsia="Calibri"/>
          <w:sz w:val="20"/>
          <w:szCs w:val="20"/>
        </w:rPr>
        <w:t xml:space="preserve">In accordance with requirement 8.3.c.i, the </w:t>
      </w:r>
      <w:r w:rsidR="00F52DED" w:rsidRPr="0068409E">
        <w:rPr>
          <w:rFonts w:eastAsia="Calibri"/>
          <w:sz w:val="20"/>
          <w:szCs w:val="20"/>
        </w:rPr>
        <w:t xml:space="preserve">company constituency </w:t>
      </w:r>
      <w:r w:rsidR="007F124E" w:rsidRPr="0068409E">
        <w:rPr>
          <w:rFonts w:eastAsia="Calibri"/>
          <w:sz w:val="20"/>
          <w:szCs w:val="20"/>
        </w:rPr>
        <w:t xml:space="preserve">is requested to develop and disclose an action plan for addressing the deficiencies </w:t>
      </w:r>
      <w:r w:rsidR="00AD4775" w:rsidRPr="0068409E">
        <w:rPr>
          <w:rFonts w:eastAsia="Calibri"/>
          <w:sz w:val="20"/>
          <w:szCs w:val="20"/>
        </w:rPr>
        <w:t>i</w:t>
      </w:r>
      <w:r w:rsidR="007F124E" w:rsidRPr="0068409E">
        <w:rPr>
          <w:rFonts w:eastAsia="Calibri"/>
          <w:sz w:val="20"/>
          <w:szCs w:val="20"/>
        </w:rPr>
        <w:t xml:space="preserve">n company engagement documented in the initial assessment and validator’s report within three months of the Board’s decision, i.e. by </w:t>
      </w:r>
      <w:r w:rsidR="007F124E" w:rsidRPr="0068409E">
        <w:rPr>
          <w:rFonts w:eastAsia="Calibri"/>
          <w:color w:val="FF0000"/>
          <w:sz w:val="20"/>
          <w:szCs w:val="20"/>
        </w:rPr>
        <w:t>&lt;date&gt;</w:t>
      </w:r>
      <w:r w:rsidR="007F124E" w:rsidRPr="0068409E">
        <w:rPr>
          <w:rFonts w:eastAsia="Calibri"/>
          <w:sz w:val="20"/>
          <w:szCs w:val="20"/>
        </w:rPr>
        <w:t>.</w:t>
      </w:r>
      <w:r w:rsidR="003814ED" w:rsidRPr="000C6665">
        <w:rPr>
          <w:rFonts w:eastAsia="Calibri"/>
          <w:sz w:val="20"/>
          <w:szCs w:val="20"/>
        </w:rPr>
        <w:t>It should confirm whether geographical constraints constitute an obstacle to company participation, and if so, take steps to address this and other possible obstacles</w:t>
      </w:r>
      <w:r w:rsidR="006B05A7" w:rsidRPr="0068409E">
        <w:rPr>
          <w:rFonts w:eastAsia="Calibri"/>
          <w:sz w:val="20"/>
          <w:szCs w:val="20"/>
        </w:rPr>
        <w:t xml:space="preserve"> and </w:t>
      </w:r>
      <w:r w:rsidR="003814ED" w:rsidRPr="0068409E">
        <w:rPr>
          <w:rFonts w:eastAsia="Calibri"/>
          <w:sz w:val="20"/>
          <w:szCs w:val="20"/>
        </w:rPr>
        <w:t>undertake outreach activities directed at companies that are not currently on or affiliated with the Council.</w:t>
      </w:r>
    </w:p>
    <w:p w14:paraId="69BD9D7B" w14:textId="7578A079" w:rsidR="00F9562C" w:rsidRPr="000C6665" w:rsidRDefault="002476F3" w:rsidP="00FC694D">
      <w:pPr>
        <w:pStyle w:val="ListParagraph"/>
        <w:numPr>
          <w:ilvl w:val="0"/>
          <w:numId w:val="3"/>
        </w:numPr>
        <w:spacing w:after="120"/>
        <w:rPr>
          <w:rFonts w:eastAsia="Calibri"/>
          <w:sz w:val="20"/>
          <w:szCs w:val="20"/>
        </w:rPr>
      </w:pPr>
      <w:r w:rsidRPr="0068409E">
        <w:rPr>
          <w:rFonts w:eastAsia="Calibri"/>
          <w:sz w:val="20"/>
          <w:szCs w:val="20"/>
        </w:rPr>
        <w:t xml:space="preserve">In </w:t>
      </w:r>
      <w:r w:rsidR="00813AB0" w:rsidRPr="0068409E">
        <w:rPr>
          <w:rFonts w:eastAsia="Calibri"/>
          <w:sz w:val="20"/>
          <w:szCs w:val="20"/>
        </w:rPr>
        <w:t>accordance with requirement 1.3</w:t>
      </w:r>
      <w:r w:rsidR="00F9562C" w:rsidRPr="0068409E">
        <w:rPr>
          <w:rFonts w:eastAsia="Calibri"/>
          <w:sz w:val="20"/>
          <w:szCs w:val="20"/>
        </w:rPr>
        <w:t xml:space="preserve"> and the civil society protocol</w:t>
      </w:r>
      <w:r w:rsidRPr="0068409E">
        <w:rPr>
          <w:rFonts w:eastAsia="Calibri"/>
          <w:sz w:val="20"/>
          <w:szCs w:val="20"/>
        </w:rPr>
        <w:t>, the government must</w:t>
      </w:r>
      <w:r w:rsidRPr="000B7811">
        <w:rPr>
          <w:rFonts w:eastAsia="Calibri"/>
          <w:sz w:val="20"/>
          <w:szCs w:val="20"/>
        </w:rPr>
        <w:t xml:space="preserve"> ensure an enabling environment for civil society</w:t>
      </w:r>
      <w:r w:rsidRPr="0068409E">
        <w:rPr>
          <w:rFonts w:eastAsia="Calibri"/>
          <w:sz w:val="20"/>
          <w:szCs w:val="20"/>
        </w:rPr>
        <w:t xml:space="preserve"> participation</w:t>
      </w:r>
      <w:r w:rsidR="00AD4775" w:rsidRPr="0068409E">
        <w:rPr>
          <w:rFonts w:eastAsia="Calibri"/>
          <w:sz w:val="20"/>
          <w:szCs w:val="20"/>
        </w:rPr>
        <w:t xml:space="preserve">. Specifically, </w:t>
      </w:r>
      <w:r w:rsidR="00F9562C" w:rsidRPr="0068409E">
        <w:rPr>
          <w:rFonts w:eastAsia="Calibri"/>
          <w:sz w:val="20"/>
          <w:szCs w:val="20"/>
        </w:rPr>
        <w:t xml:space="preserve">in accordance with requirement 1.3.e.i and 1.3.e.iv, civil society representatives substantively engaged in the EITI process must be able to speak freely on transparency and natural resource governance issues and express opinions about the EITI without restraint, coercion or reprisal. </w:t>
      </w:r>
      <w:r w:rsidR="00CD5378" w:rsidRPr="0068409E">
        <w:rPr>
          <w:rFonts w:eastAsia="Calibri"/>
          <w:sz w:val="20"/>
          <w:szCs w:val="20"/>
        </w:rPr>
        <w:t xml:space="preserve">The Board noted that the government recently passed new regulations which may cause legal and regulatory barriers for civil society. The EITI Council is encouraged to undertake sustained outreach activities directed at CSOs that are not currently on or affiliated with the Council. This could include further dialogue on these challenges both within Tajikistan and externally with other EITI implementing countries. </w:t>
      </w:r>
    </w:p>
    <w:p w14:paraId="2A4F6096" w14:textId="77777777" w:rsidR="003303DC" w:rsidRPr="0068409E" w:rsidRDefault="000571CA" w:rsidP="00DF100C">
      <w:pPr>
        <w:pStyle w:val="ListParagraph"/>
        <w:numPr>
          <w:ilvl w:val="0"/>
          <w:numId w:val="3"/>
        </w:numPr>
        <w:spacing w:after="120"/>
        <w:rPr>
          <w:rFonts w:eastAsia="Calibri"/>
          <w:sz w:val="20"/>
          <w:szCs w:val="20"/>
        </w:rPr>
      </w:pPr>
      <w:r w:rsidRPr="0068409E">
        <w:rPr>
          <w:rFonts w:eastAsia="Calibri"/>
          <w:sz w:val="20"/>
          <w:szCs w:val="20"/>
        </w:rPr>
        <w:t>In accordance with requirement 2.2</w:t>
      </w:r>
      <w:r w:rsidR="006D51F0" w:rsidRPr="0068409E">
        <w:rPr>
          <w:rFonts w:eastAsia="Calibri"/>
          <w:sz w:val="20"/>
          <w:szCs w:val="20"/>
        </w:rPr>
        <w:t>.</w:t>
      </w:r>
      <w:r w:rsidRPr="0068409E">
        <w:rPr>
          <w:rFonts w:eastAsia="Calibri"/>
          <w:sz w:val="20"/>
          <w:szCs w:val="20"/>
        </w:rPr>
        <w:t xml:space="preserve">a, </w:t>
      </w:r>
      <w:r w:rsidR="0042714A" w:rsidRPr="0068409E">
        <w:rPr>
          <w:rFonts w:eastAsia="Calibri"/>
          <w:sz w:val="20"/>
          <w:szCs w:val="20"/>
        </w:rPr>
        <w:t>Tajikistan must</w:t>
      </w:r>
      <w:r w:rsidR="003303DC" w:rsidRPr="0068409E">
        <w:rPr>
          <w:rFonts w:eastAsia="Calibri"/>
          <w:sz w:val="20"/>
          <w:szCs w:val="20"/>
        </w:rPr>
        <w:t xml:space="preserve"> disclose the technical and financial criteria used</w:t>
      </w:r>
      <w:r w:rsidR="005C7084" w:rsidRPr="000B7811">
        <w:rPr>
          <w:rFonts w:eastAsia="Calibri"/>
          <w:sz w:val="20"/>
          <w:szCs w:val="20"/>
        </w:rPr>
        <w:t xml:space="preserve"> in awarding or transferring a license, including </w:t>
      </w:r>
      <w:r w:rsidR="003303DC" w:rsidRPr="0068409E">
        <w:rPr>
          <w:rFonts w:eastAsia="Calibri"/>
          <w:sz w:val="20"/>
          <w:szCs w:val="20"/>
        </w:rPr>
        <w:t xml:space="preserve">any non-trivial deviations from the applicable legal and regulatory framework governing license transfers and awards. </w:t>
      </w:r>
      <w:r w:rsidR="00FD6342" w:rsidRPr="0068409E">
        <w:rPr>
          <w:rFonts w:eastAsia="Calibri"/>
          <w:sz w:val="20"/>
          <w:szCs w:val="20"/>
        </w:rPr>
        <w:t>It is required that the information is disclosed for all license awards and transfers taking place during the accounting year covered by the EITI Report, including license allocations pertaining to companies that are not included in the EITI Report, i.e. where their payments fall below the agreed materiality threshold. Any significant legal or practical barriers preventing such comprehensive disclosure should be documented and explained in the EITI Report, including an account of government plans for seeking to overcome such barriers and the anticipated timescale for achieving them.</w:t>
      </w:r>
    </w:p>
    <w:p w14:paraId="4239195B" w14:textId="2FB1277C" w:rsidR="00DC3F37" w:rsidRPr="0068409E" w:rsidRDefault="00DC3F37" w:rsidP="00727828">
      <w:pPr>
        <w:pStyle w:val="ListParagraph"/>
        <w:numPr>
          <w:ilvl w:val="0"/>
          <w:numId w:val="3"/>
        </w:numPr>
        <w:rPr>
          <w:rFonts w:eastAsia="Calibri"/>
          <w:sz w:val="20"/>
          <w:szCs w:val="20"/>
        </w:rPr>
      </w:pPr>
      <w:r w:rsidRPr="0068409E">
        <w:rPr>
          <w:rFonts w:eastAsia="Calibri"/>
          <w:sz w:val="20"/>
          <w:szCs w:val="20"/>
        </w:rPr>
        <w:t>In</w:t>
      </w:r>
      <w:r w:rsidRPr="000C6665">
        <w:rPr>
          <w:rFonts w:eastAsia="Calibri"/>
          <w:sz w:val="20"/>
          <w:szCs w:val="20"/>
        </w:rPr>
        <w:t xml:space="preserve"> </w:t>
      </w:r>
      <w:r w:rsidRPr="0068409E">
        <w:rPr>
          <w:rFonts w:eastAsia="Calibri"/>
          <w:sz w:val="20"/>
          <w:szCs w:val="20"/>
        </w:rPr>
        <w:t>accordance with requirement 2.3</w:t>
      </w:r>
      <w:r w:rsidR="006D51F0" w:rsidRPr="0068409E">
        <w:rPr>
          <w:rFonts w:eastAsia="Calibri"/>
          <w:sz w:val="20"/>
          <w:szCs w:val="20"/>
        </w:rPr>
        <w:t>.</w:t>
      </w:r>
      <w:r w:rsidRPr="0068409E">
        <w:rPr>
          <w:rFonts w:eastAsia="Calibri"/>
          <w:sz w:val="20"/>
          <w:szCs w:val="20"/>
        </w:rPr>
        <w:t xml:space="preserve">b, </w:t>
      </w:r>
      <w:r w:rsidR="00F30A3D" w:rsidRPr="0068409E">
        <w:rPr>
          <w:rFonts w:eastAsia="Calibri"/>
          <w:sz w:val="20"/>
          <w:szCs w:val="20"/>
        </w:rPr>
        <w:t xml:space="preserve">the EITI Council should ensure that the </w:t>
      </w:r>
      <w:r w:rsidRPr="0068409E">
        <w:rPr>
          <w:rFonts w:eastAsia="Calibri"/>
          <w:sz w:val="20"/>
          <w:szCs w:val="20"/>
        </w:rPr>
        <w:t xml:space="preserve">publically available register or cadastre </w:t>
      </w:r>
      <w:r w:rsidR="00F30A3D" w:rsidRPr="0068409E">
        <w:rPr>
          <w:rFonts w:eastAsia="Calibri"/>
          <w:sz w:val="20"/>
          <w:szCs w:val="20"/>
        </w:rPr>
        <w:t xml:space="preserve">includes </w:t>
      </w:r>
      <w:r w:rsidRPr="0068409E">
        <w:rPr>
          <w:rFonts w:eastAsia="Calibri"/>
          <w:sz w:val="20"/>
          <w:szCs w:val="20"/>
        </w:rPr>
        <w:t>information about</w:t>
      </w:r>
      <w:r w:rsidR="00727828" w:rsidRPr="0068409E">
        <w:rPr>
          <w:rFonts w:eastAsia="Calibri"/>
          <w:sz w:val="20"/>
          <w:szCs w:val="20"/>
        </w:rPr>
        <w:t xml:space="preserve"> the license holder, duration of the license,</w:t>
      </w:r>
      <w:r w:rsidRPr="0068409E">
        <w:rPr>
          <w:rFonts w:eastAsia="Calibri"/>
          <w:sz w:val="20"/>
          <w:szCs w:val="20"/>
        </w:rPr>
        <w:t xml:space="preserve"> coordinates of the license area</w:t>
      </w:r>
      <w:r w:rsidR="00F30A3D" w:rsidRPr="0068409E">
        <w:rPr>
          <w:rFonts w:eastAsia="Calibri"/>
          <w:sz w:val="20"/>
          <w:szCs w:val="20"/>
        </w:rPr>
        <w:t xml:space="preserve"> and</w:t>
      </w:r>
      <w:r w:rsidRPr="0068409E">
        <w:rPr>
          <w:rFonts w:eastAsia="Calibri"/>
          <w:sz w:val="20"/>
          <w:szCs w:val="20"/>
        </w:rPr>
        <w:t xml:space="preserve"> </w:t>
      </w:r>
      <w:r w:rsidR="00F30A3D" w:rsidRPr="0068409E">
        <w:rPr>
          <w:rFonts w:eastAsia="Calibri"/>
          <w:sz w:val="20"/>
          <w:szCs w:val="20"/>
        </w:rPr>
        <w:t xml:space="preserve">the </w:t>
      </w:r>
      <w:r w:rsidRPr="0068409E">
        <w:rPr>
          <w:rFonts w:eastAsia="Calibri"/>
          <w:sz w:val="20"/>
          <w:szCs w:val="20"/>
        </w:rPr>
        <w:t>date of application</w:t>
      </w:r>
      <w:r w:rsidR="00F30A3D" w:rsidRPr="0068409E">
        <w:rPr>
          <w:rFonts w:eastAsia="Calibri"/>
          <w:sz w:val="20"/>
          <w:szCs w:val="20"/>
        </w:rPr>
        <w:t xml:space="preserve"> for the license. </w:t>
      </w:r>
      <w:r w:rsidR="00075283" w:rsidRPr="0068409E">
        <w:rPr>
          <w:rFonts w:eastAsia="Calibri"/>
          <w:sz w:val="20"/>
          <w:szCs w:val="20"/>
        </w:rPr>
        <w:t>Where coordinates are not collated, the government is required to ensure that the size and location of the license area are disclosed in the license register and that the coordinates are publicly available from the relevant government agency without unreasonable fees and restrictions. The EITI Report should include guidance on how to access the coordinates and the cost, if any, of accessing the data. The EITI Report should also document plans and timelines for making this information freely and electronically available through the license register.</w:t>
      </w:r>
    </w:p>
    <w:p w14:paraId="238EA11C" w14:textId="3A449EAF" w:rsidR="005E0D90" w:rsidRPr="0068409E" w:rsidRDefault="005E0D90" w:rsidP="00445618">
      <w:pPr>
        <w:pStyle w:val="ListParagraph"/>
        <w:numPr>
          <w:ilvl w:val="0"/>
          <w:numId w:val="3"/>
        </w:numPr>
        <w:spacing w:after="120"/>
        <w:rPr>
          <w:rFonts w:eastAsia="Calibri"/>
          <w:color w:val="000000"/>
          <w:sz w:val="20"/>
          <w:szCs w:val="20"/>
        </w:rPr>
      </w:pPr>
      <w:r w:rsidRPr="0068409E">
        <w:rPr>
          <w:rFonts w:eastAsia="Calibri"/>
          <w:color w:val="000000"/>
          <w:sz w:val="20"/>
          <w:szCs w:val="20"/>
        </w:rPr>
        <w:t>In accordance with requirement 2.4</w:t>
      </w:r>
      <w:r w:rsidR="006D51F0" w:rsidRPr="0068409E">
        <w:rPr>
          <w:rFonts w:eastAsia="Calibri"/>
          <w:color w:val="000000"/>
          <w:sz w:val="20"/>
          <w:szCs w:val="20"/>
        </w:rPr>
        <w:t>.</w:t>
      </w:r>
      <w:r w:rsidRPr="0068409E">
        <w:rPr>
          <w:rFonts w:eastAsia="Calibri"/>
          <w:color w:val="000000"/>
          <w:sz w:val="20"/>
          <w:szCs w:val="20"/>
        </w:rPr>
        <w:t xml:space="preserve">b, </w:t>
      </w:r>
      <w:r w:rsidR="008A24F1" w:rsidRPr="0068409E">
        <w:rPr>
          <w:rFonts w:eastAsia="Calibri"/>
          <w:color w:val="000000"/>
          <w:sz w:val="20"/>
          <w:szCs w:val="20"/>
        </w:rPr>
        <w:t xml:space="preserve">the EITI Council </w:t>
      </w:r>
      <w:r w:rsidR="0042714A" w:rsidRPr="0068409E">
        <w:rPr>
          <w:rFonts w:eastAsia="Calibri"/>
          <w:color w:val="000000"/>
          <w:sz w:val="20"/>
          <w:szCs w:val="20"/>
        </w:rPr>
        <w:t>is</w:t>
      </w:r>
      <w:r w:rsidRPr="0068409E">
        <w:rPr>
          <w:rFonts w:eastAsia="Calibri"/>
          <w:color w:val="000000"/>
          <w:sz w:val="20"/>
          <w:szCs w:val="20"/>
        </w:rPr>
        <w:t xml:space="preserve"> required to document the government’s policy on disclosure of contracts and licenses that govern the exploration and exploitation of oil, gas and minerals through the EITI Report. </w:t>
      </w:r>
      <w:r w:rsidR="008A24F1" w:rsidRPr="0068409E">
        <w:rPr>
          <w:rFonts w:eastAsia="Calibri"/>
          <w:color w:val="000000"/>
          <w:sz w:val="20"/>
          <w:szCs w:val="20"/>
        </w:rPr>
        <w:t>This should include relevant legal provisions, and any reforms that are planned or underway.</w:t>
      </w:r>
      <w:r w:rsidR="00DF100C" w:rsidRPr="0068409E" w:rsidDel="00DF100C">
        <w:rPr>
          <w:rFonts w:eastAsia="Calibri"/>
          <w:color w:val="000000"/>
          <w:sz w:val="20"/>
          <w:szCs w:val="20"/>
        </w:rPr>
        <w:t xml:space="preserve"> </w:t>
      </w:r>
    </w:p>
    <w:p w14:paraId="31C77BF9" w14:textId="765AFADA" w:rsidR="00892667" w:rsidRPr="0068409E" w:rsidRDefault="008D66B7" w:rsidP="007E4724">
      <w:pPr>
        <w:pStyle w:val="ListParagraph"/>
        <w:numPr>
          <w:ilvl w:val="0"/>
          <w:numId w:val="3"/>
        </w:numPr>
        <w:spacing w:after="120"/>
        <w:rPr>
          <w:rFonts w:eastAsia="Calibri"/>
          <w:sz w:val="20"/>
          <w:szCs w:val="20"/>
        </w:rPr>
      </w:pPr>
      <w:r w:rsidRPr="0068409E">
        <w:rPr>
          <w:rFonts w:eastAsia="Calibri"/>
          <w:sz w:val="20"/>
          <w:szCs w:val="20"/>
        </w:rPr>
        <w:t>In accordance with requirement 2.6</w:t>
      </w:r>
      <w:r w:rsidR="006D51F0" w:rsidRPr="0068409E">
        <w:rPr>
          <w:rFonts w:eastAsia="Calibri"/>
          <w:sz w:val="20"/>
          <w:szCs w:val="20"/>
        </w:rPr>
        <w:t>.</w:t>
      </w:r>
      <w:r w:rsidRPr="0068409E">
        <w:rPr>
          <w:rFonts w:eastAsia="Calibri"/>
          <w:sz w:val="20"/>
          <w:szCs w:val="20"/>
        </w:rPr>
        <w:t>a</w:t>
      </w:r>
      <w:r w:rsidR="006D51F0" w:rsidRPr="0068409E">
        <w:rPr>
          <w:rFonts w:eastAsia="Calibri"/>
          <w:sz w:val="20"/>
          <w:szCs w:val="20"/>
        </w:rPr>
        <w:t>,</w:t>
      </w:r>
      <w:r w:rsidR="00026030" w:rsidRPr="0068409E">
        <w:rPr>
          <w:rFonts w:eastAsia="Calibri"/>
          <w:sz w:val="20"/>
          <w:szCs w:val="20"/>
        </w:rPr>
        <w:t xml:space="preserve"> </w:t>
      </w:r>
      <w:r w:rsidR="006D51F0" w:rsidRPr="0068409E">
        <w:rPr>
          <w:rFonts w:eastAsia="Calibri"/>
          <w:sz w:val="20"/>
          <w:szCs w:val="20"/>
        </w:rPr>
        <w:t xml:space="preserve">the EITI Council </w:t>
      </w:r>
      <w:r w:rsidR="00026030" w:rsidRPr="0068409E">
        <w:rPr>
          <w:rFonts w:eastAsia="Calibri"/>
          <w:sz w:val="20"/>
          <w:szCs w:val="20"/>
        </w:rPr>
        <w:t>must disclose an explanation of the prevailing rules and practices regarding the financial relationship between the government and state-owned enterprises (SOEs)</w:t>
      </w:r>
      <w:r w:rsidR="006D51F0" w:rsidRPr="0068409E">
        <w:rPr>
          <w:rFonts w:eastAsia="Calibri"/>
          <w:sz w:val="20"/>
          <w:szCs w:val="20"/>
        </w:rPr>
        <w:t xml:space="preserve"> and any SOE subsidiaries operating in the extractive sector. In accordance with requirement 2.6.b</w:t>
      </w:r>
      <w:r w:rsidR="00026030" w:rsidRPr="0068409E">
        <w:rPr>
          <w:rFonts w:eastAsia="Calibri"/>
          <w:sz w:val="20"/>
          <w:szCs w:val="20"/>
        </w:rPr>
        <w:t>,</w:t>
      </w:r>
      <w:r w:rsidR="003258CA" w:rsidRPr="0068409E">
        <w:rPr>
          <w:rFonts w:eastAsia="Calibri"/>
          <w:sz w:val="20"/>
          <w:szCs w:val="20"/>
        </w:rPr>
        <w:t xml:space="preserve"> </w:t>
      </w:r>
      <w:r w:rsidR="006D51F0" w:rsidRPr="0068409E">
        <w:rPr>
          <w:rFonts w:eastAsia="Calibri"/>
          <w:sz w:val="20"/>
          <w:szCs w:val="20"/>
        </w:rPr>
        <w:t>the EITI Council should</w:t>
      </w:r>
      <w:r w:rsidR="007E4724" w:rsidRPr="0068409E">
        <w:rPr>
          <w:rFonts w:eastAsia="Calibri"/>
          <w:sz w:val="20"/>
          <w:szCs w:val="20"/>
        </w:rPr>
        <w:t xml:space="preserve"> ensure disclosures from the government and SOE(s) of their level of ownership in mining, oil and gas companies operating within the country’s oil, gas and mining sector, including those held by SOE subsidiaries and joint ventures, and any changes in the level of ownership during the reporting period. </w:t>
      </w:r>
      <w:r w:rsidR="003258CA" w:rsidRPr="0068409E">
        <w:rPr>
          <w:rFonts w:eastAsia="Calibri"/>
          <w:sz w:val="20"/>
          <w:szCs w:val="20"/>
        </w:rPr>
        <w:t>The government should also disclose any loans provided</w:t>
      </w:r>
      <w:r w:rsidR="006D51F0" w:rsidRPr="0068409E">
        <w:rPr>
          <w:rFonts w:eastAsia="Calibri"/>
          <w:sz w:val="20"/>
          <w:szCs w:val="20"/>
        </w:rPr>
        <w:t xml:space="preserve"> by the state or SOEs</w:t>
      </w:r>
      <w:r w:rsidR="003258CA" w:rsidRPr="0068409E">
        <w:rPr>
          <w:rFonts w:eastAsia="Calibri"/>
          <w:sz w:val="20"/>
          <w:szCs w:val="20"/>
        </w:rPr>
        <w:t xml:space="preserve"> to oil, gas and mining companies operating in the country.</w:t>
      </w:r>
    </w:p>
    <w:p w14:paraId="4CEBE044" w14:textId="77777777" w:rsidR="00321A95" w:rsidRPr="0068409E" w:rsidRDefault="0054779B" w:rsidP="00F51504">
      <w:pPr>
        <w:pStyle w:val="ListParagraph"/>
        <w:numPr>
          <w:ilvl w:val="0"/>
          <w:numId w:val="3"/>
        </w:numPr>
        <w:spacing w:after="120"/>
        <w:ind w:left="357" w:hanging="357"/>
        <w:rPr>
          <w:rFonts w:eastAsia="Calibri"/>
          <w:sz w:val="20"/>
          <w:szCs w:val="20"/>
        </w:rPr>
      </w:pPr>
      <w:r w:rsidRPr="0068409E">
        <w:rPr>
          <w:rFonts w:eastAsia="Calibri"/>
          <w:sz w:val="20"/>
          <w:szCs w:val="20"/>
        </w:rPr>
        <w:t xml:space="preserve">In accordance with requirement 3.2, Tajikistan </w:t>
      </w:r>
      <w:r w:rsidR="003F14F0" w:rsidRPr="0068409E">
        <w:rPr>
          <w:rFonts w:eastAsia="Calibri"/>
          <w:sz w:val="20"/>
          <w:szCs w:val="20"/>
        </w:rPr>
        <w:t xml:space="preserve">must disclose production data for </w:t>
      </w:r>
      <w:r w:rsidR="0066366E" w:rsidRPr="0068409E">
        <w:rPr>
          <w:rFonts w:eastAsia="Calibri"/>
          <w:sz w:val="20"/>
          <w:szCs w:val="20"/>
        </w:rPr>
        <w:t xml:space="preserve">all commodities produces during </w:t>
      </w:r>
      <w:r w:rsidR="003F14F0" w:rsidRPr="0068409E">
        <w:rPr>
          <w:rFonts w:eastAsia="Calibri"/>
          <w:sz w:val="20"/>
          <w:szCs w:val="20"/>
        </w:rPr>
        <w:t xml:space="preserve">the fiscal year covered by the EITI Report, including total production volumes and the value of production by commodity and region. </w:t>
      </w:r>
    </w:p>
    <w:p w14:paraId="10075E42" w14:textId="77777777" w:rsidR="00F12AC0" w:rsidRPr="0068409E" w:rsidRDefault="00321A95" w:rsidP="00F51504">
      <w:pPr>
        <w:pStyle w:val="ListParagraph"/>
        <w:numPr>
          <w:ilvl w:val="0"/>
          <w:numId w:val="3"/>
        </w:numPr>
        <w:spacing w:after="120"/>
        <w:ind w:left="357" w:hanging="357"/>
        <w:rPr>
          <w:rFonts w:eastAsia="Calibri"/>
          <w:sz w:val="20"/>
          <w:szCs w:val="20"/>
        </w:rPr>
      </w:pPr>
      <w:r w:rsidRPr="0068409E">
        <w:rPr>
          <w:rFonts w:eastAsia="Calibri"/>
          <w:sz w:val="20"/>
          <w:szCs w:val="20"/>
        </w:rPr>
        <w:lastRenderedPageBreak/>
        <w:t xml:space="preserve">In accordance with requirement 3.3, Tajikistan must disclose export data for </w:t>
      </w:r>
      <w:r w:rsidR="0066366E" w:rsidRPr="0068409E">
        <w:rPr>
          <w:rFonts w:eastAsia="Calibri"/>
          <w:sz w:val="20"/>
          <w:szCs w:val="20"/>
        </w:rPr>
        <w:t xml:space="preserve">all commodities exported during </w:t>
      </w:r>
      <w:r w:rsidRPr="0068409E">
        <w:rPr>
          <w:rFonts w:eastAsia="Calibri"/>
          <w:sz w:val="20"/>
          <w:szCs w:val="20"/>
        </w:rPr>
        <w:t xml:space="preserve">the fiscal year covered by the EITI Report, including total export volumes and the value of exports by commodity and by region of origin. </w:t>
      </w:r>
    </w:p>
    <w:p w14:paraId="05B7BD62" w14:textId="1B567EE6" w:rsidR="008455AE" w:rsidRPr="0068409E" w:rsidRDefault="00F12AC0" w:rsidP="00EE5974">
      <w:pPr>
        <w:pStyle w:val="ListParagraph"/>
        <w:numPr>
          <w:ilvl w:val="0"/>
          <w:numId w:val="3"/>
        </w:numPr>
        <w:spacing w:after="120"/>
        <w:rPr>
          <w:rFonts w:eastAsia="Calibri"/>
          <w:color w:val="000000"/>
          <w:sz w:val="20"/>
          <w:szCs w:val="20"/>
        </w:rPr>
      </w:pPr>
      <w:r w:rsidRPr="0068409E">
        <w:rPr>
          <w:rFonts w:eastAsia="Calibri"/>
          <w:color w:val="000000"/>
          <w:sz w:val="20"/>
          <w:szCs w:val="20"/>
        </w:rPr>
        <w:t xml:space="preserve">In accordance with requirement 4.1, the EITI Council </w:t>
      </w:r>
      <w:r w:rsidR="008455AE" w:rsidRPr="0068409E">
        <w:rPr>
          <w:rFonts w:eastAsia="Calibri"/>
          <w:color w:val="000000"/>
          <w:sz w:val="20"/>
          <w:szCs w:val="20"/>
        </w:rPr>
        <w:t xml:space="preserve">should ensure </w:t>
      </w:r>
      <w:r w:rsidR="007E4724" w:rsidRPr="0068409E">
        <w:rPr>
          <w:rFonts w:eastAsia="Calibri"/>
          <w:color w:val="000000"/>
          <w:sz w:val="20"/>
          <w:szCs w:val="20"/>
        </w:rPr>
        <w:t>adherence to the standard TOR for Independent Administrators</w:t>
      </w:r>
      <w:r w:rsidR="008455AE" w:rsidRPr="0068409E">
        <w:rPr>
          <w:rFonts w:eastAsia="Calibri"/>
          <w:color w:val="000000"/>
          <w:sz w:val="20"/>
          <w:szCs w:val="20"/>
        </w:rPr>
        <w:t>. Specifically, t</w:t>
      </w:r>
      <w:r w:rsidR="0073039D" w:rsidRPr="0068409E">
        <w:rPr>
          <w:rFonts w:eastAsia="Calibri"/>
          <w:color w:val="000000"/>
          <w:sz w:val="20"/>
          <w:szCs w:val="20"/>
        </w:rPr>
        <w:t>he EITI Council should</w:t>
      </w:r>
      <w:r w:rsidR="008455AE" w:rsidRPr="0068409E">
        <w:rPr>
          <w:rFonts w:eastAsia="Calibri"/>
          <w:color w:val="000000"/>
          <w:sz w:val="20"/>
          <w:szCs w:val="20"/>
        </w:rPr>
        <w:t>:</w:t>
      </w:r>
    </w:p>
    <w:p w14:paraId="74E8FCF0" w14:textId="77777777" w:rsidR="007E4724" w:rsidRPr="000C6665" w:rsidRDefault="007E4724" w:rsidP="00390CDA">
      <w:pPr>
        <w:pStyle w:val="ListParagraph"/>
        <w:numPr>
          <w:ilvl w:val="0"/>
          <w:numId w:val="10"/>
        </w:numPr>
        <w:spacing w:after="120"/>
        <w:rPr>
          <w:rFonts w:eastAsia="Calibri"/>
          <w:color w:val="000000"/>
          <w:sz w:val="20"/>
          <w:szCs w:val="20"/>
        </w:rPr>
      </w:pPr>
      <w:r w:rsidRPr="0068409E">
        <w:rPr>
          <w:sz w:val="20"/>
          <w:szCs w:val="20"/>
          <w:lang w:val="en-US"/>
        </w:rPr>
        <w:t xml:space="preserve">Undertake further scoping work in order to better define the material revenue streams and reporting entities ahead of the 2015 EITI Report. Ensure that future reporting templates are developed in consultation with the Independent Administrator. </w:t>
      </w:r>
    </w:p>
    <w:p w14:paraId="293C8710" w14:textId="77777777" w:rsidR="0099103D" w:rsidRPr="0068409E" w:rsidRDefault="0099103D" w:rsidP="00390CDA">
      <w:pPr>
        <w:pStyle w:val="ListParagraph"/>
        <w:numPr>
          <w:ilvl w:val="0"/>
          <w:numId w:val="10"/>
        </w:numPr>
        <w:spacing w:after="120"/>
        <w:rPr>
          <w:rFonts w:eastAsia="Calibri"/>
          <w:color w:val="000000"/>
          <w:sz w:val="20"/>
          <w:szCs w:val="20"/>
        </w:rPr>
      </w:pPr>
      <w:r w:rsidRPr="0068409E">
        <w:rPr>
          <w:rFonts w:eastAsia="Calibri"/>
          <w:color w:val="000000"/>
          <w:sz w:val="20"/>
          <w:szCs w:val="20"/>
        </w:rPr>
        <w:t xml:space="preserve">In accordance with requirement 4.1.c and the standard TOR for Independent Administrators, </w:t>
      </w:r>
      <w:r w:rsidR="00BC0CC3" w:rsidRPr="0068409E">
        <w:rPr>
          <w:rFonts w:eastAsia="Calibri"/>
          <w:color w:val="000000"/>
          <w:sz w:val="20"/>
          <w:szCs w:val="20"/>
        </w:rPr>
        <w:t xml:space="preserve">provide a comprehensive reconciliation of government revenues and company payments including ensuring that all companies making material payments and all government entities receiving material revenues comprehensively disclose these payments and revenues. The EITI Council should also ensure that the Independent Administrator </w:t>
      </w:r>
      <w:r w:rsidRPr="0068409E">
        <w:rPr>
          <w:rFonts w:eastAsia="Calibri"/>
          <w:color w:val="000000"/>
          <w:sz w:val="20"/>
          <w:szCs w:val="20"/>
        </w:rPr>
        <w:t>identif</w:t>
      </w:r>
      <w:r w:rsidR="00BC0CC3" w:rsidRPr="0068409E">
        <w:rPr>
          <w:rFonts w:eastAsia="Calibri"/>
          <w:color w:val="000000"/>
          <w:sz w:val="20"/>
          <w:szCs w:val="20"/>
        </w:rPr>
        <w:t>ies</w:t>
      </w:r>
      <w:r w:rsidRPr="0068409E">
        <w:rPr>
          <w:rFonts w:eastAsia="Calibri"/>
          <w:color w:val="000000"/>
          <w:sz w:val="20"/>
          <w:szCs w:val="20"/>
        </w:rPr>
        <w:t xml:space="preserve"> any discrepancies (including offsetting discrepancies) in accordance with the agreed scope and </w:t>
      </w:r>
      <w:r w:rsidR="001C0B66" w:rsidRPr="0068409E">
        <w:rPr>
          <w:rFonts w:eastAsia="Calibri"/>
          <w:color w:val="000000"/>
          <w:sz w:val="20"/>
          <w:szCs w:val="20"/>
        </w:rPr>
        <w:t>clarifies</w:t>
      </w:r>
      <w:r w:rsidRPr="0068409E">
        <w:rPr>
          <w:rFonts w:eastAsia="Calibri"/>
          <w:color w:val="000000"/>
          <w:sz w:val="20"/>
          <w:szCs w:val="20"/>
        </w:rPr>
        <w:t xml:space="preserve"> the causes of any significant discrepancies or other gaps in the reported data.</w:t>
      </w:r>
    </w:p>
    <w:p w14:paraId="12163EAB" w14:textId="77777777" w:rsidR="00B513A6" w:rsidRPr="0068409E" w:rsidRDefault="00B513A6" w:rsidP="00390CDA">
      <w:pPr>
        <w:pStyle w:val="ListParagraph"/>
        <w:numPr>
          <w:ilvl w:val="0"/>
          <w:numId w:val="10"/>
        </w:numPr>
        <w:spacing w:after="120"/>
        <w:rPr>
          <w:rFonts w:eastAsia="Calibri"/>
          <w:color w:val="000000"/>
          <w:sz w:val="20"/>
          <w:szCs w:val="20"/>
        </w:rPr>
      </w:pPr>
      <w:r w:rsidRPr="0068409E">
        <w:rPr>
          <w:rFonts w:eastAsia="Calibri"/>
          <w:color w:val="000000"/>
          <w:sz w:val="20"/>
          <w:szCs w:val="20"/>
        </w:rPr>
        <w:t>In accordance with the standard TOR for Independent Administrators, ensure that the Independent Administrator provides an assessment of whether all companies and government entities within the agreed scope of the EITI reporting process provided the requested information. Any gaps or weaknesses in reporting to the Independent Administrator must be disclosed in the EITI Report, including naming any entities that failed to comply with the agreed procedures, and an assessment of whether this is likely to have had material impact on the comprehensiveness of the report.</w:t>
      </w:r>
    </w:p>
    <w:p w14:paraId="7A6ECF07" w14:textId="51EE75A5" w:rsidR="00B513A6" w:rsidRPr="0068409E" w:rsidRDefault="00B513A6" w:rsidP="007E4724">
      <w:pPr>
        <w:pStyle w:val="ListParagraph"/>
        <w:numPr>
          <w:ilvl w:val="0"/>
          <w:numId w:val="10"/>
        </w:numPr>
        <w:rPr>
          <w:rFonts w:eastAsia="Calibri"/>
          <w:color w:val="000000"/>
          <w:sz w:val="20"/>
          <w:szCs w:val="20"/>
        </w:rPr>
      </w:pPr>
      <w:r w:rsidRPr="0068409E">
        <w:rPr>
          <w:rFonts w:eastAsia="Calibri"/>
          <w:color w:val="000000"/>
          <w:sz w:val="20"/>
          <w:szCs w:val="20"/>
        </w:rPr>
        <w:t xml:space="preserve">In accordance with the standard TOR for Independent Administrators, ensure that the Independent Administrator </w:t>
      </w:r>
      <w:r w:rsidR="007E4724" w:rsidRPr="0068409E">
        <w:rPr>
          <w:rFonts w:eastAsia="Calibri"/>
          <w:color w:val="000000"/>
          <w:sz w:val="20"/>
          <w:szCs w:val="20"/>
        </w:rPr>
        <w:t>undertakes a review of the prevailing auditing and assurance practices among companies and government entities is undertaken prior to commencing data collection</w:t>
      </w:r>
      <w:r w:rsidR="0068409E" w:rsidRPr="0068409E">
        <w:rPr>
          <w:rFonts w:eastAsia="Calibri"/>
          <w:color w:val="000000"/>
          <w:sz w:val="20"/>
          <w:szCs w:val="20"/>
        </w:rPr>
        <w:t xml:space="preserve">, and </w:t>
      </w:r>
      <w:r w:rsidRPr="0068409E">
        <w:rPr>
          <w:rFonts w:eastAsia="Calibri"/>
          <w:color w:val="000000"/>
          <w:sz w:val="20"/>
          <w:szCs w:val="20"/>
        </w:rPr>
        <w:t xml:space="preserve">provide an assessment on the comprehensiveness and reliability of the (financial) data presented, including an informative summary of the work performed by the Independent Administrator and the limitations of the assessment provided. </w:t>
      </w:r>
    </w:p>
    <w:p w14:paraId="0809467E" w14:textId="007705F0" w:rsidR="00250046" w:rsidRPr="0068409E" w:rsidRDefault="0068409E" w:rsidP="000C6665">
      <w:pPr>
        <w:pStyle w:val="ListParagraph"/>
        <w:numPr>
          <w:ilvl w:val="0"/>
          <w:numId w:val="10"/>
        </w:numPr>
        <w:spacing w:after="0" w:line="240" w:lineRule="auto"/>
        <w:rPr>
          <w:sz w:val="20"/>
          <w:szCs w:val="20"/>
          <w:lang w:val="en-US"/>
        </w:rPr>
      </w:pPr>
      <w:r w:rsidRPr="0068409E">
        <w:rPr>
          <w:sz w:val="20"/>
          <w:szCs w:val="20"/>
          <w:lang w:val="en-US"/>
        </w:rPr>
        <w:t>Where previous EITI Reports have recommended corrective actions and reforms, the Independent Administrator should comment on the progress in implementing those measures.</w:t>
      </w:r>
      <w:r w:rsidRPr="0068409E" w:rsidDel="007E4724">
        <w:rPr>
          <w:sz w:val="20"/>
          <w:szCs w:val="20"/>
          <w:lang w:val="en-US"/>
        </w:rPr>
        <w:t xml:space="preserve"> </w:t>
      </w:r>
    </w:p>
    <w:p w14:paraId="66E2087E" w14:textId="2A093364" w:rsidR="00250046" w:rsidRPr="0068409E" w:rsidRDefault="00250046" w:rsidP="000C6665">
      <w:pPr>
        <w:pStyle w:val="ListParagraph"/>
        <w:spacing w:after="0" w:line="240" w:lineRule="auto"/>
        <w:ind w:left="1080"/>
        <w:jc w:val="both"/>
        <w:rPr>
          <w:sz w:val="20"/>
          <w:szCs w:val="20"/>
          <w:lang w:val="en-US"/>
        </w:rPr>
      </w:pPr>
    </w:p>
    <w:p w14:paraId="662299C7" w14:textId="742A167C" w:rsidR="00AB3704" w:rsidRPr="0068409E" w:rsidRDefault="009B5B32" w:rsidP="000C6665">
      <w:pPr>
        <w:pStyle w:val="ListParagraph"/>
        <w:numPr>
          <w:ilvl w:val="0"/>
          <w:numId w:val="3"/>
        </w:numPr>
        <w:spacing w:after="120" w:line="240" w:lineRule="auto"/>
        <w:ind w:left="357" w:hanging="357"/>
        <w:jc w:val="both"/>
        <w:rPr>
          <w:rFonts w:eastAsia="Calibri"/>
          <w:sz w:val="20"/>
          <w:szCs w:val="20"/>
        </w:rPr>
      </w:pPr>
      <w:r w:rsidRPr="0068409E">
        <w:rPr>
          <w:rFonts w:eastAsia="Calibri"/>
          <w:sz w:val="20"/>
          <w:szCs w:val="20"/>
        </w:rPr>
        <w:t>In accordance with requirement 4.2</w:t>
      </w:r>
      <w:r w:rsidR="00AB3704" w:rsidRPr="0068409E">
        <w:rPr>
          <w:rFonts w:eastAsia="Calibri"/>
          <w:sz w:val="20"/>
          <w:szCs w:val="20"/>
        </w:rPr>
        <w:t>, Tajikistan is required to disclose the revenues collected in-kind through disclosing the volumes sold and revenues received.</w:t>
      </w:r>
      <w:r w:rsidR="00551842" w:rsidRPr="0068409E">
        <w:rPr>
          <w:rFonts w:eastAsia="Calibri"/>
          <w:sz w:val="20"/>
          <w:szCs w:val="20"/>
        </w:rPr>
        <w:t xml:space="preserve"> </w:t>
      </w:r>
      <w:r w:rsidR="00F45275" w:rsidRPr="0068409E">
        <w:rPr>
          <w:rFonts w:eastAsia="Calibri"/>
          <w:sz w:val="20"/>
          <w:szCs w:val="20"/>
        </w:rPr>
        <w:t>Specifically, this should include any gold production by SOEs, transfer of gold to the Central Bank and revenues from gold sales, if any.</w:t>
      </w:r>
    </w:p>
    <w:p w14:paraId="3278C42E" w14:textId="0DAD7668" w:rsidR="0068409E" w:rsidRPr="0068409E" w:rsidRDefault="00FA3885" w:rsidP="0068409E">
      <w:pPr>
        <w:pStyle w:val="ListParagraph"/>
        <w:numPr>
          <w:ilvl w:val="0"/>
          <w:numId w:val="3"/>
        </w:numPr>
        <w:spacing w:after="120"/>
        <w:rPr>
          <w:rFonts w:eastAsia="Calibri"/>
          <w:sz w:val="20"/>
          <w:szCs w:val="20"/>
        </w:rPr>
      </w:pPr>
      <w:r w:rsidRPr="0068409E">
        <w:rPr>
          <w:rFonts w:eastAsia="Calibri"/>
          <w:sz w:val="20"/>
          <w:szCs w:val="20"/>
        </w:rPr>
        <w:t xml:space="preserve">In accordance with requirement 4.3, the </w:t>
      </w:r>
      <w:r w:rsidR="00A97FEC" w:rsidRPr="0068409E">
        <w:rPr>
          <w:rFonts w:eastAsia="Calibri"/>
          <w:sz w:val="20"/>
          <w:szCs w:val="20"/>
        </w:rPr>
        <w:t>EITI Council</w:t>
      </w:r>
      <w:r w:rsidR="00091E7C" w:rsidRPr="0068409E">
        <w:rPr>
          <w:rFonts w:eastAsia="Calibri"/>
          <w:sz w:val="20"/>
          <w:szCs w:val="20"/>
        </w:rPr>
        <w:t xml:space="preserve"> and the Independent Administrator are required to consider whether there are any agreements, or sets of agreements involving the provisions of </w:t>
      </w:r>
      <w:r w:rsidR="005E7B1A" w:rsidRPr="0068409E">
        <w:rPr>
          <w:rFonts w:eastAsia="Calibri"/>
          <w:sz w:val="20"/>
          <w:szCs w:val="20"/>
        </w:rPr>
        <w:t>goods and services (including loans, grants and infrastructure works), in full or</w:t>
      </w:r>
      <w:r w:rsidR="007A6D54" w:rsidRPr="0068409E">
        <w:rPr>
          <w:rFonts w:eastAsia="Calibri"/>
          <w:sz w:val="20"/>
          <w:szCs w:val="20"/>
        </w:rPr>
        <w:t xml:space="preserve"> partial exchange for oil, gas or mining exploration or production concessions or physical delivery of such commodities.</w:t>
      </w:r>
      <w:r w:rsidR="002070C3" w:rsidRPr="0068409E">
        <w:rPr>
          <w:rFonts w:eastAsia="Calibri"/>
          <w:sz w:val="20"/>
          <w:szCs w:val="20"/>
        </w:rPr>
        <w:t xml:space="preserve"> To be able to do so, the EITI Council and the Independent Administrator need to gain a full understanding of the terms of the relevant agreements and contracts, the parties involved, the resources which have been pledged by the state, the value of the balancing benefit stream, and the materiality of these agreements relative to the conventional contracts.</w:t>
      </w:r>
      <w:r w:rsidR="0068409E" w:rsidRPr="0068409E">
        <w:rPr>
          <w:rFonts w:eastAsia="Calibri"/>
          <w:sz w:val="20"/>
          <w:szCs w:val="20"/>
        </w:rPr>
        <w:t xml:space="preserve"> Where the multi-stakeholder group concludes that these agreements are material, the multi-stakeholder group and the Independent Administrator are required to ensure that the EITI Report addresses these agreements, providing a level of detail and transparency commensurate with the disclosure and reconciliation of other payments and revenues streams. </w:t>
      </w:r>
    </w:p>
    <w:p w14:paraId="62DFF5B9" w14:textId="3AED5091" w:rsidR="00FA3885" w:rsidRPr="000C6665" w:rsidRDefault="00CC3D88" w:rsidP="000C6665">
      <w:pPr>
        <w:pStyle w:val="ListParagraph"/>
        <w:numPr>
          <w:ilvl w:val="0"/>
          <w:numId w:val="3"/>
        </w:numPr>
        <w:spacing w:after="120"/>
        <w:rPr>
          <w:sz w:val="20"/>
          <w:szCs w:val="20"/>
          <w:lang w:val="en-US"/>
        </w:rPr>
      </w:pPr>
      <w:r w:rsidRPr="000C6665">
        <w:rPr>
          <w:rFonts w:eastAsia="Calibri"/>
          <w:sz w:val="20"/>
          <w:szCs w:val="20"/>
        </w:rPr>
        <w:t xml:space="preserve">In accordance with requirement 4.5, the EITI Council must ensure that the reporting process comprehensively addresses the role of state-owned enterprises (SOEs), including material payments to SOEs from oil, gas and mining companies, and transfers between SOEs and other government agencies. </w:t>
      </w:r>
    </w:p>
    <w:p w14:paraId="44E2AB93" w14:textId="77777777" w:rsidR="00171397" w:rsidRPr="0068409E" w:rsidRDefault="007F75F7">
      <w:pPr>
        <w:pStyle w:val="ListParagraph"/>
        <w:numPr>
          <w:ilvl w:val="0"/>
          <w:numId w:val="3"/>
        </w:numPr>
        <w:spacing w:after="120"/>
        <w:rPr>
          <w:rFonts w:eastAsia="Calibri"/>
          <w:sz w:val="20"/>
          <w:szCs w:val="20"/>
        </w:rPr>
      </w:pPr>
      <w:r w:rsidRPr="0068409E">
        <w:rPr>
          <w:rFonts w:eastAsia="Calibri"/>
          <w:sz w:val="20"/>
          <w:szCs w:val="20"/>
        </w:rPr>
        <w:lastRenderedPageBreak/>
        <w:t>In accordance with requirement 4.9</w:t>
      </w:r>
      <w:r w:rsidR="00171397" w:rsidRPr="0068409E">
        <w:rPr>
          <w:rFonts w:eastAsia="Calibri"/>
          <w:sz w:val="20"/>
          <w:szCs w:val="20"/>
        </w:rPr>
        <w:t>.</w:t>
      </w:r>
      <w:r w:rsidR="005161CA" w:rsidRPr="0068409E">
        <w:rPr>
          <w:rFonts w:eastAsia="Calibri"/>
          <w:sz w:val="20"/>
          <w:szCs w:val="20"/>
        </w:rPr>
        <w:t>b</w:t>
      </w:r>
      <w:r w:rsidR="00171397" w:rsidRPr="0068409E">
        <w:rPr>
          <w:rFonts w:eastAsia="Calibri"/>
          <w:sz w:val="20"/>
          <w:szCs w:val="20"/>
        </w:rPr>
        <w:t xml:space="preserve">.iii and the </w:t>
      </w:r>
      <w:r w:rsidR="00B51B31" w:rsidRPr="0068409E">
        <w:rPr>
          <w:rFonts w:eastAsia="Calibri"/>
          <w:sz w:val="20"/>
          <w:szCs w:val="20"/>
        </w:rPr>
        <w:t>standard Terms of Reference and the ‘agreed upon procedure for EITI Report’ endorsed by the EI</w:t>
      </w:r>
      <w:r w:rsidR="00EB2233" w:rsidRPr="0068409E">
        <w:rPr>
          <w:rFonts w:eastAsia="Calibri"/>
          <w:sz w:val="20"/>
          <w:szCs w:val="20"/>
        </w:rPr>
        <w:t>TI Board</w:t>
      </w:r>
      <w:r w:rsidR="00171397" w:rsidRPr="0068409E">
        <w:rPr>
          <w:rFonts w:eastAsia="Calibri"/>
          <w:sz w:val="20"/>
          <w:szCs w:val="20"/>
        </w:rPr>
        <w:t xml:space="preserve">, the EITI Council should: </w:t>
      </w:r>
    </w:p>
    <w:p w14:paraId="46DCF96C" w14:textId="77777777" w:rsidR="00171397" w:rsidRPr="0068409E" w:rsidRDefault="00171397" w:rsidP="00390CDA">
      <w:pPr>
        <w:pStyle w:val="ListParagraph"/>
        <w:numPr>
          <w:ilvl w:val="0"/>
          <w:numId w:val="9"/>
        </w:numPr>
        <w:spacing w:after="120"/>
        <w:rPr>
          <w:rFonts w:eastAsia="Calibri"/>
          <w:sz w:val="20"/>
          <w:szCs w:val="20"/>
        </w:rPr>
      </w:pPr>
      <w:r w:rsidRPr="0068409E">
        <w:rPr>
          <w:rFonts w:eastAsia="Calibri"/>
          <w:sz w:val="20"/>
          <w:szCs w:val="20"/>
        </w:rPr>
        <w:t xml:space="preserve">examine the audit and assurance procedures in companies and government entities participating in the EITI reporting process, and based on this examination, agree what information participating companies and government entities are required to provide to the Independent Administrator in order to assure the credibility of the data in accordance with Requirement 4.9. The Independent Administrator should exercise judgement and apply appropriate international professional standards in developing a procedure that provide a sufficient basis for a comprehensive and reliable EITI Report. The Independent Administrator should employ his /her professional judgement to determine the extent to which reliance can be placed on the existing controls and audit frameworks of the companies and governments. The Independent Administrator’s inception report should document the options considered and the rationale for the assurances to be provided. </w:t>
      </w:r>
    </w:p>
    <w:p w14:paraId="265987F7" w14:textId="77777777" w:rsidR="009A5895" w:rsidRPr="0068409E" w:rsidRDefault="00171397" w:rsidP="00390CDA">
      <w:pPr>
        <w:pStyle w:val="ListParagraph"/>
        <w:numPr>
          <w:ilvl w:val="0"/>
          <w:numId w:val="9"/>
        </w:numPr>
        <w:spacing w:after="120"/>
        <w:rPr>
          <w:rFonts w:eastAsia="Calibri"/>
          <w:sz w:val="20"/>
          <w:szCs w:val="20"/>
        </w:rPr>
      </w:pPr>
      <w:r w:rsidRPr="0068409E">
        <w:rPr>
          <w:rFonts w:eastAsia="Calibri"/>
          <w:sz w:val="20"/>
          <w:szCs w:val="20"/>
        </w:rPr>
        <w:t>Ensure that the Independent Administrator provides an assessment of whether all companies and government entities within the agreed scope of the EITI reporting process provided the requested assurances. Any gaps or weaknesses in reporting to the Independent Administrator must be disclosed in the EITI Report, including naming any entities that failed to comply with the agreed procedures, and an assessment of whether this is likely to have had material impact on the comprehensiveness of the report.</w:t>
      </w:r>
    </w:p>
    <w:p w14:paraId="53C1DF81" w14:textId="26B97129" w:rsidR="00171397" w:rsidRPr="0068409E" w:rsidRDefault="00171397" w:rsidP="009A5895">
      <w:pPr>
        <w:pStyle w:val="ListParagraph"/>
        <w:numPr>
          <w:ilvl w:val="0"/>
          <w:numId w:val="9"/>
        </w:numPr>
        <w:spacing w:after="120"/>
        <w:rPr>
          <w:rFonts w:eastAsia="Calibri"/>
          <w:sz w:val="20"/>
          <w:szCs w:val="20"/>
        </w:rPr>
      </w:pPr>
      <w:r w:rsidRPr="0068409E">
        <w:rPr>
          <w:rFonts w:eastAsia="Calibri"/>
          <w:sz w:val="20"/>
          <w:szCs w:val="20"/>
        </w:rPr>
        <w:t xml:space="preserve"> </w:t>
      </w:r>
      <w:r w:rsidR="009A5895" w:rsidRPr="0068409E">
        <w:rPr>
          <w:rFonts w:eastAsia="Calibri"/>
          <w:sz w:val="20"/>
          <w:szCs w:val="20"/>
        </w:rPr>
        <w:t>The EITI Council should make sure that future reporting exercises set an adequate timeframe for reporting entities to understand and provide the necessary data, and for the IA to complete its work.</w:t>
      </w:r>
    </w:p>
    <w:p w14:paraId="4FA82A5C" w14:textId="54E8019F" w:rsidR="008B416C" w:rsidRPr="0068409E" w:rsidRDefault="00C011A8" w:rsidP="0009597E">
      <w:pPr>
        <w:pStyle w:val="ListParagraph"/>
        <w:numPr>
          <w:ilvl w:val="0"/>
          <w:numId w:val="3"/>
        </w:numPr>
        <w:spacing w:after="120"/>
        <w:rPr>
          <w:rFonts w:eastAsia="Calibri"/>
          <w:sz w:val="20"/>
          <w:szCs w:val="20"/>
        </w:rPr>
      </w:pPr>
      <w:r w:rsidRPr="0068409E">
        <w:rPr>
          <w:rFonts w:eastAsia="Calibri"/>
          <w:sz w:val="20"/>
          <w:szCs w:val="20"/>
        </w:rPr>
        <w:t>In accordance with requirement 6.1</w:t>
      </w:r>
      <w:r w:rsidR="009E0678" w:rsidRPr="0068409E">
        <w:rPr>
          <w:rFonts w:eastAsia="Calibri"/>
          <w:sz w:val="20"/>
          <w:szCs w:val="20"/>
        </w:rPr>
        <w:t>(a)</w:t>
      </w:r>
      <w:r w:rsidRPr="0068409E">
        <w:rPr>
          <w:rFonts w:eastAsia="Calibri"/>
          <w:sz w:val="20"/>
          <w:szCs w:val="20"/>
        </w:rPr>
        <w:t>,</w:t>
      </w:r>
      <w:r w:rsidR="00DC6129" w:rsidRPr="0068409E">
        <w:rPr>
          <w:rFonts w:eastAsia="Calibri"/>
          <w:sz w:val="20"/>
          <w:szCs w:val="20"/>
        </w:rPr>
        <w:t xml:space="preserve"> </w:t>
      </w:r>
      <w:r w:rsidR="008D0651" w:rsidRPr="0068409E">
        <w:rPr>
          <w:rFonts w:eastAsia="Calibri"/>
          <w:sz w:val="20"/>
          <w:szCs w:val="20"/>
        </w:rPr>
        <w:t>the EITI Council should clarify whether mandatory social expenditures exist, including distinguishing between voluntary and mandatory social expenditures. Any mandatory social expenditures must be</w:t>
      </w:r>
      <w:r w:rsidR="00DC6129" w:rsidRPr="0068409E">
        <w:rPr>
          <w:rFonts w:eastAsia="Calibri"/>
          <w:sz w:val="20"/>
          <w:szCs w:val="20"/>
        </w:rPr>
        <w:t xml:space="preserve"> disclose</w:t>
      </w:r>
      <w:r w:rsidR="008D0651" w:rsidRPr="0068409E">
        <w:rPr>
          <w:rFonts w:eastAsia="Calibri"/>
          <w:sz w:val="20"/>
          <w:szCs w:val="20"/>
        </w:rPr>
        <w:t>d</w:t>
      </w:r>
      <w:r w:rsidR="00DC6129" w:rsidRPr="0068409E">
        <w:rPr>
          <w:rFonts w:eastAsia="Calibri"/>
          <w:sz w:val="20"/>
          <w:szCs w:val="20"/>
        </w:rPr>
        <w:t xml:space="preserve"> and, where possible, reconcile</w:t>
      </w:r>
      <w:r w:rsidR="008D0651" w:rsidRPr="0068409E">
        <w:rPr>
          <w:rFonts w:eastAsia="Calibri"/>
          <w:sz w:val="20"/>
          <w:szCs w:val="20"/>
        </w:rPr>
        <w:t xml:space="preserve">d. </w:t>
      </w:r>
      <w:r w:rsidR="00F01306" w:rsidRPr="0068409E">
        <w:rPr>
          <w:rFonts w:eastAsia="Calibri"/>
          <w:sz w:val="20"/>
          <w:szCs w:val="20"/>
        </w:rPr>
        <w:t xml:space="preserve">Where such benefits are provided in-kind, </w:t>
      </w:r>
      <w:r w:rsidR="008D0651" w:rsidRPr="0068409E">
        <w:rPr>
          <w:rFonts w:eastAsia="Calibri"/>
          <w:sz w:val="20"/>
          <w:szCs w:val="20"/>
        </w:rPr>
        <w:t xml:space="preserve">the EITI Council should ensure that </w:t>
      </w:r>
      <w:r w:rsidR="00F01306" w:rsidRPr="0068409E">
        <w:rPr>
          <w:rFonts w:eastAsia="Calibri"/>
          <w:sz w:val="20"/>
          <w:szCs w:val="20"/>
        </w:rPr>
        <w:t>the nature and the deemed value of the in-kind transaction</w:t>
      </w:r>
      <w:r w:rsidR="008D0651" w:rsidRPr="0068409E">
        <w:rPr>
          <w:rFonts w:eastAsia="Calibri"/>
          <w:sz w:val="20"/>
          <w:szCs w:val="20"/>
        </w:rPr>
        <w:t>s are disclosed</w:t>
      </w:r>
      <w:r w:rsidR="00F01306" w:rsidRPr="0068409E">
        <w:rPr>
          <w:rFonts w:eastAsia="Calibri"/>
          <w:sz w:val="20"/>
          <w:szCs w:val="20"/>
        </w:rPr>
        <w:t>.</w:t>
      </w:r>
      <w:r w:rsidR="00535E76" w:rsidRPr="0068409E">
        <w:rPr>
          <w:rFonts w:eastAsia="Calibri"/>
          <w:sz w:val="20"/>
          <w:szCs w:val="20"/>
        </w:rPr>
        <w:t xml:space="preserve"> Where the beneficiary of the mandated social expenditure is a third party, i.e. not a government agency, it is required that the name and function of the beneficiary be disclosed.</w:t>
      </w:r>
      <w:r w:rsidR="0009597E" w:rsidRPr="000C6665">
        <w:rPr>
          <w:sz w:val="20"/>
          <w:szCs w:val="20"/>
        </w:rPr>
        <w:t xml:space="preserve">  </w:t>
      </w:r>
    </w:p>
    <w:p w14:paraId="016DE4BE" w14:textId="1E5A8178" w:rsidR="00CB4171" w:rsidRPr="0068409E" w:rsidRDefault="00480BF1" w:rsidP="0009597E">
      <w:pPr>
        <w:pStyle w:val="ListParagraph"/>
        <w:numPr>
          <w:ilvl w:val="0"/>
          <w:numId w:val="3"/>
        </w:numPr>
        <w:spacing w:after="120"/>
        <w:rPr>
          <w:rFonts w:eastAsia="Calibri"/>
          <w:sz w:val="20"/>
          <w:szCs w:val="20"/>
        </w:rPr>
      </w:pPr>
      <w:r w:rsidRPr="0068409E">
        <w:rPr>
          <w:rFonts w:eastAsia="Calibri"/>
          <w:sz w:val="20"/>
          <w:szCs w:val="20"/>
        </w:rPr>
        <w:t xml:space="preserve">In accordance with the requirement 6.2, </w:t>
      </w:r>
      <w:r w:rsidR="00BA7D1E" w:rsidRPr="0068409E">
        <w:rPr>
          <w:rFonts w:eastAsia="Calibri"/>
          <w:sz w:val="20"/>
          <w:szCs w:val="20"/>
        </w:rPr>
        <w:t>“…implementing countries must include disclosures from SOEs on their quasi-fiscal expendit</w:t>
      </w:r>
      <w:r w:rsidR="00BA7D1E" w:rsidRPr="000B7811">
        <w:rPr>
          <w:rFonts w:eastAsia="Calibri"/>
          <w:sz w:val="20"/>
          <w:szCs w:val="20"/>
        </w:rPr>
        <w:t>ures.</w:t>
      </w:r>
      <w:r w:rsidR="00516E57" w:rsidRPr="000B7811">
        <w:rPr>
          <w:rFonts w:eastAsia="Calibri"/>
          <w:sz w:val="20"/>
          <w:szCs w:val="20"/>
        </w:rPr>
        <w:t xml:space="preserve"> Quasi-fiscal expenditures include arrangements whereby SOEs undertake public social expenditure such as payments for social services, public infrastructure, fuel subsidies and national debt servicing, etc. outside</w:t>
      </w:r>
      <w:r w:rsidR="00342496" w:rsidRPr="0068409E">
        <w:rPr>
          <w:rFonts w:eastAsia="Calibri"/>
          <w:sz w:val="20"/>
          <w:szCs w:val="20"/>
        </w:rPr>
        <w:t xml:space="preserve"> of national budgetary process.</w:t>
      </w:r>
      <w:r w:rsidR="00BA7D1E" w:rsidRPr="0068409E">
        <w:rPr>
          <w:rFonts w:eastAsia="Calibri"/>
          <w:sz w:val="20"/>
          <w:szCs w:val="20"/>
        </w:rPr>
        <w:t>”</w:t>
      </w:r>
      <w:r w:rsidR="00342496" w:rsidRPr="0068409E">
        <w:rPr>
          <w:rFonts w:eastAsia="Calibri"/>
          <w:sz w:val="20"/>
          <w:szCs w:val="20"/>
        </w:rPr>
        <w:t xml:space="preserve"> </w:t>
      </w:r>
      <w:r w:rsidR="00B43490" w:rsidRPr="0068409E">
        <w:rPr>
          <w:rFonts w:eastAsia="Calibri"/>
          <w:sz w:val="20"/>
          <w:szCs w:val="20"/>
        </w:rPr>
        <w:t xml:space="preserve">Accordingly, the </w:t>
      </w:r>
      <w:r w:rsidR="00342496" w:rsidRPr="0068409E">
        <w:rPr>
          <w:rFonts w:eastAsia="Calibri"/>
          <w:sz w:val="20"/>
          <w:szCs w:val="20"/>
        </w:rPr>
        <w:t>EITI Council is required to</w:t>
      </w:r>
      <w:r w:rsidR="00B43490" w:rsidRPr="0068409E">
        <w:rPr>
          <w:rFonts w:eastAsia="Calibri"/>
          <w:sz w:val="20"/>
          <w:szCs w:val="20"/>
        </w:rPr>
        <w:t xml:space="preserve"> assess what types of quasi-fiscal expenditures are made by SOEs and whether these are material. If material, the EITI Council should ensure that quasi-fiscal expenditures are disclosed.</w:t>
      </w:r>
    </w:p>
    <w:p w14:paraId="6F70203E" w14:textId="5B55D65A" w:rsidR="0009597E" w:rsidRPr="000C6665" w:rsidRDefault="00005047" w:rsidP="000C6665">
      <w:pPr>
        <w:pStyle w:val="ListParagraph"/>
        <w:numPr>
          <w:ilvl w:val="0"/>
          <w:numId w:val="3"/>
        </w:numPr>
        <w:spacing w:after="120"/>
        <w:ind w:left="357" w:hanging="357"/>
        <w:rPr>
          <w:rFonts w:eastAsia="Calibri"/>
          <w:sz w:val="20"/>
          <w:szCs w:val="20"/>
        </w:rPr>
      </w:pPr>
      <w:r w:rsidRPr="0068409E">
        <w:rPr>
          <w:rFonts w:eastAsia="Calibri"/>
          <w:sz w:val="20"/>
          <w:szCs w:val="20"/>
        </w:rPr>
        <w:t xml:space="preserve">In accordance with requirement </w:t>
      </w:r>
      <w:r w:rsidR="004F60CE" w:rsidRPr="0068409E">
        <w:rPr>
          <w:rFonts w:eastAsia="Calibri"/>
          <w:sz w:val="20"/>
          <w:szCs w:val="20"/>
        </w:rPr>
        <w:t>7.1</w:t>
      </w:r>
      <w:r w:rsidR="00683957" w:rsidRPr="0068409E">
        <w:rPr>
          <w:rFonts w:eastAsia="Calibri"/>
          <w:sz w:val="20"/>
          <w:szCs w:val="20"/>
        </w:rPr>
        <w:t>, the EITI Council must ensure that the EITI Report is comprehensible, actively promoted, publically accessible and contributes to public debate.</w:t>
      </w:r>
      <w:r w:rsidR="00327AA7" w:rsidRPr="0068409E">
        <w:rPr>
          <w:rFonts w:eastAsia="Calibri"/>
          <w:sz w:val="20"/>
          <w:szCs w:val="20"/>
        </w:rPr>
        <w:t xml:space="preserve"> Key audiences should include government, parliamentarians, civil society, companies and the media.</w:t>
      </w:r>
      <w:r w:rsidR="0080679A" w:rsidRPr="000B7811">
        <w:rPr>
          <w:rFonts w:eastAsia="Calibri"/>
          <w:sz w:val="20"/>
          <w:szCs w:val="20"/>
        </w:rPr>
        <w:t xml:space="preserve"> In accordance with requirement 7.1(e), the EITI Council should also ensure that outreach events, whether organised by government, civil society or companies, are undertaken to spread awareness of and facilitate dialogue about the EITI Report across country.</w:t>
      </w:r>
      <w:r w:rsidR="0009597E" w:rsidRPr="000B7811">
        <w:rPr>
          <w:rFonts w:eastAsia="Calibri"/>
          <w:sz w:val="20"/>
          <w:szCs w:val="20"/>
        </w:rPr>
        <w:t xml:space="preserve"> </w:t>
      </w:r>
      <w:r w:rsidR="0009597E" w:rsidRPr="000C6665">
        <w:rPr>
          <w:rFonts w:eastAsia="Calibri"/>
          <w:sz w:val="20"/>
          <w:szCs w:val="20"/>
        </w:rPr>
        <w:t>The EITI Council should discuss the role the EITI could play in achieving national priorities and how it can generate public debate around natural resource use. It is encouraging that the EITI Council is currently drafting a communications strategy.</w:t>
      </w:r>
      <w:r w:rsidR="000B7811">
        <w:rPr>
          <w:rFonts w:eastAsia="Calibri"/>
          <w:sz w:val="20"/>
          <w:szCs w:val="20"/>
        </w:rPr>
        <w:t xml:space="preserve"> </w:t>
      </w:r>
      <w:r w:rsidR="0009597E" w:rsidRPr="000C6665">
        <w:rPr>
          <w:rFonts w:eastAsia="Calibri"/>
          <w:sz w:val="20"/>
          <w:szCs w:val="20"/>
        </w:rPr>
        <w:t>The EITI Council is encouraged to provide more EITI data in open data formats.</w:t>
      </w:r>
    </w:p>
    <w:p w14:paraId="264143D3" w14:textId="4DB151CA" w:rsidR="00067D9C" w:rsidRPr="000C6665" w:rsidRDefault="000E4D8C">
      <w:pPr>
        <w:pStyle w:val="ListParagraph"/>
        <w:numPr>
          <w:ilvl w:val="0"/>
          <w:numId w:val="3"/>
        </w:numPr>
        <w:spacing w:after="120"/>
        <w:rPr>
          <w:rFonts w:eastAsia="Calibri"/>
          <w:sz w:val="20"/>
          <w:szCs w:val="20"/>
        </w:rPr>
      </w:pPr>
      <w:r w:rsidRPr="0068409E">
        <w:rPr>
          <w:rFonts w:eastAsia="Calibri"/>
          <w:sz w:val="20"/>
          <w:szCs w:val="20"/>
        </w:rPr>
        <w:t>In accordance with requirement 7.4</w:t>
      </w:r>
      <w:r w:rsidR="009B55FF" w:rsidRPr="0068409E">
        <w:rPr>
          <w:rFonts w:eastAsia="Calibri"/>
          <w:sz w:val="20"/>
          <w:szCs w:val="20"/>
        </w:rPr>
        <w:t>iv-v</w:t>
      </w:r>
      <w:r w:rsidR="00DF2FD4" w:rsidRPr="0068409E">
        <w:rPr>
          <w:rFonts w:eastAsia="Calibri"/>
          <w:sz w:val="20"/>
          <w:szCs w:val="20"/>
        </w:rPr>
        <w:t xml:space="preserve">, the EITI Council </w:t>
      </w:r>
      <w:r w:rsidR="009B55FF" w:rsidRPr="0068409E">
        <w:rPr>
          <w:rFonts w:eastAsia="Calibri"/>
          <w:sz w:val="20"/>
          <w:szCs w:val="20"/>
        </w:rPr>
        <w:t>should ensure that future a</w:t>
      </w:r>
      <w:r w:rsidR="00DF2FD4" w:rsidRPr="0068409E">
        <w:rPr>
          <w:rFonts w:eastAsia="Calibri"/>
          <w:sz w:val="20"/>
          <w:szCs w:val="20"/>
        </w:rPr>
        <w:t xml:space="preserve">nnual </w:t>
      </w:r>
      <w:r w:rsidR="009B55FF" w:rsidRPr="0068409E">
        <w:rPr>
          <w:rFonts w:eastAsia="Calibri"/>
          <w:sz w:val="20"/>
          <w:szCs w:val="20"/>
        </w:rPr>
        <w:t xml:space="preserve">progress reports </w:t>
      </w:r>
      <w:r w:rsidR="00DF2FD4" w:rsidRPr="0068409E">
        <w:rPr>
          <w:rFonts w:eastAsia="Calibri"/>
          <w:sz w:val="20"/>
          <w:szCs w:val="20"/>
        </w:rPr>
        <w:t xml:space="preserve">include </w:t>
      </w:r>
      <w:r w:rsidR="009B55FF" w:rsidRPr="0068409E">
        <w:rPr>
          <w:rFonts w:eastAsia="Calibri"/>
          <w:sz w:val="20"/>
          <w:szCs w:val="20"/>
        </w:rPr>
        <w:t>an assessment of progress with achieving the objectives set out in the work plan including the impact and outcomes of the stated objectives, as well as</w:t>
      </w:r>
      <w:r w:rsidR="00DF2FD4" w:rsidRPr="000B7811">
        <w:rPr>
          <w:rFonts w:eastAsia="Calibri"/>
          <w:sz w:val="20"/>
          <w:szCs w:val="20"/>
        </w:rPr>
        <w:t xml:space="preserve"> a narrative account of efforts to strengthen the impact of EITI implementation on natural resource governance</w:t>
      </w:r>
      <w:r w:rsidR="009B55FF" w:rsidRPr="000B7811">
        <w:rPr>
          <w:rFonts w:eastAsia="Calibri"/>
          <w:sz w:val="20"/>
          <w:szCs w:val="20"/>
        </w:rPr>
        <w:t>.</w:t>
      </w:r>
      <w:r w:rsidR="00A34610" w:rsidRPr="000C6665">
        <w:rPr>
          <w:sz w:val="20"/>
          <w:szCs w:val="20"/>
        </w:rPr>
        <w:t xml:space="preserve"> </w:t>
      </w:r>
      <w:r w:rsidR="000B7811">
        <w:rPr>
          <w:sz w:val="20"/>
          <w:szCs w:val="20"/>
        </w:rPr>
        <w:t xml:space="preserve">This should include </w:t>
      </w:r>
      <w:r w:rsidR="00015790">
        <w:rPr>
          <w:sz w:val="20"/>
          <w:szCs w:val="20"/>
        </w:rPr>
        <w:t>a</w:t>
      </w:r>
      <w:r w:rsidR="00015790" w:rsidRPr="00015790">
        <w:rPr>
          <w:sz w:val="20"/>
          <w:szCs w:val="20"/>
        </w:rPr>
        <w:t>n overview of the multi-stakeholder group’s responses to and progress made in addressing the recommendations from reconciliation and Validation in accordance with Requirement 7.3</w:t>
      </w:r>
      <w:r w:rsidR="00015790">
        <w:rPr>
          <w:sz w:val="20"/>
          <w:szCs w:val="20"/>
        </w:rPr>
        <w:t xml:space="preserve">. </w:t>
      </w:r>
    </w:p>
    <w:sectPr w:rsidR="00067D9C" w:rsidRPr="000C6665" w:rsidSect="008C345E">
      <w:headerReference w:type="default" r:id="rId23"/>
      <w:footerReference w:type="default" r:id="rId24"/>
      <w:footerReference w:type="first" r:id="rId25"/>
      <w:pgSz w:w="11905" w:h="16837"/>
      <w:pgMar w:top="737" w:right="1134" w:bottom="1134" w:left="1021" w:header="567" w:footer="737"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84C1F2" w14:textId="77777777" w:rsidR="00356178" w:rsidRDefault="00356178" w:rsidP="00AB49BF">
      <w:r>
        <w:separator/>
      </w:r>
    </w:p>
  </w:endnote>
  <w:endnote w:type="continuationSeparator" w:id="0">
    <w:p w14:paraId="70AD047E" w14:textId="77777777" w:rsidR="00356178" w:rsidRDefault="00356178" w:rsidP="00AB49BF">
      <w:r>
        <w:continuationSeparator/>
      </w:r>
    </w:p>
  </w:endnote>
  <w:endnote w:type="continuationNotice" w:id="1">
    <w:p w14:paraId="5D3BF4B5" w14:textId="77777777" w:rsidR="00356178" w:rsidRDefault="00356178" w:rsidP="00AB49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altName w:val="Calibri Light"/>
    <w:panose1 w:val="020F0502020204030204"/>
    <w:charset w:val="00"/>
    <w:family w:val="swiss"/>
    <w:pitch w:val="variable"/>
    <w:sig w:usb0="00000001" w:usb1="4000ACFF" w:usb2="00000009" w:usb3="00000000" w:csb0="0000019F" w:csb1="00000000"/>
  </w:font>
  <w:font w:name="Myriad Pro">
    <w:panose1 w:val="020B0503030403020204"/>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yriad Pro SemiCond">
    <w:panose1 w:val="020B0503030403020204"/>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SemiCond">
    <w:panose1 w:val="020B0403030403020204"/>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3419D" w14:textId="77777777" w:rsidR="00E15024" w:rsidRDefault="00E15024">
    <w:pPr>
      <w:pStyle w:val="Footer"/>
    </w:pPr>
    <w:r>
      <w:rPr>
        <w:noProof/>
        <w:lang w:val="en-AU" w:eastAsia="en-AU" w:bidi="ar-SA"/>
      </w:rPr>
      <w:drawing>
        <wp:anchor distT="0" distB="0" distL="114300" distR="114300" simplePos="0" relativeHeight="251658240" behindDoc="0" locked="0" layoutInCell="1" allowOverlap="1" wp14:anchorId="14B2ECE4" wp14:editId="2F369F53">
          <wp:simplePos x="0" y="0"/>
          <wp:positionH relativeFrom="page">
            <wp:align>left</wp:align>
          </wp:positionH>
          <wp:positionV relativeFrom="paragraph">
            <wp:posOffset>289560</wp:posOffset>
          </wp:positionV>
          <wp:extent cx="7951470" cy="495300"/>
          <wp:effectExtent l="0" t="0" r="0" b="0"/>
          <wp:wrapNone/>
          <wp:docPr id="2" name="Picture 2" descr="FOOTER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1470" cy="4953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69CFA" w14:textId="77777777" w:rsidR="00E15024" w:rsidRDefault="00E15024" w:rsidP="00AB49BF">
    <w:pPr>
      <w:pStyle w:val="Footer"/>
      <w:rPr>
        <w:lang w:eastAsia="ar-SA" w:bidi="ar-SA"/>
      </w:rPr>
    </w:pPr>
    <w:r>
      <w:rPr>
        <w:noProof/>
        <w:lang w:val="en-AU" w:eastAsia="en-AU" w:bidi="ar-SA"/>
      </w:rPr>
      <w:drawing>
        <wp:anchor distT="0" distB="0" distL="114300" distR="114300" simplePos="0" relativeHeight="251657216" behindDoc="0" locked="0" layoutInCell="1" allowOverlap="1" wp14:anchorId="5D8B0B57" wp14:editId="3A3F00CB">
          <wp:simplePos x="0" y="0"/>
          <wp:positionH relativeFrom="column">
            <wp:posOffset>-732155</wp:posOffset>
          </wp:positionH>
          <wp:positionV relativeFrom="paragraph">
            <wp:posOffset>280035</wp:posOffset>
          </wp:positionV>
          <wp:extent cx="7951470" cy="495300"/>
          <wp:effectExtent l="0" t="0" r="0" b="0"/>
          <wp:wrapNone/>
          <wp:docPr id="1" name="Picture 6" descr="FOOTER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OTER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1470" cy="4953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800DC" w14:textId="77777777" w:rsidR="00356178" w:rsidRDefault="00356178" w:rsidP="00AB49BF">
      <w:r>
        <w:separator/>
      </w:r>
    </w:p>
  </w:footnote>
  <w:footnote w:type="continuationSeparator" w:id="0">
    <w:p w14:paraId="2A8BF287" w14:textId="77777777" w:rsidR="00356178" w:rsidRDefault="00356178" w:rsidP="00AB49BF">
      <w:r>
        <w:continuationSeparator/>
      </w:r>
    </w:p>
  </w:footnote>
  <w:footnote w:type="continuationNotice" w:id="1">
    <w:p w14:paraId="25996294" w14:textId="77777777" w:rsidR="00356178" w:rsidRDefault="00356178" w:rsidP="00AB49BF"/>
  </w:footnote>
  <w:footnote w:id="2">
    <w:p w14:paraId="1E0E2CB6" w14:textId="77777777" w:rsidR="00E15024" w:rsidRPr="00FC360D" w:rsidRDefault="00E15024" w:rsidP="00316910">
      <w:pPr>
        <w:pStyle w:val="FootnoteText"/>
      </w:pPr>
      <w:r>
        <w:rPr>
          <w:rStyle w:val="FootnoteReference"/>
        </w:rPr>
        <w:footnoteRef/>
      </w:r>
      <w:r>
        <w:t xml:space="preserve"> </w:t>
      </w:r>
      <w:r w:rsidRPr="00FC360D">
        <w:t xml:space="preserve">As per the VC minutes of </w:t>
      </w:r>
      <w:r>
        <w:t>12</w:t>
      </w:r>
      <w:r w:rsidRPr="00FC360D">
        <w:t xml:space="preserve"> </w:t>
      </w:r>
      <w:r>
        <w:t>December</w:t>
      </w:r>
      <w:r w:rsidRPr="00FC360D">
        <w:t xml:space="preserve"> 2016, available from </w:t>
      </w:r>
      <w:r>
        <w:t>[link].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501151"/>
      <w:docPartObj>
        <w:docPartGallery w:val="Page Numbers (Top of Page)"/>
        <w:docPartUnique/>
      </w:docPartObj>
    </w:sdtPr>
    <w:sdtEndPr>
      <w:rPr>
        <w:noProof/>
        <w:sz w:val="20"/>
      </w:rPr>
    </w:sdtEndPr>
    <w:sdtContent>
      <w:p w14:paraId="717170B8" w14:textId="684CADA2" w:rsidR="00E15024" w:rsidRPr="001E2B08" w:rsidRDefault="00E15024" w:rsidP="00976EB1">
        <w:pPr>
          <w:pStyle w:val="Header"/>
          <w:spacing w:after="0" w:line="240" w:lineRule="auto"/>
          <w:jc w:val="right"/>
          <w:rPr>
            <w:b/>
            <w:noProof/>
            <w:sz w:val="20"/>
          </w:rPr>
        </w:pPr>
        <w:r w:rsidRPr="001E2B08">
          <w:rPr>
            <w:b/>
            <w:noProof/>
            <w:sz w:val="20"/>
          </w:rPr>
          <w:fldChar w:fldCharType="begin"/>
        </w:r>
        <w:r w:rsidRPr="001E2B08">
          <w:rPr>
            <w:b/>
            <w:noProof/>
            <w:sz w:val="20"/>
          </w:rPr>
          <w:instrText>PAGE   \* MERGEFORMAT</w:instrText>
        </w:r>
        <w:r w:rsidRPr="001E2B08">
          <w:rPr>
            <w:b/>
            <w:noProof/>
            <w:sz w:val="20"/>
          </w:rPr>
          <w:fldChar w:fldCharType="separate"/>
        </w:r>
        <w:r w:rsidR="00640311">
          <w:rPr>
            <w:b/>
            <w:noProof/>
            <w:sz w:val="20"/>
          </w:rPr>
          <w:t>8</w:t>
        </w:r>
        <w:r w:rsidRPr="001E2B08">
          <w:rPr>
            <w:b/>
            <w:noProof/>
            <w:sz w:val="20"/>
          </w:rPr>
          <w:fldChar w:fldCharType="end"/>
        </w:r>
      </w:p>
      <w:p w14:paraId="586F1D88" w14:textId="45F3B628" w:rsidR="00E15024" w:rsidRDefault="00E15024" w:rsidP="00976EB1">
        <w:pPr>
          <w:pStyle w:val="Header"/>
          <w:spacing w:line="240" w:lineRule="auto"/>
          <w:jc w:val="right"/>
          <w:rPr>
            <w:noProof/>
            <w:sz w:val="20"/>
          </w:rPr>
        </w:pPr>
        <w:r w:rsidRPr="00C77337">
          <w:rPr>
            <w:noProof/>
            <w:sz w:val="20"/>
          </w:rPr>
          <w:t>EITI Board Paper</w:t>
        </w:r>
        <w:r>
          <w:rPr>
            <w:noProof/>
            <w:sz w:val="20"/>
          </w:rPr>
          <w:t xml:space="preserve"> 36-5-H</w:t>
        </w:r>
        <w:r w:rsidRPr="00C77337">
          <w:rPr>
            <w:noProof/>
            <w:sz w:val="20"/>
          </w:rPr>
          <w:t xml:space="preserve"> </w:t>
        </w:r>
        <w:r w:rsidRPr="00C77337">
          <w:rPr>
            <w:noProof/>
            <w:sz w:val="20"/>
          </w:rPr>
          <w:br/>
        </w:r>
        <w:r>
          <w:rPr>
            <w:noProof/>
            <w:sz w:val="20"/>
          </w:rPr>
          <w:t>Tajikistan Validation</w:t>
        </w:r>
      </w:p>
    </w:sdtContent>
  </w:sdt>
  <w:p w14:paraId="7969F5A3" w14:textId="3C928DED" w:rsidR="00E15024" w:rsidRPr="00640311" w:rsidRDefault="00E15024" w:rsidP="00640311">
    <w:pPr>
      <w:pStyle w:val="Header"/>
      <w:spacing w:line="240" w:lineRule="auto"/>
      <w:jc w:val="right"/>
      <w:rPr>
        <w:noProof/>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CEB20EAC"/>
    <w:lvl w:ilvl="0">
      <w:start w:val="1"/>
      <w:numFmt w:val="decimal"/>
      <w:pStyle w:val="Heading1"/>
      <w:lvlText w:val="%1"/>
      <w:lvlJc w:val="left"/>
      <w:pPr>
        <w:tabs>
          <w:tab w:val="num" w:pos="0"/>
        </w:tabs>
      </w:pPr>
    </w:lvl>
    <w:lvl w:ilvl="1">
      <w:start w:val="1"/>
      <w:numFmt w:val="decimal"/>
      <w:lvlText w:val="%1.%2"/>
      <w:lvlJc w:val="left"/>
      <w:pPr>
        <w:tabs>
          <w:tab w:val="num" w:pos="1135"/>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1" w15:restartNumberingAfterBreak="0">
    <w:nsid w:val="0F640F85"/>
    <w:multiLevelType w:val="hybridMultilevel"/>
    <w:tmpl w:val="091250F8"/>
    <w:lvl w:ilvl="0" w:tplc="04140017">
      <w:start w:val="1"/>
      <w:numFmt w:val="lowerLetter"/>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 w15:restartNumberingAfterBreak="0">
    <w:nsid w:val="27E94C7F"/>
    <w:multiLevelType w:val="hybridMultilevel"/>
    <w:tmpl w:val="322C5136"/>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364649B4"/>
    <w:multiLevelType w:val="hybridMultilevel"/>
    <w:tmpl w:val="96A84A44"/>
    <w:lvl w:ilvl="0" w:tplc="04140017">
      <w:start w:val="1"/>
      <w:numFmt w:val="lowerLetter"/>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 w15:restartNumberingAfterBreak="0">
    <w:nsid w:val="45BB4A92"/>
    <w:multiLevelType w:val="hybridMultilevel"/>
    <w:tmpl w:val="1CD09922"/>
    <w:lvl w:ilvl="0" w:tplc="04140017">
      <w:start w:val="1"/>
      <w:numFmt w:val="lowerLetter"/>
      <w:lvlText w:val="%1)"/>
      <w:lvlJc w:val="left"/>
      <w:pPr>
        <w:ind w:left="717" w:hanging="360"/>
      </w:pPr>
    </w:lvl>
    <w:lvl w:ilvl="1" w:tplc="04140019" w:tentative="1">
      <w:start w:val="1"/>
      <w:numFmt w:val="lowerLetter"/>
      <w:lvlText w:val="%2."/>
      <w:lvlJc w:val="left"/>
      <w:pPr>
        <w:ind w:left="1437" w:hanging="360"/>
      </w:pPr>
    </w:lvl>
    <w:lvl w:ilvl="2" w:tplc="0414001B" w:tentative="1">
      <w:start w:val="1"/>
      <w:numFmt w:val="lowerRoman"/>
      <w:lvlText w:val="%3."/>
      <w:lvlJc w:val="right"/>
      <w:pPr>
        <w:ind w:left="2157" w:hanging="180"/>
      </w:pPr>
    </w:lvl>
    <w:lvl w:ilvl="3" w:tplc="0414000F" w:tentative="1">
      <w:start w:val="1"/>
      <w:numFmt w:val="decimal"/>
      <w:lvlText w:val="%4."/>
      <w:lvlJc w:val="left"/>
      <w:pPr>
        <w:ind w:left="2877" w:hanging="360"/>
      </w:pPr>
    </w:lvl>
    <w:lvl w:ilvl="4" w:tplc="04140019" w:tentative="1">
      <w:start w:val="1"/>
      <w:numFmt w:val="lowerLetter"/>
      <w:lvlText w:val="%5."/>
      <w:lvlJc w:val="left"/>
      <w:pPr>
        <w:ind w:left="3597" w:hanging="360"/>
      </w:pPr>
    </w:lvl>
    <w:lvl w:ilvl="5" w:tplc="0414001B" w:tentative="1">
      <w:start w:val="1"/>
      <w:numFmt w:val="lowerRoman"/>
      <w:lvlText w:val="%6."/>
      <w:lvlJc w:val="right"/>
      <w:pPr>
        <w:ind w:left="4317" w:hanging="180"/>
      </w:pPr>
    </w:lvl>
    <w:lvl w:ilvl="6" w:tplc="0414000F" w:tentative="1">
      <w:start w:val="1"/>
      <w:numFmt w:val="decimal"/>
      <w:lvlText w:val="%7."/>
      <w:lvlJc w:val="left"/>
      <w:pPr>
        <w:ind w:left="5037" w:hanging="360"/>
      </w:pPr>
    </w:lvl>
    <w:lvl w:ilvl="7" w:tplc="04140019" w:tentative="1">
      <w:start w:val="1"/>
      <w:numFmt w:val="lowerLetter"/>
      <w:lvlText w:val="%8."/>
      <w:lvlJc w:val="left"/>
      <w:pPr>
        <w:ind w:left="5757" w:hanging="360"/>
      </w:pPr>
    </w:lvl>
    <w:lvl w:ilvl="8" w:tplc="0414001B" w:tentative="1">
      <w:start w:val="1"/>
      <w:numFmt w:val="lowerRoman"/>
      <w:lvlText w:val="%9."/>
      <w:lvlJc w:val="right"/>
      <w:pPr>
        <w:ind w:left="6477" w:hanging="180"/>
      </w:pPr>
    </w:lvl>
  </w:abstractNum>
  <w:abstractNum w:abstractNumId="5" w15:restartNumberingAfterBreak="0">
    <w:nsid w:val="4ED6383B"/>
    <w:multiLevelType w:val="hybridMultilevel"/>
    <w:tmpl w:val="2B220E5A"/>
    <w:lvl w:ilvl="0" w:tplc="D57CB52A">
      <w:start w:val="1"/>
      <w:numFmt w:val="decimal"/>
      <w:lvlText w:val="%1."/>
      <w:lvlJc w:val="left"/>
      <w:pPr>
        <w:ind w:left="360" w:hanging="360"/>
      </w:pPr>
      <w:rPr>
        <w:rFonts w:hint="default"/>
        <w:i w:val="0"/>
        <w:strike w:val="0"/>
        <w:color w:val="auto"/>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4FB933DB"/>
    <w:multiLevelType w:val="multilevel"/>
    <w:tmpl w:val="46EAE6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B1E6901"/>
    <w:multiLevelType w:val="hybridMultilevel"/>
    <w:tmpl w:val="85243366"/>
    <w:lvl w:ilvl="0" w:tplc="BB787ACC">
      <w:start w:val="1"/>
      <w:numFmt w:val="lowerLetter"/>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8" w15:restartNumberingAfterBreak="0">
    <w:nsid w:val="5E4D05D7"/>
    <w:multiLevelType w:val="hybridMultilevel"/>
    <w:tmpl w:val="9196B60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614F6034"/>
    <w:multiLevelType w:val="hybridMultilevel"/>
    <w:tmpl w:val="EA78A9B2"/>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0" w15:restartNumberingAfterBreak="0">
    <w:nsid w:val="6C4A1003"/>
    <w:multiLevelType w:val="hybridMultilevel"/>
    <w:tmpl w:val="0E6EF2C4"/>
    <w:lvl w:ilvl="0" w:tplc="04140017">
      <w:start w:val="1"/>
      <w:numFmt w:val="lowerLetter"/>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num w:numId="1">
    <w:abstractNumId w:val="0"/>
  </w:num>
  <w:num w:numId="2">
    <w:abstractNumId w:val="8"/>
  </w:num>
  <w:num w:numId="3">
    <w:abstractNumId w:val="5"/>
  </w:num>
  <w:num w:numId="4">
    <w:abstractNumId w:val="2"/>
  </w:num>
  <w:num w:numId="5">
    <w:abstractNumId w:val="9"/>
  </w:num>
  <w:num w:numId="6">
    <w:abstractNumId w:val="6"/>
  </w:num>
  <w:num w:numId="7">
    <w:abstractNumId w:val="10"/>
  </w:num>
  <w:num w:numId="8">
    <w:abstractNumId w:val="4"/>
  </w:num>
  <w:num w:numId="9">
    <w:abstractNumId w:val="3"/>
  </w:num>
  <w:num w:numId="10">
    <w:abstractNumId w:val="1"/>
  </w:num>
  <w:num w:numId="11">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b-NO"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es-AR" w:vendorID="64" w:dllVersion="131078" w:nlCheck="1" w:checkStyle="1"/>
  <w:activeWritingStyle w:appName="MSWord" w:lang="es-CO" w:vendorID="64" w:dllVersion="131078" w:nlCheck="1" w:checkStyle="1"/>
  <w:activeWritingStyle w:appName="MSWord" w:lang="en-AU" w:vendorID="64" w:dllVersion="131078" w:nlCheck="1" w:checkStyle="0"/>
  <w:defaultTabStop w:val="1077"/>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BC0"/>
    <w:rsid w:val="000039C1"/>
    <w:rsid w:val="00003C47"/>
    <w:rsid w:val="0000423E"/>
    <w:rsid w:val="00005047"/>
    <w:rsid w:val="00006B14"/>
    <w:rsid w:val="0001176B"/>
    <w:rsid w:val="00015790"/>
    <w:rsid w:val="00020134"/>
    <w:rsid w:val="000206AB"/>
    <w:rsid w:val="000218A5"/>
    <w:rsid w:val="00022EE5"/>
    <w:rsid w:val="000245CD"/>
    <w:rsid w:val="0002467D"/>
    <w:rsid w:val="00026030"/>
    <w:rsid w:val="00026174"/>
    <w:rsid w:val="00030AA2"/>
    <w:rsid w:val="00032C84"/>
    <w:rsid w:val="00032FC8"/>
    <w:rsid w:val="00033054"/>
    <w:rsid w:val="00033995"/>
    <w:rsid w:val="00033A12"/>
    <w:rsid w:val="00033D3C"/>
    <w:rsid w:val="00035136"/>
    <w:rsid w:val="0003568A"/>
    <w:rsid w:val="00042D3C"/>
    <w:rsid w:val="000463A3"/>
    <w:rsid w:val="00046DB7"/>
    <w:rsid w:val="00050467"/>
    <w:rsid w:val="000526F2"/>
    <w:rsid w:val="00053883"/>
    <w:rsid w:val="000571CA"/>
    <w:rsid w:val="00061586"/>
    <w:rsid w:val="00061648"/>
    <w:rsid w:val="000621DB"/>
    <w:rsid w:val="00062B94"/>
    <w:rsid w:val="000636D7"/>
    <w:rsid w:val="0006411F"/>
    <w:rsid w:val="000652F5"/>
    <w:rsid w:val="00067D9C"/>
    <w:rsid w:val="00072CCA"/>
    <w:rsid w:val="00073A50"/>
    <w:rsid w:val="00073FFA"/>
    <w:rsid w:val="00075283"/>
    <w:rsid w:val="0007690F"/>
    <w:rsid w:val="00076A93"/>
    <w:rsid w:val="0007755E"/>
    <w:rsid w:val="00080E5A"/>
    <w:rsid w:val="00082979"/>
    <w:rsid w:val="00082A3C"/>
    <w:rsid w:val="000838D2"/>
    <w:rsid w:val="000904C3"/>
    <w:rsid w:val="00091308"/>
    <w:rsid w:val="00091D4E"/>
    <w:rsid w:val="00091E7C"/>
    <w:rsid w:val="0009597E"/>
    <w:rsid w:val="00097845"/>
    <w:rsid w:val="000A1303"/>
    <w:rsid w:val="000A3179"/>
    <w:rsid w:val="000A5D51"/>
    <w:rsid w:val="000A637D"/>
    <w:rsid w:val="000B7811"/>
    <w:rsid w:val="000C13BA"/>
    <w:rsid w:val="000C5920"/>
    <w:rsid w:val="000C5E1A"/>
    <w:rsid w:val="000C6665"/>
    <w:rsid w:val="000D1465"/>
    <w:rsid w:val="000D1AF2"/>
    <w:rsid w:val="000D1CA9"/>
    <w:rsid w:val="000D1F07"/>
    <w:rsid w:val="000D35C9"/>
    <w:rsid w:val="000D5187"/>
    <w:rsid w:val="000D7F05"/>
    <w:rsid w:val="000E0A85"/>
    <w:rsid w:val="000E29AC"/>
    <w:rsid w:val="000E34F5"/>
    <w:rsid w:val="000E372F"/>
    <w:rsid w:val="000E38BA"/>
    <w:rsid w:val="000E4BC0"/>
    <w:rsid w:val="000E4D8C"/>
    <w:rsid w:val="000E6B91"/>
    <w:rsid w:val="000F03E8"/>
    <w:rsid w:val="000F4657"/>
    <w:rsid w:val="0010064E"/>
    <w:rsid w:val="00100F75"/>
    <w:rsid w:val="00102882"/>
    <w:rsid w:val="001045C1"/>
    <w:rsid w:val="001107F6"/>
    <w:rsid w:val="00113075"/>
    <w:rsid w:val="00113C85"/>
    <w:rsid w:val="001145EC"/>
    <w:rsid w:val="001166BC"/>
    <w:rsid w:val="001167EC"/>
    <w:rsid w:val="0012031F"/>
    <w:rsid w:val="001214A6"/>
    <w:rsid w:val="00125010"/>
    <w:rsid w:val="001255F8"/>
    <w:rsid w:val="00126375"/>
    <w:rsid w:val="001271BE"/>
    <w:rsid w:val="0012782E"/>
    <w:rsid w:val="00130026"/>
    <w:rsid w:val="00131024"/>
    <w:rsid w:val="00137470"/>
    <w:rsid w:val="00142496"/>
    <w:rsid w:val="001434BE"/>
    <w:rsid w:val="00144679"/>
    <w:rsid w:val="00147061"/>
    <w:rsid w:val="001500CF"/>
    <w:rsid w:val="00151433"/>
    <w:rsid w:val="001554C9"/>
    <w:rsid w:val="001562F6"/>
    <w:rsid w:val="00156FCD"/>
    <w:rsid w:val="00157A30"/>
    <w:rsid w:val="00157FD7"/>
    <w:rsid w:val="00160DF3"/>
    <w:rsid w:val="001612C0"/>
    <w:rsid w:val="0016469B"/>
    <w:rsid w:val="00171397"/>
    <w:rsid w:val="00174F9F"/>
    <w:rsid w:val="00175904"/>
    <w:rsid w:val="0017590E"/>
    <w:rsid w:val="001845B0"/>
    <w:rsid w:val="00192037"/>
    <w:rsid w:val="00197730"/>
    <w:rsid w:val="001A63D8"/>
    <w:rsid w:val="001A7B38"/>
    <w:rsid w:val="001B2B51"/>
    <w:rsid w:val="001B490D"/>
    <w:rsid w:val="001B6B46"/>
    <w:rsid w:val="001B7CCA"/>
    <w:rsid w:val="001C0661"/>
    <w:rsid w:val="001C0862"/>
    <w:rsid w:val="001C0B66"/>
    <w:rsid w:val="001C1252"/>
    <w:rsid w:val="001C434A"/>
    <w:rsid w:val="001D0A4B"/>
    <w:rsid w:val="001D0C08"/>
    <w:rsid w:val="001D45EF"/>
    <w:rsid w:val="001D6C85"/>
    <w:rsid w:val="001D6DEB"/>
    <w:rsid w:val="001E0D4F"/>
    <w:rsid w:val="001E5F4F"/>
    <w:rsid w:val="001F1DDC"/>
    <w:rsid w:val="001F4E4B"/>
    <w:rsid w:val="001F7AB6"/>
    <w:rsid w:val="002024F9"/>
    <w:rsid w:val="002032FE"/>
    <w:rsid w:val="00205854"/>
    <w:rsid w:val="002070C3"/>
    <w:rsid w:val="00207A5B"/>
    <w:rsid w:val="002137DA"/>
    <w:rsid w:val="00214F89"/>
    <w:rsid w:val="002205DD"/>
    <w:rsid w:val="00221A52"/>
    <w:rsid w:val="00222267"/>
    <w:rsid w:val="00231EFB"/>
    <w:rsid w:val="00232301"/>
    <w:rsid w:val="00233200"/>
    <w:rsid w:val="00233889"/>
    <w:rsid w:val="0024082E"/>
    <w:rsid w:val="00245742"/>
    <w:rsid w:val="00246893"/>
    <w:rsid w:val="002476F3"/>
    <w:rsid w:val="00250046"/>
    <w:rsid w:val="0025011B"/>
    <w:rsid w:val="00253916"/>
    <w:rsid w:val="00253DE1"/>
    <w:rsid w:val="00257C2B"/>
    <w:rsid w:val="002604F7"/>
    <w:rsid w:val="00260E47"/>
    <w:rsid w:val="002612D4"/>
    <w:rsid w:val="002622CC"/>
    <w:rsid w:val="00267F4C"/>
    <w:rsid w:val="002702B0"/>
    <w:rsid w:val="00271048"/>
    <w:rsid w:val="00271CA1"/>
    <w:rsid w:val="0027331D"/>
    <w:rsid w:val="00273AA6"/>
    <w:rsid w:val="00273B65"/>
    <w:rsid w:val="00273CD1"/>
    <w:rsid w:val="00276C91"/>
    <w:rsid w:val="00280320"/>
    <w:rsid w:val="002814E6"/>
    <w:rsid w:val="00282E6C"/>
    <w:rsid w:val="00285BEE"/>
    <w:rsid w:val="002900FA"/>
    <w:rsid w:val="00290D10"/>
    <w:rsid w:val="002928D0"/>
    <w:rsid w:val="00292D9E"/>
    <w:rsid w:val="00293A0A"/>
    <w:rsid w:val="00293B50"/>
    <w:rsid w:val="002A02D6"/>
    <w:rsid w:val="002A14E1"/>
    <w:rsid w:val="002A19BA"/>
    <w:rsid w:val="002A340D"/>
    <w:rsid w:val="002B14AD"/>
    <w:rsid w:val="002B5162"/>
    <w:rsid w:val="002B659E"/>
    <w:rsid w:val="002B6A28"/>
    <w:rsid w:val="002C010D"/>
    <w:rsid w:val="002C09F0"/>
    <w:rsid w:val="002C38CB"/>
    <w:rsid w:val="002C4229"/>
    <w:rsid w:val="002D0BD7"/>
    <w:rsid w:val="002D54A5"/>
    <w:rsid w:val="002D7CD9"/>
    <w:rsid w:val="002E1855"/>
    <w:rsid w:val="002E6704"/>
    <w:rsid w:val="002F38BD"/>
    <w:rsid w:val="002F4295"/>
    <w:rsid w:val="003004C0"/>
    <w:rsid w:val="003006DA"/>
    <w:rsid w:val="0030075E"/>
    <w:rsid w:val="00300C01"/>
    <w:rsid w:val="00301662"/>
    <w:rsid w:val="0030237A"/>
    <w:rsid w:val="003033D8"/>
    <w:rsid w:val="00303906"/>
    <w:rsid w:val="00304A24"/>
    <w:rsid w:val="0030502C"/>
    <w:rsid w:val="00307F19"/>
    <w:rsid w:val="00310612"/>
    <w:rsid w:val="0031175E"/>
    <w:rsid w:val="00316910"/>
    <w:rsid w:val="00321A95"/>
    <w:rsid w:val="00321B79"/>
    <w:rsid w:val="00324B9D"/>
    <w:rsid w:val="003258CA"/>
    <w:rsid w:val="00327AA7"/>
    <w:rsid w:val="0033000F"/>
    <w:rsid w:val="003303DC"/>
    <w:rsid w:val="00331E8C"/>
    <w:rsid w:val="003407CA"/>
    <w:rsid w:val="00340EF7"/>
    <w:rsid w:val="00342496"/>
    <w:rsid w:val="003454A0"/>
    <w:rsid w:val="0035498F"/>
    <w:rsid w:val="00355442"/>
    <w:rsid w:val="00356178"/>
    <w:rsid w:val="00357177"/>
    <w:rsid w:val="003608CE"/>
    <w:rsid w:val="00361C64"/>
    <w:rsid w:val="00362F96"/>
    <w:rsid w:val="003641CB"/>
    <w:rsid w:val="00367949"/>
    <w:rsid w:val="00372A09"/>
    <w:rsid w:val="0037423E"/>
    <w:rsid w:val="003749EA"/>
    <w:rsid w:val="00376A03"/>
    <w:rsid w:val="0037739C"/>
    <w:rsid w:val="003777BA"/>
    <w:rsid w:val="00377E92"/>
    <w:rsid w:val="003814ED"/>
    <w:rsid w:val="003822D9"/>
    <w:rsid w:val="00382FBF"/>
    <w:rsid w:val="003846EE"/>
    <w:rsid w:val="003861FA"/>
    <w:rsid w:val="003868EF"/>
    <w:rsid w:val="00387959"/>
    <w:rsid w:val="00390CDA"/>
    <w:rsid w:val="003936CC"/>
    <w:rsid w:val="003939CE"/>
    <w:rsid w:val="00395F9D"/>
    <w:rsid w:val="003A36EC"/>
    <w:rsid w:val="003A3BAA"/>
    <w:rsid w:val="003A3E1F"/>
    <w:rsid w:val="003A4737"/>
    <w:rsid w:val="003B615F"/>
    <w:rsid w:val="003B7399"/>
    <w:rsid w:val="003B7FAE"/>
    <w:rsid w:val="003C0DCA"/>
    <w:rsid w:val="003C477E"/>
    <w:rsid w:val="003C4BF7"/>
    <w:rsid w:val="003C4F5C"/>
    <w:rsid w:val="003D14B7"/>
    <w:rsid w:val="003D2053"/>
    <w:rsid w:val="003D2B9D"/>
    <w:rsid w:val="003D6146"/>
    <w:rsid w:val="003D6498"/>
    <w:rsid w:val="003D6748"/>
    <w:rsid w:val="003E1BE1"/>
    <w:rsid w:val="003E4000"/>
    <w:rsid w:val="003E5745"/>
    <w:rsid w:val="003F04EF"/>
    <w:rsid w:val="003F14F0"/>
    <w:rsid w:val="003F3E48"/>
    <w:rsid w:val="003F6F0F"/>
    <w:rsid w:val="004013D5"/>
    <w:rsid w:val="004030A9"/>
    <w:rsid w:val="00404F59"/>
    <w:rsid w:val="004056A3"/>
    <w:rsid w:val="00407BB4"/>
    <w:rsid w:val="00412A8D"/>
    <w:rsid w:val="004137D7"/>
    <w:rsid w:val="00417284"/>
    <w:rsid w:val="0042219A"/>
    <w:rsid w:val="004230CE"/>
    <w:rsid w:val="00423525"/>
    <w:rsid w:val="00424445"/>
    <w:rsid w:val="0042714A"/>
    <w:rsid w:val="004313E7"/>
    <w:rsid w:val="00432A4F"/>
    <w:rsid w:val="00432B38"/>
    <w:rsid w:val="00440B4E"/>
    <w:rsid w:val="00440C14"/>
    <w:rsid w:val="00440E3F"/>
    <w:rsid w:val="00442E97"/>
    <w:rsid w:val="00445618"/>
    <w:rsid w:val="00451D47"/>
    <w:rsid w:val="00452EA1"/>
    <w:rsid w:val="004549E3"/>
    <w:rsid w:val="00461C26"/>
    <w:rsid w:val="0046526B"/>
    <w:rsid w:val="00466089"/>
    <w:rsid w:val="004706DD"/>
    <w:rsid w:val="004714CC"/>
    <w:rsid w:val="00471C88"/>
    <w:rsid w:val="004743FE"/>
    <w:rsid w:val="00474858"/>
    <w:rsid w:val="00475832"/>
    <w:rsid w:val="004803E2"/>
    <w:rsid w:val="00480BF1"/>
    <w:rsid w:val="00487151"/>
    <w:rsid w:val="00487707"/>
    <w:rsid w:val="004900B6"/>
    <w:rsid w:val="004926D2"/>
    <w:rsid w:val="0049345A"/>
    <w:rsid w:val="004943B2"/>
    <w:rsid w:val="00494C28"/>
    <w:rsid w:val="00496BFC"/>
    <w:rsid w:val="004A0E31"/>
    <w:rsid w:val="004A3007"/>
    <w:rsid w:val="004A4BE1"/>
    <w:rsid w:val="004A5518"/>
    <w:rsid w:val="004A5D31"/>
    <w:rsid w:val="004A6D12"/>
    <w:rsid w:val="004A6E46"/>
    <w:rsid w:val="004B33CA"/>
    <w:rsid w:val="004B47FC"/>
    <w:rsid w:val="004B5535"/>
    <w:rsid w:val="004B6CF3"/>
    <w:rsid w:val="004B7735"/>
    <w:rsid w:val="004C39F6"/>
    <w:rsid w:val="004C7D53"/>
    <w:rsid w:val="004D1353"/>
    <w:rsid w:val="004D3149"/>
    <w:rsid w:val="004D3155"/>
    <w:rsid w:val="004D445E"/>
    <w:rsid w:val="004D4A91"/>
    <w:rsid w:val="004D75CB"/>
    <w:rsid w:val="004D7926"/>
    <w:rsid w:val="004E0D5A"/>
    <w:rsid w:val="004E5416"/>
    <w:rsid w:val="004E7513"/>
    <w:rsid w:val="004F1064"/>
    <w:rsid w:val="004F22EB"/>
    <w:rsid w:val="004F46FF"/>
    <w:rsid w:val="004F60CE"/>
    <w:rsid w:val="0050334A"/>
    <w:rsid w:val="00503A4A"/>
    <w:rsid w:val="00505057"/>
    <w:rsid w:val="00507C1E"/>
    <w:rsid w:val="005161CA"/>
    <w:rsid w:val="00516E57"/>
    <w:rsid w:val="005220E7"/>
    <w:rsid w:val="0052479B"/>
    <w:rsid w:val="0053007C"/>
    <w:rsid w:val="0053069D"/>
    <w:rsid w:val="005338A6"/>
    <w:rsid w:val="0053515B"/>
    <w:rsid w:val="0053581D"/>
    <w:rsid w:val="00535E76"/>
    <w:rsid w:val="00536307"/>
    <w:rsid w:val="00537C8D"/>
    <w:rsid w:val="00540038"/>
    <w:rsid w:val="0054017F"/>
    <w:rsid w:val="005418FF"/>
    <w:rsid w:val="0054282E"/>
    <w:rsid w:val="005474C1"/>
    <w:rsid w:val="0054779B"/>
    <w:rsid w:val="00550173"/>
    <w:rsid w:val="005512A3"/>
    <w:rsid w:val="00551842"/>
    <w:rsid w:val="00551C39"/>
    <w:rsid w:val="00555F97"/>
    <w:rsid w:val="005577D3"/>
    <w:rsid w:val="00562A33"/>
    <w:rsid w:val="0056453A"/>
    <w:rsid w:val="00571F65"/>
    <w:rsid w:val="00574C1F"/>
    <w:rsid w:val="005773D5"/>
    <w:rsid w:val="00577C07"/>
    <w:rsid w:val="005821D3"/>
    <w:rsid w:val="00583AE3"/>
    <w:rsid w:val="005841F1"/>
    <w:rsid w:val="0058682B"/>
    <w:rsid w:val="0059099D"/>
    <w:rsid w:val="00591CE6"/>
    <w:rsid w:val="005A0B2F"/>
    <w:rsid w:val="005A173D"/>
    <w:rsid w:val="005A17C4"/>
    <w:rsid w:val="005A1E5D"/>
    <w:rsid w:val="005A225B"/>
    <w:rsid w:val="005A2B8F"/>
    <w:rsid w:val="005A305F"/>
    <w:rsid w:val="005A36A9"/>
    <w:rsid w:val="005A3D7E"/>
    <w:rsid w:val="005A67ED"/>
    <w:rsid w:val="005A722D"/>
    <w:rsid w:val="005A7422"/>
    <w:rsid w:val="005B3C91"/>
    <w:rsid w:val="005B3F85"/>
    <w:rsid w:val="005B4C8E"/>
    <w:rsid w:val="005B5364"/>
    <w:rsid w:val="005B54D9"/>
    <w:rsid w:val="005B5C7C"/>
    <w:rsid w:val="005B63EE"/>
    <w:rsid w:val="005C224E"/>
    <w:rsid w:val="005C2E64"/>
    <w:rsid w:val="005C6A43"/>
    <w:rsid w:val="005C7084"/>
    <w:rsid w:val="005C7A87"/>
    <w:rsid w:val="005D0932"/>
    <w:rsid w:val="005D26BF"/>
    <w:rsid w:val="005D3B5D"/>
    <w:rsid w:val="005D61E3"/>
    <w:rsid w:val="005D6FB2"/>
    <w:rsid w:val="005E0C28"/>
    <w:rsid w:val="005E0D90"/>
    <w:rsid w:val="005E2C69"/>
    <w:rsid w:val="005E3353"/>
    <w:rsid w:val="005E75F0"/>
    <w:rsid w:val="005E7B1A"/>
    <w:rsid w:val="005F17BF"/>
    <w:rsid w:val="005F1E32"/>
    <w:rsid w:val="005F3EE0"/>
    <w:rsid w:val="005F4AA1"/>
    <w:rsid w:val="005F572B"/>
    <w:rsid w:val="005F5C7E"/>
    <w:rsid w:val="005F65A0"/>
    <w:rsid w:val="00600379"/>
    <w:rsid w:val="00601B45"/>
    <w:rsid w:val="0060449A"/>
    <w:rsid w:val="0060496E"/>
    <w:rsid w:val="00604D3F"/>
    <w:rsid w:val="006050D1"/>
    <w:rsid w:val="006078AA"/>
    <w:rsid w:val="006116B2"/>
    <w:rsid w:val="0061397C"/>
    <w:rsid w:val="00616008"/>
    <w:rsid w:val="006167C2"/>
    <w:rsid w:val="00617D5A"/>
    <w:rsid w:val="00620545"/>
    <w:rsid w:val="0062295B"/>
    <w:rsid w:val="00624186"/>
    <w:rsid w:val="00625276"/>
    <w:rsid w:val="0062706D"/>
    <w:rsid w:val="006318CF"/>
    <w:rsid w:val="0063224C"/>
    <w:rsid w:val="00634251"/>
    <w:rsid w:val="00640311"/>
    <w:rsid w:val="00646A3F"/>
    <w:rsid w:val="006518FE"/>
    <w:rsid w:val="006539EF"/>
    <w:rsid w:val="006543B7"/>
    <w:rsid w:val="0066366E"/>
    <w:rsid w:val="0066609D"/>
    <w:rsid w:val="0067072D"/>
    <w:rsid w:val="0067246F"/>
    <w:rsid w:val="006761EC"/>
    <w:rsid w:val="0067646F"/>
    <w:rsid w:val="00681C1A"/>
    <w:rsid w:val="00683957"/>
    <w:rsid w:val="0068409E"/>
    <w:rsid w:val="0068557A"/>
    <w:rsid w:val="006859F0"/>
    <w:rsid w:val="006878FE"/>
    <w:rsid w:val="006913A2"/>
    <w:rsid w:val="00693B48"/>
    <w:rsid w:val="00694D19"/>
    <w:rsid w:val="00695143"/>
    <w:rsid w:val="00696251"/>
    <w:rsid w:val="00697F38"/>
    <w:rsid w:val="006A053A"/>
    <w:rsid w:val="006A25F1"/>
    <w:rsid w:val="006A3C09"/>
    <w:rsid w:val="006A3DAB"/>
    <w:rsid w:val="006A4819"/>
    <w:rsid w:val="006A4DBD"/>
    <w:rsid w:val="006A7E5D"/>
    <w:rsid w:val="006B05A7"/>
    <w:rsid w:val="006B1E23"/>
    <w:rsid w:val="006B2543"/>
    <w:rsid w:val="006B7134"/>
    <w:rsid w:val="006C05F8"/>
    <w:rsid w:val="006C3D21"/>
    <w:rsid w:val="006C4AF6"/>
    <w:rsid w:val="006C752A"/>
    <w:rsid w:val="006D0EB9"/>
    <w:rsid w:val="006D17D5"/>
    <w:rsid w:val="006D45DF"/>
    <w:rsid w:val="006D51F0"/>
    <w:rsid w:val="006D5691"/>
    <w:rsid w:val="006E1A24"/>
    <w:rsid w:val="006E28AC"/>
    <w:rsid w:val="006E34BE"/>
    <w:rsid w:val="006E731C"/>
    <w:rsid w:val="006E7451"/>
    <w:rsid w:val="006F498C"/>
    <w:rsid w:val="00701117"/>
    <w:rsid w:val="00701658"/>
    <w:rsid w:val="00701C11"/>
    <w:rsid w:val="00703A63"/>
    <w:rsid w:val="0070421B"/>
    <w:rsid w:val="007061F3"/>
    <w:rsid w:val="007062C3"/>
    <w:rsid w:val="00707751"/>
    <w:rsid w:val="007145AF"/>
    <w:rsid w:val="0071554D"/>
    <w:rsid w:val="007173DC"/>
    <w:rsid w:val="007203B1"/>
    <w:rsid w:val="007208EC"/>
    <w:rsid w:val="00721A95"/>
    <w:rsid w:val="00725C17"/>
    <w:rsid w:val="00727828"/>
    <w:rsid w:val="0073039D"/>
    <w:rsid w:val="0073066B"/>
    <w:rsid w:val="007308E0"/>
    <w:rsid w:val="00733292"/>
    <w:rsid w:val="0073792B"/>
    <w:rsid w:val="00742303"/>
    <w:rsid w:val="00743564"/>
    <w:rsid w:val="00743A88"/>
    <w:rsid w:val="00743F68"/>
    <w:rsid w:val="007444F7"/>
    <w:rsid w:val="0074608D"/>
    <w:rsid w:val="00746769"/>
    <w:rsid w:val="007472B1"/>
    <w:rsid w:val="00750097"/>
    <w:rsid w:val="00750E25"/>
    <w:rsid w:val="00752442"/>
    <w:rsid w:val="00753895"/>
    <w:rsid w:val="00754FDE"/>
    <w:rsid w:val="00756758"/>
    <w:rsid w:val="007572A6"/>
    <w:rsid w:val="00760398"/>
    <w:rsid w:val="007609EF"/>
    <w:rsid w:val="0076221D"/>
    <w:rsid w:val="007634BB"/>
    <w:rsid w:val="007645D2"/>
    <w:rsid w:val="0076615F"/>
    <w:rsid w:val="00771B52"/>
    <w:rsid w:val="00773F74"/>
    <w:rsid w:val="007742F7"/>
    <w:rsid w:val="00775EFD"/>
    <w:rsid w:val="00777534"/>
    <w:rsid w:val="007826DA"/>
    <w:rsid w:val="00786C5B"/>
    <w:rsid w:val="00786E1B"/>
    <w:rsid w:val="007900D6"/>
    <w:rsid w:val="00790E30"/>
    <w:rsid w:val="00792E01"/>
    <w:rsid w:val="0079361D"/>
    <w:rsid w:val="007942E2"/>
    <w:rsid w:val="007A35B9"/>
    <w:rsid w:val="007A4F23"/>
    <w:rsid w:val="007A570F"/>
    <w:rsid w:val="007A6D54"/>
    <w:rsid w:val="007A7FCC"/>
    <w:rsid w:val="007B0A11"/>
    <w:rsid w:val="007B1C92"/>
    <w:rsid w:val="007B320A"/>
    <w:rsid w:val="007B4ABF"/>
    <w:rsid w:val="007B4FBB"/>
    <w:rsid w:val="007C0A60"/>
    <w:rsid w:val="007C1667"/>
    <w:rsid w:val="007C2022"/>
    <w:rsid w:val="007C2D5F"/>
    <w:rsid w:val="007C45EE"/>
    <w:rsid w:val="007D2219"/>
    <w:rsid w:val="007D4D6F"/>
    <w:rsid w:val="007D7973"/>
    <w:rsid w:val="007E4724"/>
    <w:rsid w:val="007F088F"/>
    <w:rsid w:val="007F124E"/>
    <w:rsid w:val="007F1BA2"/>
    <w:rsid w:val="007F1F7A"/>
    <w:rsid w:val="007F6945"/>
    <w:rsid w:val="007F75F7"/>
    <w:rsid w:val="00804AFC"/>
    <w:rsid w:val="0080679A"/>
    <w:rsid w:val="00807B22"/>
    <w:rsid w:val="00811282"/>
    <w:rsid w:val="0081130F"/>
    <w:rsid w:val="00812D23"/>
    <w:rsid w:val="00813AB0"/>
    <w:rsid w:val="008140D9"/>
    <w:rsid w:val="008165D6"/>
    <w:rsid w:val="0082048F"/>
    <w:rsid w:val="0082076E"/>
    <w:rsid w:val="00822686"/>
    <w:rsid w:val="008233A7"/>
    <w:rsid w:val="00823931"/>
    <w:rsid w:val="00825702"/>
    <w:rsid w:val="00826849"/>
    <w:rsid w:val="008273D2"/>
    <w:rsid w:val="008305E4"/>
    <w:rsid w:val="00832E85"/>
    <w:rsid w:val="008357ED"/>
    <w:rsid w:val="00836706"/>
    <w:rsid w:val="008370B4"/>
    <w:rsid w:val="008405DE"/>
    <w:rsid w:val="00840DE1"/>
    <w:rsid w:val="00843082"/>
    <w:rsid w:val="00843BB6"/>
    <w:rsid w:val="008452B3"/>
    <w:rsid w:val="008455AE"/>
    <w:rsid w:val="00845AC8"/>
    <w:rsid w:val="00846A43"/>
    <w:rsid w:val="00854202"/>
    <w:rsid w:val="00856CF4"/>
    <w:rsid w:val="00861377"/>
    <w:rsid w:val="00861483"/>
    <w:rsid w:val="00872337"/>
    <w:rsid w:val="008751E3"/>
    <w:rsid w:val="00877556"/>
    <w:rsid w:val="008802C7"/>
    <w:rsid w:val="00881503"/>
    <w:rsid w:val="00882421"/>
    <w:rsid w:val="00882A11"/>
    <w:rsid w:val="00884BE8"/>
    <w:rsid w:val="00887B71"/>
    <w:rsid w:val="0089003D"/>
    <w:rsid w:val="00890B1A"/>
    <w:rsid w:val="00892667"/>
    <w:rsid w:val="00892965"/>
    <w:rsid w:val="00894250"/>
    <w:rsid w:val="0089654E"/>
    <w:rsid w:val="008A24F1"/>
    <w:rsid w:val="008A26B7"/>
    <w:rsid w:val="008A43AE"/>
    <w:rsid w:val="008A44FF"/>
    <w:rsid w:val="008A4DD9"/>
    <w:rsid w:val="008A59EC"/>
    <w:rsid w:val="008A5E50"/>
    <w:rsid w:val="008A5FC4"/>
    <w:rsid w:val="008B138B"/>
    <w:rsid w:val="008B17AD"/>
    <w:rsid w:val="008B279E"/>
    <w:rsid w:val="008B416C"/>
    <w:rsid w:val="008C0775"/>
    <w:rsid w:val="008C2BFC"/>
    <w:rsid w:val="008C345E"/>
    <w:rsid w:val="008C3F3B"/>
    <w:rsid w:val="008D0651"/>
    <w:rsid w:val="008D2211"/>
    <w:rsid w:val="008D252D"/>
    <w:rsid w:val="008D4DB6"/>
    <w:rsid w:val="008D5DEC"/>
    <w:rsid w:val="008D66B7"/>
    <w:rsid w:val="008D6A7B"/>
    <w:rsid w:val="008D6B82"/>
    <w:rsid w:val="008E00FE"/>
    <w:rsid w:val="008E32CE"/>
    <w:rsid w:val="008E414F"/>
    <w:rsid w:val="008E431C"/>
    <w:rsid w:val="008E4F02"/>
    <w:rsid w:val="008F23E0"/>
    <w:rsid w:val="008F6636"/>
    <w:rsid w:val="0090019E"/>
    <w:rsid w:val="009039C6"/>
    <w:rsid w:val="00903BC0"/>
    <w:rsid w:val="00907A14"/>
    <w:rsid w:val="00907E5E"/>
    <w:rsid w:val="00914E02"/>
    <w:rsid w:val="00915325"/>
    <w:rsid w:val="009158A0"/>
    <w:rsid w:val="00915E5E"/>
    <w:rsid w:val="00916146"/>
    <w:rsid w:val="00916DF0"/>
    <w:rsid w:val="009206B4"/>
    <w:rsid w:val="00920EE9"/>
    <w:rsid w:val="00922A5B"/>
    <w:rsid w:val="009242EB"/>
    <w:rsid w:val="009259BD"/>
    <w:rsid w:val="00931F08"/>
    <w:rsid w:val="009352B3"/>
    <w:rsid w:val="009402BE"/>
    <w:rsid w:val="00941456"/>
    <w:rsid w:val="009417B1"/>
    <w:rsid w:val="009444FD"/>
    <w:rsid w:val="00946A7B"/>
    <w:rsid w:val="00950942"/>
    <w:rsid w:val="00950B4C"/>
    <w:rsid w:val="00951F02"/>
    <w:rsid w:val="009543F7"/>
    <w:rsid w:val="00954D8A"/>
    <w:rsid w:val="00955F5A"/>
    <w:rsid w:val="00956ADE"/>
    <w:rsid w:val="0095756F"/>
    <w:rsid w:val="00960347"/>
    <w:rsid w:val="00961837"/>
    <w:rsid w:val="00963545"/>
    <w:rsid w:val="00963C1A"/>
    <w:rsid w:val="009645F1"/>
    <w:rsid w:val="009733CA"/>
    <w:rsid w:val="0097356E"/>
    <w:rsid w:val="0097699E"/>
    <w:rsid w:val="00976D63"/>
    <w:rsid w:val="00976EB1"/>
    <w:rsid w:val="00977710"/>
    <w:rsid w:val="00977AB8"/>
    <w:rsid w:val="00980C56"/>
    <w:rsid w:val="009817C3"/>
    <w:rsid w:val="009828A8"/>
    <w:rsid w:val="009829A3"/>
    <w:rsid w:val="00983B5C"/>
    <w:rsid w:val="00984123"/>
    <w:rsid w:val="009852CA"/>
    <w:rsid w:val="009857D4"/>
    <w:rsid w:val="0099103D"/>
    <w:rsid w:val="00997C9D"/>
    <w:rsid w:val="009A5895"/>
    <w:rsid w:val="009A6549"/>
    <w:rsid w:val="009B1DCF"/>
    <w:rsid w:val="009B1F83"/>
    <w:rsid w:val="009B3643"/>
    <w:rsid w:val="009B3B00"/>
    <w:rsid w:val="009B4955"/>
    <w:rsid w:val="009B4FC8"/>
    <w:rsid w:val="009B55FF"/>
    <w:rsid w:val="009B5B32"/>
    <w:rsid w:val="009B5CF2"/>
    <w:rsid w:val="009B7849"/>
    <w:rsid w:val="009B7DA1"/>
    <w:rsid w:val="009C5889"/>
    <w:rsid w:val="009C660F"/>
    <w:rsid w:val="009D0591"/>
    <w:rsid w:val="009D4540"/>
    <w:rsid w:val="009D52F2"/>
    <w:rsid w:val="009D647C"/>
    <w:rsid w:val="009D6A3A"/>
    <w:rsid w:val="009E0678"/>
    <w:rsid w:val="009E28DF"/>
    <w:rsid w:val="009E3351"/>
    <w:rsid w:val="009E53B0"/>
    <w:rsid w:val="009E5490"/>
    <w:rsid w:val="009E5C0D"/>
    <w:rsid w:val="009F0995"/>
    <w:rsid w:val="009F1FFD"/>
    <w:rsid w:val="009F3415"/>
    <w:rsid w:val="009F3C51"/>
    <w:rsid w:val="009F4E1E"/>
    <w:rsid w:val="009F682F"/>
    <w:rsid w:val="00A02113"/>
    <w:rsid w:val="00A11639"/>
    <w:rsid w:val="00A1266B"/>
    <w:rsid w:val="00A13F8F"/>
    <w:rsid w:val="00A1494C"/>
    <w:rsid w:val="00A2357D"/>
    <w:rsid w:val="00A24539"/>
    <w:rsid w:val="00A26013"/>
    <w:rsid w:val="00A32465"/>
    <w:rsid w:val="00A32863"/>
    <w:rsid w:val="00A34610"/>
    <w:rsid w:val="00A349F3"/>
    <w:rsid w:val="00A37CE4"/>
    <w:rsid w:val="00A44CF5"/>
    <w:rsid w:val="00A471EC"/>
    <w:rsid w:val="00A51C06"/>
    <w:rsid w:val="00A534B0"/>
    <w:rsid w:val="00A55F6B"/>
    <w:rsid w:val="00A57EA7"/>
    <w:rsid w:val="00A61FEE"/>
    <w:rsid w:val="00A62289"/>
    <w:rsid w:val="00A62E06"/>
    <w:rsid w:val="00A66C59"/>
    <w:rsid w:val="00A70253"/>
    <w:rsid w:val="00A703A6"/>
    <w:rsid w:val="00A72674"/>
    <w:rsid w:val="00A72750"/>
    <w:rsid w:val="00A75AC7"/>
    <w:rsid w:val="00A7743B"/>
    <w:rsid w:val="00A80380"/>
    <w:rsid w:val="00A816A6"/>
    <w:rsid w:val="00A8547A"/>
    <w:rsid w:val="00A856F7"/>
    <w:rsid w:val="00A869EF"/>
    <w:rsid w:val="00A86F00"/>
    <w:rsid w:val="00A913DF"/>
    <w:rsid w:val="00A91772"/>
    <w:rsid w:val="00A91E7F"/>
    <w:rsid w:val="00A941E5"/>
    <w:rsid w:val="00A96190"/>
    <w:rsid w:val="00A97AC5"/>
    <w:rsid w:val="00A97FEC"/>
    <w:rsid w:val="00AA1161"/>
    <w:rsid w:val="00AA36CF"/>
    <w:rsid w:val="00AA6B2B"/>
    <w:rsid w:val="00AA72E6"/>
    <w:rsid w:val="00AB0567"/>
    <w:rsid w:val="00AB0798"/>
    <w:rsid w:val="00AB33FC"/>
    <w:rsid w:val="00AB3704"/>
    <w:rsid w:val="00AB3C54"/>
    <w:rsid w:val="00AB4115"/>
    <w:rsid w:val="00AB49BF"/>
    <w:rsid w:val="00AB6851"/>
    <w:rsid w:val="00AB7F45"/>
    <w:rsid w:val="00AC2A05"/>
    <w:rsid w:val="00AC351B"/>
    <w:rsid w:val="00AC6836"/>
    <w:rsid w:val="00AD0E02"/>
    <w:rsid w:val="00AD44D1"/>
    <w:rsid w:val="00AD4775"/>
    <w:rsid w:val="00AE7B2F"/>
    <w:rsid w:val="00AF2123"/>
    <w:rsid w:val="00AF3369"/>
    <w:rsid w:val="00AF3CD3"/>
    <w:rsid w:val="00AF6187"/>
    <w:rsid w:val="00AF7C3D"/>
    <w:rsid w:val="00B00831"/>
    <w:rsid w:val="00B00BE9"/>
    <w:rsid w:val="00B03594"/>
    <w:rsid w:val="00B0476C"/>
    <w:rsid w:val="00B04BFB"/>
    <w:rsid w:val="00B123FB"/>
    <w:rsid w:val="00B1317D"/>
    <w:rsid w:val="00B134C7"/>
    <w:rsid w:val="00B138D0"/>
    <w:rsid w:val="00B1517A"/>
    <w:rsid w:val="00B20D88"/>
    <w:rsid w:val="00B22315"/>
    <w:rsid w:val="00B2710D"/>
    <w:rsid w:val="00B301E6"/>
    <w:rsid w:val="00B31BDA"/>
    <w:rsid w:val="00B331A9"/>
    <w:rsid w:val="00B3384D"/>
    <w:rsid w:val="00B348D6"/>
    <w:rsid w:val="00B36CDB"/>
    <w:rsid w:val="00B37A37"/>
    <w:rsid w:val="00B40574"/>
    <w:rsid w:val="00B41F29"/>
    <w:rsid w:val="00B43490"/>
    <w:rsid w:val="00B446A4"/>
    <w:rsid w:val="00B45778"/>
    <w:rsid w:val="00B46C9A"/>
    <w:rsid w:val="00B503A7"/>
    <w:rsid w:val="00B513A6"/>
    <w:rsid w:val="00B51504"/>
    <w:rsid w:val="00B5168D"/>
    <w:rsid w:val="00B51B31"/>
    <w:rsid w:val="00B523EC"/>
    <w:rsid w:val="00B5510B"/>
    <w:rsid w:val="00B6462C"/>
    <w:rsid w:val="00B65CB8"/>
    <w:rsid w:val="00B6793C"/>
    <w:rsid w:val="00B727ED"/>
    <w:rsid w:val="00B80C16"/>
    <w:rsid w:val="00B81FD7"/>
    <w:rsid w:val="00B847C1"/>
    <w:rsid w:val="00B859F8"/>
    <w:rsid w:val="00B86D8A"/>
    <w:rsid w:val="00B87F2D"/>
    <w:rsid w:val="00B90D51"/>
    <w:rsid w:val="00B90F3D"/>
    <w:rsid w:val="00B9117C"/>
    <w:rsid w:val="00B94552"/>
    <w:rsid w:val="00B95F44"/>
    <w:rsid w:val="00B9622F"/>
    <w:rsid w:val="00B9731E"/>
    <w:rsid w:val="00BA3689"/>
    <w:rsid w:val="00BA3A59"/>
    <w:rsid w:val="00BA3B1A"/>
    <w:rsid w:val="00BA4639"/>
    <w:rsid w:val="00BA7D1E"/>
    <w:rsid w:val="00BB1D67"/>
    <w:rsid w:val="00BC0CC3"/>
    <w:rsid w:val="00BC48B3"/>
    <w:rsid w:val="00BC504F"/>
    <w:rsid w:val="00BC5D55"/>
    <w:rsid w:val="00BD0EF7"/>
    <w:rsid w:val="00BD0FC0"/>
    <w:rsid w:val="00BD1138"/>
    <w:rsid w:val="00BD5AD5"/>
    <w:rsid w:val="00BD5B69"/>
    <w:rsid w:val="00BD66A4"/>
    <w:rsid w:val="00BD6776"/>
    <w:rsid w:val="00BD6D8F"/>
    <w:rsid w:val="00BE0556"/>
    <w:rsid w:val="00BE1F6E"/>
    <w:rsid w:val="00BE3DC0"/>
    <w:rsid w:val="00BE49D7"/>
    <w:rsid w:val="00BE7C5E"/>
    <w:rsid w:val="00BF0ED2"/>
    <w:rsid w:val="00BF1384"/>
    <w:rsid w:val="00BF4801"/>
    <w:rsid w:val="00BF79BC"/>
    <w:rsid w:val="00BF7DF9"/>
    <w:rsid w:val="00C00935"/>
    <w:rsid w:val="00C009BE"/>
    <w:rsid w:val="00C011A8"/>
    <w:rsid w:val="00C0331C"/>
    <w:rsid w:val="00C0467C"/>
    <w:rsid w:val="00C047AC"/>
    <w:rsid w:val="00C07FB6"/>
    <w:rsid w:val="00C11229"/>
    <w:rsid w:val="00C118D0"/>
    <w:rsid w:val="00C2657E"/>
    <w:rsid w:val="00C27B56"/>
    <w:rsid w:val="00C309D4"/>
    <w:rsid w:val="00C31666"/>
    <w:rsid w:val="00C31EDF"/>
    <w:rsid w:val="00C36C43"/>
    <w:rsid w:val="00C4134A"/>
    <w:rsid w:val="00C42745"/>
    <w:rsid w:val="00C42C46"/>
    <w:rsid w:val="00C43761"/>
    <w:rsid w:val="00C44B24"/>
    <w:rsid w:val="00C45531"/>
    <w:rsid w:val="00C50919"/>
    <w:rsid w:val="00C50FCD"/>
    <w:rsid w:val="00C5770A"/>
    <w:rsid w:val="00C578E3"/>
    <w:rsid w:val="00C60223"/>
    <w:rsid w:val="00C61FEC"/>
    <w:rsid w:val="00C627A6"/>
    <w:rsid w:val="00C63739"/>
    <w:rsid w:val="00C63F53"/>
    <w:rsid w:val="00C65239"/>
    <w:rsid w:val="00C66E57"/>
    <w:rsid w:val="00C66ED0"/>
    <w:rsid w:val="00C676B0"/>
    <w:rsid w:val="00C70D32"/>
    <w:rsid w:val="00C712A8"/>
    <w:rsid w:val="00C760ED"/>
    <w:rsid w:val="00C7788B"/>
    <w:rsid w:val="00C80EFF"/>
    <w:rsid w:val="00C829A1"/>
    <w:rsid w:val="00C8625C"/>
    <w:rsid w:val="00C902D0"/>
    <w:rsid w:val="00C958B5"/>
    <w:rsid w:val="00CA09A4"/>
    <w:rsid w:val="00CA1BBC"/>
    <w:rsid w:val="00CA4143"/>
    <w:rsid w:val="00CA61DF"/>
    <w:rsid w:val="00CA6704"/>
    <w:rsid w:val="00CB1212"/>
    <w:rsid w:val="00CB1B61"/>
    <w:rsid w:val="00CB4171"/>
    <w:rsid w:val="00CB6699"/>
    <w:rsid w:val="00CB734B"/>
    <w:rsid w:val="00CC0018"/>
    <w:rsid w:val="00CC2836"/>
    <w:rsid w:val="00CC3D88"/>
    <w:rsid w:val="00CC4606"/>
    <w:rsid w:val="00CC535F"/>
    <w:rsid w:val="00CC7091"/>
    <w:rsid w:val="00CD060B"/>
    <w:rsid w:val="00CD1BC7"/>
    <w:rsid w:val="00CD51ED"/>
    <w:rsid w:val="00CD5378"/>
    <w:rsid w:val="00CD5E61"/>
    <w:rsid w:val="00CE1188"/>
    <w:rsid w:val="00CE1F2A"/>
    <w:rsid w:val="00CE4DE2"/>
    <w:rsid w:val="00CE62A1"/>
    <w:rsid w:val="00CE6DFD"/>
    <w:rsid w:val="00CE6F28"/>
    <w:rsid w:val="00CF4F13"/>
    <w:rsid w:val="00D03CAE"/>
    <w:rsid w:val="00D04C8D"/>
    <w:rsid w:val="00D05F28"/>
    <w:rsid w:val="00D10300"/>
    <w:rsid w:val="00D11FFD"/>
    <w:rsid w:val="00D129EC"/>
    <w:rsid w:val="00D159EF"/>
    <w:rsid w:val="00D15A74"/>
    <w:rsid w:val="00D21C4C"/>
    <w:rsid w:val="00D23BF7"/>
    <w:rsid w:val="00D24A4D"/>
    <w:rsid w:val="00D24BCC"/>
    <w:rsid w:val="00D2500A"/>
    <w:rsid w:val="00D32C72"/>
    <w:rsid w:val="00D3322C"/>
    <w:rsid w:val="00D36479"/>
    <w:rsid w:val="00D36D87"/>
    <w:rsid w:val="00D41F01"/>
    <w:rsid w:val="00D438AE"/>
    <w:rsid w:val="00D45BF3"/>
    <w:rsid w:val="00D47D10"/>
    <w:rsid w:val="00D53B30"/>
    <w:rsid w:val="00D5419D"/>
    <w:rsid w:val="00D556F5"/>
    <w:rsid w:val="00D574AF"/>
    <w:rsid w:val="00D606C3"/>
    <w:rsid w:val="00D62AED"/>
    <w:rsid w:val="00D64BA8"/>
    <w:rsid w:val="00D72CFC"/>
    <w:rsid w:val="00D73522"/>
    <w:rsid w:val="00D7417D"/>
    <w:rsid w:val="00D76776"/>
    <w:rsid w:val="00D817FF"/>
    <w:rsid w:val="00D85693"/>
    <w:rsid w:val="00D879FA"/>
    <w:rsid w:val="00D907F3"/>
    <w:rsid w:val="00D9119C"/>
    <w:rsid w:val="00D926DB"/>
    <w:rsid w:val="00D92EBF"/>
    <w:rsid w:val="00D93D4B"/>
    <w:rsid w:val="00D953DE"/>
    <w:rsid w:val="00D954EB"/>
    <w:rsid w:val="00D97668"/>
    <w:rsid w:val="00DA03C8"/>
    <w:rsid w:val="00DA6104"/>
    <w:rsid w:val="00DA7E8C"/>
    <w:rsid w:val="00DB0D4C"/>
    <w:rsid w:val="00DB1073"/>
    <w:rsid w:val="00DB3046"/>
    <w:rsid w:val="00DB4C71"/>
    <w:rsid w:val="00DB6713"/>
    <w:rsid w:val="00DB728A"/>
    <w:rsid w:val="00DC03C3"/>
    <w:rsid w:val="00DC089F"/>
    <w:rsid w:val="00DC17CC"/>
    <w:rsid w:val="00DC34AA"/>
    <w:rsid w:val="00DC3F37"/>
    <w:rsid w:val="00DC4110"/>
    <w:rsid w:val="00DC6129"/>
    <w:rsid w:val="00DD03F8"/>
    <w:rsid w:val="00DD14D4"/>
    <w:rsid w:val="00DD242C"/>
    <w:rsid w:val="00DD28BC"/>
    <w:rsid w:val="00DD29E6"/>
    <w:rsid w:val="00DD2D68"/>
    <w:rsid w:val="00DD45CE"/>
    <w:rsid w:val="00DD6379"/>
    <w:rsid w:val="00DE14E2"/>
    <w:rsid w:val="00DE3964"/>
    <w:rsid w:val="00DE5361"/>
    <w:rsid w:val="00DE6650"/>
    <w:rsid w:val="00DF100C"/>
    <w:rsid w:val="00DF23A0"/>
    <w:rsid w:val="00DF26FF"/>
    <w:rsid w:val="00DF2FD4"/>
    <w:rsid w:val="00DF4136"/>
    <w:rsid w:val="00DF426E"/>
    <w:rsid w:val="00DF4AD7"/>
    <w:rsid w:val="00DF507C"/>
    <w:rsid w:val="00DF530A"/>
    <w:rsid w:val="00DF65BC"/>
    <w:rsid w:val="00DF7A23"/>
    <w:rsid w:val="00E02B16"/>
    <w:rsid w:val="00E03A8C"/>
    <w:rsid w:val="00E0724D"/>
    <w:rsid w:val="00E1009D"/>
    <w:rsid w:val="00E122F1"/>
    <w:rsid w:val="00E12901"/>
    <w:rsid w:val="00E15024"/>
    <w:rsid w:val="00E15055"/>
    <w:rsid w:val="00E169D3"/>
    <w:rsid w:val="00E32381"/>
    <w:rsid w:val="00E32F86"/>
    <w:rsid w:val="00E33FE1"/>
    <w:rsid w:val="00E43B87"/>
    <w:rsid w:val="00E45E71"/>
    <w:rsid w:val="00E47CF7"/>
    <w:rsid w:val="00E51494"/>
    <w:rsid w:val="00E51DF5"/>
    <w:rsid w:val="00E55BB0"/>
    <w:rsid w:val="00E55DED"/>
    <w:rsid w:val="00E65269"/>
    <w:rsid w:val="00E659CE"/>
    <w:rsid w:val="00E661ED"/>
    <w:rsid w:val="00E67092"/>
    <w:rsid w:val="00E6760F"/>
    <w:rsid w:val="00E72860"/>
    <w:rsid w:val="00E735CA"/>
    <w:rsid w:val="00E75C36"/>
    <w:rsid w:val="00E76CDF"/>
    <w:rsid w:val="00E81160"/>
    <w:rsid w:val="00E82473"/>
    <w:rsid w:val="00E83F00"/>
    <w:rsid w:val="00E84AE3"/>
    <w:rsid w:val="00E85C58"/>
    <w:rsid w:val="00E912F3"/>
    <w:rsid w:val="00E92862"/>
    <w:rsid w:val="00E92D66"/>
    <w:rsid w:val="00E94C87"/>
    <w:rsid w:val="00E96B0D"/>
    <w:rsid w:val="00EA0390"/>
    <w:rsid w:val="00EA07DA"/>
    <w:rsid w:val="00EA1AD2"/>
    <w:rsid w:val="00EA53E2"/>
    <w:rsid w:val="00EA5B9B"/>
    <w:rsid w:val="00EA5BCD"/>
    <w:rsid w:val="00EA71DE"/>
    <w:rsid w:val="00EA71F8"/>
    <w:rsid w:val="00EA7AED"/>
    <w:rsid w:val="00EB2233"/>
    <w:rsid w:val="00EB40E3"/>
    <w:rsid w:val="00EB5E30"/>
    <w:rsid w:val="00EB7848"/>
    <w:rsid w:val="00EB7E59"/>
    <w:rsid w:val="00EB7F8B"/>
    <w:rsid w:val="00EC0C62"/>
    <w:rsid w:val="00EC5DFB"/>
    <w:rsid w:val="00EC6CBD"/>
    <w:rsid w:val="00ED388E"/>
    <w:rsid w:val="00ED38FB"/>
    <w:rsid w:val="00ED4624"/>
    <w:rsid w:val="00ED4A78"/>
    <w:rsid w:val="00ED567C"/>
    <w:rsid w:val="00ED5A24"/>
    <w:rsid w:val="00ED7AB3"/>
    <w:rsid w:val="00EE1D44"/>
    <w:rsid w:val="00EE365D"/>
    <w:rsid w:val="00EE5974"/>
    <w:rsid w:val="00EF08E2"/>
    <w:rsid w:val="00EF2F2D"/>
    <w:rsid w:val="00EF4716"/>
    <w:rsid w:val="00F00035"/>
    <w:rsid w:val="00F00B69"/>
    <w:rsid w:val="00F01306"/>
    <w:rsid w:val="00F01BD6"/>
    <w:rsid w:val="00F03694"/>
    <w:rsid w:val="00F044FC"/>
    <w:rsid w:val="00F1019A"/>
    <w:rsid w:val="00F12AC0"/>
    <w:rsid w:val="00F160DA"/>
    <w:rsid w:val="00F17DDA"/>
    <w:rsid w:val="00F201A2"/>
    <w:rsid w:val="00F21998"/>
    <w:rsid w:val="00F22013"/>
    <w:rsid w:val="00F22E3C"/>
    <w:rsid w:val="00F24290"/>
    <w:rsid w:val="00F24AED"/>
    <w:rsid w:val="00F30A3D"/>
    <w:rsid w:val="00F31723"/>
    <w:rsid w:val="00F34409"/>
    <w:rsid w:val="00F36153"/>
    <w:rsid w:val="00F37F3C"/>
    <w:rsid w:val="00F4177B"/>
    <w:rsid w:val="00F4179C"/>
    <w:rsid w:val="00F43173"/>
    <w:rsid w:val="00F45275"/>
    <w:rsid w:val="00F47120"/>
    <w:rsid w:val="00F51504"/>
    <w:rsid w:val="00F52DED"/>
    <w:rsid w:val="00F52DF5"/>
    <w:rsid w:val="00F53923"/>
    <w:rsid w:val="00F54B1D"/>
    <w:rsid w:val="00F555AA"/>
    <w:rsid w:val="00F55BB6"/>
    <w:rsid w:val="00F57572"/>
    <w:rsid w:val="00F61490"/>
    <w:rsid w:val="00F61E21"/>
    <w:rsid w:val="00F620B6"/>
    <w:rsid w:val="00F62615"/>
    <w:rsid w:val="00F6642A"/>
    <w:rsid w:val="00F66917"/>
    <w:rsid w:val="00F66A99"/>
    <w:rsid w:val="00F67C03"/>
    <w:rsid w:val="00F70134"/>
    <w:rsid w:val="00F71A06"/>
    <w:rsid w:val="00F71AE6"/>
    <w:rsid w:val="00F72298"/>
    <w:rsid w:val="00F75321"/>
    <w:rsid w:val="00F76ABA"/>
    <w:rsid w:val="00F849EE"/>
    <w:rsid w:val="00F84A12"/>
    <w:rsid w:val="00F85243"/>
    <w:rsid w:val="00F868C4"/>
    <w:rsid w:val="00F92E04"/>
    <w:rsid w:val="00F93C96"/>
    <w:rsid w:val="00F94900"/>
    <w:rsid w:val="00F94C68"/>
    <w:rsid w:val="00F9562C"/>
    <w:rsid w:val="00F95819"/>
    <w:rsid w:val="00FA0C5B"/>
    <w:rsid w:val="00FA3701"/>
    <w:rsid w:val="00FA3885"/>
    <w:rsid w:val="00FA45E1"/>
    <w:rsid w:val="00FB2098"/>
    <w:rsid w:val="00FB318D"/>
    <w:rsid w:val="00FB3F9E"/>
    <w:rsid w:val="00FB4B7F"/>
    <w:rsid w:val="00FB6EBF"/>
    <w:rsid w:val="00FC17DD"/>
    <w:rsid w:val="00FC1D4D"/>
    <w:rsid w:val="00FC2294"/>
    <w:rsid w:val="00FC360D"/>
    <w:rsid w:val="00FC694D"/>
    <w:rsid w:val="00FC6A75"/>
    <w:rsid w:val="00FD4836"/>
    <w:rsid w:val="00FD6342"/>
    <w:rsid w:val="00FE03F5"/>
    <w:rsid w:val="00FE53F2"/>
    <w:rsid w:val="00FE65FC"/>
    <w:rsid w:val="00FE67E1"/>
    <w:rsid w:val="00FE6D83"/>
    <w:rsid w:val="00FF070B"/>
    <w:rsid w:val="00FF1A7D"/>
    <w:rsid w:val="00FF2CF5"/>
    <w:rsid w:val="00FF55CD"/>
    <w:rsid w:val="00FF6413"/>
    <w:rsid w:val="00FF72AD"/>
    <w:rsid w:val="00FF77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3A6BF"/>
  <w15:docId w15:val="{24C00323-1A16-4706-899B-9F448398D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6"/>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62"/>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0423E"/>
    <w:pPr>
      <w:widowControl w:val="0"/>
      <w:suppressAutoHyphens/>
      <w:spacing w:after="200" w:line="276" w:lineRule="auto"/>
    </w:pPr>
    <w:rPr>
      <w:rFonts w:eastAsia="Times New Roman" w:cs="Calibri"/>
      <w:sz w:val="22"/>
      <w:szCs w:val="22"/>
      <w:lang w:val="en-GB" w:eastAsia="en-GB" w:bidi="en-US"/>
    </w:rPr>
  </w:style>
  <w:style w:type="paragraph" w:styleId="Heading1">
    <w:name w:val="heading 1"/>
    <w:basedOn w:val="Normal"/>
    <w:next w:val="Normal"/>
    <w:link w:val="Heading1Char"/>
    <w:qFormat/>
    <w:rsid w:val="00B6793C"/>
    <w:pPr>
      <w:keepNext/>
      <w:keepLines/>
      <w:numPr>
        <w:numId w:val="1"/>
      </w:numPr>
      <w:spacing w:before="480" w:after="240"/>
      <w:outlineLvl w:val="0"/>
    </w:pPr>
    <w:rPr>
      <w:b/>
      <w:bCs/>
      <w:color w:val="365F91"/>
      <w:sz w:val="44"/>
      <w:szCs w:val="28"/>
      <w:lang w:eastAsia="x-none"/>
    </w:rPr>
  </w:style>
  <w:style w:type="paragraph" w:styleId="Heading2">
    <w:name w:val="heading 2"/>
    <w:basedOn w:val="Normal"/>
    <w:next w:val="Normal"/>
    <w:link w:val="Heading2Char"/>
    <w:uiPriority w:val="9"/>
    <w:qFormat/>
    <w:rsid w:val="00B80C16"/>
    <w:pPr>
      <w:keepNext/>
      <w:spacing w:before="240" w:after="60"/>
      <w:outlineLvl w:val="1"/>
    </w:pPr>
    <w:rPr>
      <w:rFonts w:ascii="Myriad Pro" w:hAnsi="Myriad Pro" w:cs="Times New Roman"/>
      <w:b/>
      <w:bCs/>
      <w:iCs/>
      <w:color w:val="548DD4"/>
      <w:sz w:val="32"/>
      <w:szCs w:val="28"/>
    </w:rPr>
  </w:style>
  <w:style w:type="paragraph" w:styleId="Heading3">
    <w:name w:val="heading 3"/>
    <w:basedOn w:val="Normal"/>
    <w:next w:val="Normal"/>
    <w:link w:val="Heading3Char"/>
    <w:uiPriority w:val="9"/>
    <w:semiHidden/>
    <w:unhideWhenUsed/>
    <w:qFormat/>
    <w:rsid w:val="00976E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6793C"/>
    <w:rPr>
      <w:rFonts w:eastAsia="Times New Roman" w:cs="Calibri"/>
      <w:b/>
      <w:bCs/>
      <w:color w:val="365F91"/>
      <w:sz w:val="44"/>
      <w:szCs w:val="28"/>
      <w:lang w:eastAsia="x-none" w:bidi="en-US"/>
    </w:rPr>
  </w:style>
  <w:style w:type="character" w:styleId="Hyperlink">
    <w:name w:val="Hyperlink"/>
    <w:uiPriority w:val="99"/>
    <w:rsid w:val="00903BC0"/>
    <w:rPr>
      <w:color w:val="0000FF"/>
      <w:u w:val="single"/>
    </w:rPr>
  </w:style>
  <w:style w:type="paragraph" w:styleId="Header">
    <w:name w:val="header"/>
    <w:basedOn w:val="Normal"/>
    <w:link w:val="HeaderChar"/>
    <w:uiPriority w:val="99"/>
    <w:rsid w:val="00903BC0"/>
    <w:pPr>
      <w:tabs>
        <w:tab w:val="center" w:pos="4320"/>
        <w:tab w:val="right" w:pos="8640"/>
      </w:tabs>
    </w:pPr>
    <w:rPr>
      <w:szCs w:val="20"/>
      <w:lang w:eastAsia="x-none"/>
    </w:rPr>
  </w:style>
  <w:style w:type="character" w:customStyle="1" w:styleId="HeaderChar">
    <w:name w:val="Header Char"/>
    <w:link w:val="Header"/>
    <w:uiPriority w:val="99"/>
    <w:rsid w:val="00903BC0"/>
    <w:rPr>
      <w:rFonts w:ascii="Myriad Pro SemiCond" w:eastAsia="Times New Roman" w:hAnsi="Myriad Pro SemiCond" w:cs="Calibri"/>
      <w:lang w:val="en-GB" w:bidi="en-US"/>
    </w:rPr>
  </w:style>
  <w:style w:type="paragraph" w:styleId="Footer">
    <w:name w:val="footer"/>
    <w:basedOn w:val="Normal"/>
    <w:link w:val="FooterChar"/>
    <w:rsid w:val="00903BC0"/>
    <w:pPr>
      <w:tabs>
        <w:tab w:val="center" w:pos="4320"/>
        <w:tab w:val="right" w:pos="8640"/>
      </w:tabs>
    </w:pPr>
    <w:rPr>
      <w:szCs w:val="20"/>
      <w:lang w:eastAsia="x-none"/>
    </w:rPr>
  </w:style>
  <w:style w:type="character" w:customStyle="1" w:styleId="FooterChar">
    <w:name w:val="Footer Char"/>
    <w:link w:val="Footer"/>
    <w:rsid w:val="00903BC0"/>
    <w:rPr>
      <w:rFonts w:ascii="Myriad Pro SemiCond" w:eastAsia="Times New Roman" w:hAnsi="Myriad Pro SemiCond" w:cs="Calibri"/>
      <w:lang w:val="en-GB" w:bidi="en-US"/>
    </w:rPr>
  </w:style>
  <w:style w:type="paragraph" w:styleId="Title">
    <w:name w:val="Title"/>
    <w:basedOn w:val="Normal"/>
    <w:next w:val="Normal"/>
    <w:link w:val="TitleChar"/>
    <w:qFormat/>
    <w:rsid w:val="00903BC0"/>
    <w:pPr>
      <w:pBdr>
        <w:bottom w:val="single" w:sz="8" w:space="4" w:color="808080"/>
      </w:pBdr>
      <w:spacing w:after="300" w:line="240" w:lineRule="auto"/>
    </w:pPr>
    <w:rPr>
      <w:caps/>
      <w:color w:val="17365D"/>
      <w:spacing w:val="5"/>
      <w:kern w:val="1"/>
      <w:sz w:val="52"/>
      <w:szCs w:val="52"/>
      <w:lang w:eastAsia="x-none"/>
    </w:rPr>
  </w:style>
  <w:style w:type="character" w:customStyle="1" w:styleId="TitleChar">
    <w:name w:val="Title Char"/>
    <w:link w:val="Title"/>
    <w:uiPriority w:val="10"/>
    <w:rsid w:val="00903BC0"/>
    <w:rPr>
      <w:rFonts w:ascii="Myriad Pro SemiCond" w:eastAsia="Times New Roman" w:hAnsi="Myriad Pro SemiCond" w:cs="Calibri"/>
      <w:caps/>
      <w:color w:val="17365D"/>
      <w:spacing w:val="5"/>
      <w:kern w:val="1"/>
      <w:sz w:val="52"/>
      <w:szCs w:val="52"/>
      <w:lang w:val="en-GB" w:bidi="en-US"/>
    </w:rPr>
  </w:style>
  <w:style w:type="paragraph" w:customStyle="1" w:styleId="MediumGrid21">
    <w:name w:val="Medium Grid 21"/>
    <w:link w:val="MediumGrid2Char"/>
    <w:uiPriority w:val="1"/>
    <w:qFormat/>
    <w:rsid w:val="00903BC0"/>
    <w:pPr>
      <w:widowControl w:val="0"/>
      <w:suppressAutoHyphens/>
    </w:pPr>
    <w:rPr>
      <w:rFonts w:eastAsia="Arial" w:cs="Calibri"/>
      <w:sz w:val="22"/>
      <w:szCs w:val="22"/>
      <w:lang w:val="en-US" w:eastAsia="en-US" w:bidi="en-US"/>
    </w:rPr>
  </w:style>
  <w:style w:type="paragraph" w:styleId="FootnoteText">
    <w:name w:val="footnote text"/>
    <w:basedOn w:val="Normal"/>
    <w:link w:val="FootnoteTextChar"/>
    <w:uiPriority w:val="99"/>
    <w:rsid w:val="00903BC0"/>
    <w:rPr>
      <w:szCs w:val="20"/>
      <w:lang w:eastAsia="x-none"/>
    </w:rPr>
  </w:style>
  <w:style w:type="character" w:customStyle="1" w:styleId="FootnoteTextChar">
    <w:name w:val="Footnote Text Char"/>
    <w:link w:val="FootnoteText"/>
    <w:uiPriority w:val="99"/>
    <w:rsid w:val="00903BC0"/>
    <w:rPr>
      <w:rFonts w:ascii="Myriad Pro SemiCond" w:eastAsia="Times New Roman" w:hAnsi="Myriad Pro SemiCond" w:cs="Calibri"/>
      <w:sz w:val="20"/>
      <w:szCs w:val="20"/>
      <w:lang w:val="en-GB" w:bidi="en-US"/>
    </w:rPr>
  </w:style>
  <w:style w:type="character" w:styleId="FootnoteReference">
    <w:name w:val="footnote reference"/>
    <w:uiPriority w:val="99"/>
    <w:semiHidden/>
    <w:rsid w:val="00903BC0"/>
    <w:rPr>
      <w:vertAlign w:val="superscript"/>
    </w:rPr>
  </w:style>
  <w:style w:type="character" w:styleId="CommentReference">
    <w:name w:val="annotation reference"/>
    <w:uiPriority w:val="99"/>
    <w:unhideWhenUsed/>
    <w:rsid w:val="002C09F0"/>
    <w:rPr>
      <w:sz w:val="16"/>
      <w:szCs w:val="16"/>
    </w:rPr>
  </w:style>
  <w:style w:type="paragraph" w:styleId="CommentText">
    <w:name w:val="annotation text"/>
    <w:basedOn w:val="Normal"/>
    <w:link w:val="CommentTextChar"/>
    <w:uiPriority w:val="99"/>
    <w:semiHidden/>
    <w:unhideWhenUsed/>
    <w:rsid w:val="002C09F0"/>
    <w:rPr>
      <w:szCs w:val="20"/>
    </w:rPr>
  </w:style>
  <w:style w:type="character" w:customStyle="1" w:styleId="CommentTextChar">
    <w:name w:val="Comment Text Char"/>
    <w:link w:val="CommentText"/>
    <w:uiPriority w:val="99"/>
    <w:semiHidden/>
    <w:rsid w:val="002C09F0"/>
    <w:rPr>
      <w:rFonts w:ascii="Myriad Pro SemiCond" w:eastAsia="Times New Roman" w:hAnsi="Myriad Pro SemiCond" w:cs="Calibri"/>
      <w:lang w:val="en-GB" w:eastAsia="en-US" w:bidi="en-US"/>
    </w:rPr>
  </w:style>
  <w:style w:type="paragraph" w:styleId="CommentSubject">
    <w:name w:val="annotation subject"/>
    <w:basedOn w:val="CommentText"/>
    <w:next w:val="CommentText"/>
    <w:link w:val="CommentSubjectChar"/>
    <w:uiPriority w:val="99"/>
    <w:semiHidden/>
    <w:unhideWhenUsed/>
    <w:rsid w:val="002C09F0"/>
    <w:rPr>
      <w:b/>
      <w:bCs/>
    </w:rPr>
  </w:style>
  <w:style w:type="character" w:customStyle="1" w:styleId="CommentSubjectChar">
    <w:name w:val="Comment Subject Char"/>
    <w:link w:val="CommentSubject"/>
    <w:uiPriority w:val="99"/>
    <w:semiHidden/>
    <w:rsid w:val="002C09F0"/>
    <w:rPr>
      <w:rFonts w:ascii="Myriad Pro SemiCond" w:eastAsia="Times New Roman" w:hAnsi="Myriad Pro SemiCond" w:cs="Calibri"/>
      <w:b/>
      <w:bCs/>
      <w:lang w:val="en-GB" w:eastAsia="en-US" w:bidi="en-US"/>
    </w:rPr>
  </w:style>
  <w:style w:type="paragraph" w:styleId="BalloonText">
    <w:name w:val="Balloon Text"/>
    <w:basedOn w:val="Normal"/>
    <w:link w:val="BalloonTextChar"/>
    <w:uiPriority w:val="99"/>
    <w:semiHidden/>
    <w:unhideWhenUsed/>
    <w:rsid w:val="002C09F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C09F0"/>
    <w:rPr>
      <w:rFonts w:ascii="Tahoma" w:eastAsia="Times New Roman" w:hAnsi="Tahoma" w:cs="Tahoma"/>
      <w:sz w:val="16"/>
      <w:szCs w:val="16"/>
      <w:lang w:val="en-GB" w:eastAsia="en-US" w:bidi="en-US"/>
    </w:rPr>
  </w:style>
  <w:style w:type="paragraph" w:styleId="Subtitle">
    <w:name w:val="Subtitle"/>
    <w:basedOn w:val="Normal"/>
    <w:next w:val="Normal"/>
    <w:link w:val="SubtitleChar"/>
    <w:uiPriority w:val="11"/>
    <w:qFormat/>
    <w:rsid w:val="007826DA"/>
    <w:rPr>
      <w:rFonts w:ascii="Myriad Pro Light SemiCond" w:hAnsi="Myriad Pro Light SemiCond"/>
      <w:color w:val="FFFFFF"/>
      <w:sz w:val="36"/>
      <w:szCs w:val="36"/>
    </w:rPr>
  </w:style>
  <w:style w:type="character" w:customStyle="1" w:styleId="SubtitleChar">
    <w:name w:val="Subtitle Char"/>
    <w:link w:val="Subtitle"/>
    <w:uiPriority w:val="11"/>
    <w:rsid w:val="007826DA"/>
    <w:rPr>
      <w:rFonts w:ascii="Myriad Pro Light SemiCond" w:eastAsia="Times New Roman" w:hAnsi="Myriad Pro Light SemiCond" w:cs="Calibri"/>
      <w:color w:val="FFFFFF"/>
      <w:sz w:val="36"/>
      <w:szCs w:val="36"/>
      <w:lang w:val="en-GB" w:eastAsia="en-US" w:bidi="en-US"/>
    </w:rPr>
  </w:style>
  <w:style w:type="paragraph" w:customStyle="1" w:styleId="Default">
    <w:name w:val="Default"/>
    <w:rsid w:val="003A3BAA"/>
    <w:pPr>
      <w:autoSpaceDE w:val="0"/>
      <w:autoSpaceDN w:val="0"/>
      <w:adjustRightInd w:val="0"/>
    </w:pPr>
    <w:rPr>
      <w:rFonts w:ascii="Myriad Pro SemiCond" w:hAnsi="Myriad Pro SemiCond" w:cs="Myriad Pro SemiCond"/>
      <w:color w:val="000000"/>
      <w:sz w:val="24"/>
      <w:szCs w:val="24"/>
      <w:lang w:val="nb-NO" w:eastAsia="nb-NO"/>
    </w:rPr>
  </w:style>
  <w:style w:type="paragraph" w:customStyle="1" w:styleId="Pa5">
    <w:name w:val="Pa5"/>
    <w:basedOn w:val="Default"/>
    <w:next w:val="Default"/>
    <w:uiPriority w:val="99"/>
    <w:rsid w:val="003A3BAA"/>
    <w:pPr>
      <w:spacing w:line="201" w:lineRule="atLeast"/>
    </w:pPr>
    <w:rPr>
      <w:rFonts w:cs="Times New Roman"/>
      <w:color w:val="auto"/>
    </w:rPr>
  </w:style>
  <w:style w:type="character" w:customStyle="1" w:styleId="A2">
    <w:name w:val="A2"/>
    <w:uiPriority w:val="99"/>
    <w:rsid w:val="00790E30"/>
    <w:rPr>
      <w:rFonts w:cs="Myriad Pro SemiCond"/>
      <w:color w:val="000000"/>
      <w:sz w:val="22"/>
      <w:szCs w:val="22"/>
    </w:rPr>
  </w:style>
  <w:style w:type="paragraph" w:customStyle="1" w:styleId="Pa7">
    <w:name w:val="Pa7"/>
    <w:basedOn w:val="Default"/>
    <w:next w:val="Default"/>
    <w:uiPriority w:val="99"/>
    <w:rsid w:val="00790E30"/>
    <w:pPr>
      <w:spacing w:line="201" w:lineRule="atLeast"/>
    </w:pPr>
    <w:rPr>
      <w:rFonts w:cs="Times New Roman"/>
      <w:color w:val="auto"/>
    </w:rPr>
  </w:style>
  <w:style w:type="table" w:styleId="LightList-Accent2">
    <w:name w:val="Light List Accent 2"/>
    <w:basedOn w:val="TableNormal"/>
    <w:uiPriority w:val="66"/>
    <w:rsid w:val="001E0D4F"/>
    <w:rPr>
      <w:rFonts w:ascii="Cambria" w:eastAsia="MS Gothic" w:hAnsi="Cambria"/>
      <w:color w:val="000000"/>
      <w:sz w:val="22"/>
      <w:szCs w:val="22"/>
      <w:lang w:val="en-US" w:eastAsia="ja-JP"/>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eGrid">
    <w:name w:val="Table Grid"/>
    <w:basedOn w:val="TableNormal"/>
    <w:uiPriority w:val="59"/>
    <w:rsid w:val="001E0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
    <w:name w:val="Medium Grid 3"/>
    <w:basedOn w:val="TableNormal"/>
    <w:uiPriority w:val="60"/>
    <w:rsid w:val="001E0D4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ColorfulShading-Accent5">
    <w:name w:val="Colorful Shading Accent 5"/>
    <w:basedOn w:val="TableNormal"/>
    <w:uiPriority w:val="62"/>
    <w:rsid w:val="00954D8A"/>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Wingdings" w:eastAsia="Times New Roman" w:hAnsi="Wingdings"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Wingdings" w:eastAsia="Times New Roman" w:hAnsi="Wingding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MediumGrid2Char">
    <w:name w:val="Medium Grid 2 Char"/>
    <w:link w:val="MediumGrid21"/>
    <w:uiPriority w:val="1"/>
    <w:rsid w:val="00DE3964"/>
    <w:rPr>
      <w:rFonts w:eastAsia="Arial" w:cs="Calibri"/>
      <w:sz w:val="22"/>
      <w:szCs w:val="22"/>
      <w:lang w:val="en-US" w:eastAsia="en-US" w:bidi="en-US"/>
    </w:rPr>
  </w:style>
  <w:style w:type="table" w:customStyle="1" w:styleId="TableGrid1">
    <w:name w:val="Table Grid1"/>
    <w:basedOn w:val="TableNormal"/>
    <w:next w:val="TableGrid"/>
    <w:uiPriority w:val="59"/>
    <w:rsid w:val="006C752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CA4143"/>
    <w:pPr>
      <w:widowControl/>
      <w:suppressAutoHyphens w:val="0"/>
      <w:ind w:left="720"/>
      <w:contextualSpacing/>
    </w:pPr>
    <w:rPr>
      <w:rFonts w:eastAsia="Calibri" w:cs="Times New Roman"/>
      <w:lang w:bidi="ar-SA"/>
    </w:rPr>
  </w:style>
  <w:style w:type="paragraph" w:customStyle="1" w:styleId="ColorfulShading-Accent11">
    <w:name w:val="Colorful Shading - Accent 11"/>
    <w:hidden/>
    <w:uiPriority w:val="99"/>
    <w:semiHidden/>
    <w:rsid w:val="00B1317D"/>
    <w:rPr>
      <w:rFonts w:ascii="Myriad Pro SemiCond" w:eastAsia="Times New Roman" w:hAnsi="Myriad Pro SemiCond" w:cs="Calibri"/>
      <w:szCs w:val="22"/>
      <w:lang w:val="en-GB" w:eastAsia="en-US" w:bidi="en-US"/>
    </w:rPr>
  </w:style>
  <w:style w:type="paragraph" w:styleId="TOCHeading">
    <w:name w:val="TOC Heading"/>
    <w:basedOn w:val="Heading1"/>
    <w:next w:val="Normal"/>
    <w:uiPriority w:val="39"/>
    <w:unhideWhenUsed/>
    <w:qFormat/>
    <w:rsid w:val="00B80C16"/>
    <w:pPr>
      <w:widowControl/>
      <w:numPr>
        <w:numId w:val="0"/>
      </w:numPr>
      <w:suppressAutoHyphens w:val="0"/>
      <w:outlineLvl w:val="9"/>
    </w:pPr>
    <w:rPr>
      <w:rFonts w:ascii="Cambria" w:eastAsia="MS Gothic" w:hAnsi="Cambria" w:cs="Times New Roman"/>
      <w:lang w:val="en-US" w:eastAsia="ja-JP" w:bidi="ar-SA"/>
    </w:rPr>
  </w:style>
  <w:style w:type="paragraph" w:styleId="TOC1">
    <w:name w:val="toc 1"/>
    <w:basedOn w:val="Normal"/>
    <w:next w:val="Normal"/>
    <w:autoRedefine/>
    <w:uiPriority w:val="39"/>
    <w:unhideWhenUsed/>
    <w:rsid w:val="00B80C16"/>
  </w:style>
  <w:style w:type="character" w:customStyle="1" w:styleId="Heading2Char">
    <w:name w:val="Heading 2 Char"/>
    <w:link w:val="Heading2"/>
    <w:uiPriority w:val="9"/>
    <w:rsid w:val="00B80C16"/>
    <w:rPr>
      <w:rFonts w:ascii="Myriad Pro" w:eastAsia="Times New Roman" w:hAnsi="Myriad Pro" w:cs="Times New Roman"/>
      <w:b/>
      <w:bCs/>
      <w:iCs/>
      <w:color w:val="548DD4"/>
      <w:sz w:val="32"/>
      <w:szCs w:val="28"/>
      <w:lang w:val="en-GB" w:bidi="en-US"/>
    </w:rPr>
  </w:style>
  <w:style w:type="paragraph" w:styleId="TOC2">
    <w:name w:val="toc 2"/>
    <w:basedOn w:val="Normal"/>
    <w:next w:val="Normal"/>
    <w:autoRedefine/>
    <w:uiPriority w:val="39"/>
    <w:unhideWhenUsed/>
    <w:rsid w:val="00B80C16"/>
    <w:pPr>
      <w:ind w:left="200"/>
    </w:pPr>
  </w:style>
  <w:style w:type="paragraph" w:styleId="NormalWeb">
    <w:name w:val="Normal (Web)"/>
    <w:basedOn w:val="Normal"/>
    <w:uiPriority w:val="99"/>
    <w:semiHidden/>
    <w:unhideWhenUsed/>
    <w:rsid w:val="00D15A74"/>
    <w:pPr>
      <w:widowControl/>
      <w:suppressAutoHyphens w:val="0"/>
      <w:spacing w:before="100" w:beforeAutospacing="1" w:after="100" w:afterAutospacing="1" w:line="240" w:lineRule="auto"/>
    </w:pPr>
    <w:rPr>
      <w:rFonts w:ascii="Times New Roman" w:hAnsi="Times New Roman" w:cs="Times New Roman"/>
      <w:sz w:val="24"/>
      <w:szCs w:val="24"/>
      <w:lang w:bidi="ar-SA"/>
    </w:rPr>
  </w:style>
  <w:style w:type="character" w:styleId="FollowedHyperlink">
    <w:name w:val="FollowedHyperlink"/>
    <w:uiPriority w:val="99"/>
    <w:semiHidden/>
    <w:unhideWhenUsed/>
    <w:rsid w:val="00AB0798"/>
    <w:rPr>
      <w:color w:val="954F72"/>
      <w:u w:val="single"/>
    </w:rPr>
  </w:style>
  <w:style w:type="paragraph" w:styleId="Revision">
    <w:name w:val="Revision"/>
    <w:hidden/>
    <w:uiPriority w:val="99"/>
    <w:semiHidden/>
    <w:rsid w:val="00D129EC"/>
    <w:rPr>
      <w:rFonts w:eastAsia="Times New Roman" w:cs="Calibri"/>
      <w:sz w:val="22"/>
      <w:szCs w:val="22"/>
      <w:lang w:val="en-GB" w:eastAsia="en-GB" w:bidi="en-US"/>
    </w:rPr>
  </w:style>
  <w:style w:type="character" w:customStyle="1" w:styleId="HeaderChar1">
    <w:name w:val="Header Char1"/>
    <w:uiPriority w:val="99"/>
    <w:rsid w:val="009352B3"/>
    <w:rPr>
      <w:rFonts w:ascii="Myriad Pro SemiCond" w:hAnsi="Myriad Pro SemiCond" w:cs="Calibri"/>
      <w:sz w:val="22"/>
      <w:szCs w:val="22"/>
    </w:rPr>
  </w:style>
  <w:style w:type="table" w:customStyle="1" w:styleId="TableGrid2">
    <w:name w:val="Table Grid2"/>
    <w:basedOn w:val="TableNormal"/>
    <w:next w:val="TableGrid"/>
    <w:uiPriority w:val="59"/>
    <w:rsid w:val="009F0995"/>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404F59"/>
    <w:pPr>
      <w:ind w:left="720"/>
    </w:pPr>
  </w:style>
  <w:style w:type="paragraph" w:customStyle="1" w:styleId="Boxedtextfront">
    <w:name w:val="Boxed text front"/>
    <w:basedOn w:val="Normal"/>
    <w:next w:val="Normal"/>
    <w:qFormat/>
    <w:rsid w:val="00976EB1"/>
    <w:pPr>
      <w:spacing w:after="240" w:line="264" w:lineRule="auto"/>
      <w:ind w:left="57" w:right="57"/>
      <w:jc w:val="both"/>
      <w:outlineLvl w:val="0"/>
    </w:pPr>
    <w:rPr>
      <w:rFonts w:eastAsia="Arial"/>
      <w:lang w:val="en-US" w:eastAsia="en-US"/>
    </w:rPr>
  </w:style>
  <w:style w:type="paragraph" w:customStyle="1" w:styleId="Titletitlepage">
    <w:name w:val="Title titlepage"/>
    <w:basedOn w:val="Normal"/>
    <w:qFormat/>
    <w:rsid w:val="00976EB1"/>
    <w:pPr>
      <w:spacing w:after="360" w:line="264" w:lineRule="auto"/>
    </w:pPr>
    <w:rPr>
      <w:rFonts w:asciiTheme="majorHAnsi" w:hAnsiTheme="majorHAnsi"/>
      <w:sz w:val="80"/>
      <w:lang w:eastAsia="en-US" w:bidi="ar-SA"/>
    </w:rPr>
  </w:style>
  <w:style w:type="character" w:customStyle="1" w:styleId="TitleChar1">
    <w:name w:val="Title Char1"/>
    <w:basedOn w:val="DefaultParagraphFont"/>
    <w:uiPriority w:val="10"/>
    <w:rsid w:val="00976EB1"/>
    <w:rPr>
      <w:rFonts w:ascii="Myriad Pro SemiCond" w:hAnsi="Myriad Pro SemiCond" w:cs="Calibri"/>
      <w:caps/>
      <w:color w:val="17365D"/>
      <w:spacing w:val="5"/>
      <w:kern w:val="1"/>
      <w:sz w:val="52"/>
      <w:szCs w:val="52"/>
    </w:rPr>
  </w:style>
  <w:style w:type="character" w:customStyle="1" w:styleId="Heading3Char">
    <w:name w:val="Heading 3 Char"/>
    <w:basedOn w:val="DefaultParagraphFont"/>
    <w:link w:val="Heading3"/>
    <w:uiPriority w:val="99"/>
    <w:rsid w:val="00976EB1"/>
    <w:rPr>
      <w:rFonts w:asciiTheme="majorHAnsi" w:eastAsiaTheme="majorEastAsia" w:hAnsiTheme="majorHAnsi" w:cstheme="majorBidi"/>
      <w:color w:val="1F4D78" w:themeColor="accent1" w:themeShade="7F"/>
      <w:sz w:val="24"/>
      <w:szCs w:val="24"/>
      <w:lang w:val="en-GB" w:eastAsia="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30571">
      <w:bodyDiv w:val="1"/>
      <w:marLeft w:val="0"/>
      <w:marRight w:val="0"/>
      <w:marTop w:val="0"/>
      <w:marBottom w:val="0"/>
      <w:divBdr>
        <w:top w:val="none" w:sz="0" w:space="0" w:color="auto"/>
        <w:left w:val="none" w:sz="0" w:space="0" w:color="auto"/>
        <w:bottom w:val="none" w:sz="0" w:space="0" w:color="auto"/>
        <w:right w:val="none" w:sz="0" w:space="0" w:color="auto"/>
      </w:divBdr>
    </w:div>
    <w:div w:id="122358222">
      <w:bodyDiv w:val="1"/>
      <w:marLeft w:val="0"/>
      <w:marRight w:val="0"/>
      <w:marTop w:val="0"/>
      <w:marBottom w:val="0"/>
      <w:divBdr>
        <w:top w:val="none" w:sz="0" w:space="0" w:color="auto"/>
        <w:left w:val="none" w:sz="0" w:space="0" w:color="auto"/>
        <w:bottom w:val="none" w:sz="0" w:space="0" w:color="auto"/>
        <w:right w:val="none" w:sz="0" w:space="0" w:color="auto"/>
      </w:divBdr>
    </w:div>
    <w:div w:id="236137054">
      <w:bodyDiv w:val="1"/>
      <w:marLeft w:val="0"/>
      <w:marRight w:val="0"/>
      <w:marTop w:val="0"/>
      <w:marBottom w:val="0"/>
      <w:divBdr>
        <w:top w:val="none" w:sz="0" w:space="0" w:color="auto"/>
        <w:left w:val="none" w:sz="0" w:space="0" w:color="auto"/>
        <w:bottom w:val="none" w:sz="0" w:space="0" w:color="auto"/>
        <w:right w:val="none" w:sz="0" w:space="0" w:color="auto"/>
      </w:divBdr>
    </w:div>
    <w:div w:id="259021702">
      <w:bodyDiv w:val="1"/>
      <w:marLeft w:val="0"/>
      <w:marRight w:val="0"/>
      <w:marTop w:val="0"/>
      <w:marBottom w:val="0"/>
      <w:divBdr>
        <w:top w:val="none" w:sz="0" w:space="0" w:color="auto"/>
        <w:left w:val="none" w:sz="0" w:space="0" w:color="auto"/>
        <w:bottom w:val="none" w:sz="0" w:space="0" w:color="auto"/>
        <w:right w:val="none" w:sz="0" w:space="0" w:color="auto"/>
      </w:divBdr>
    </w:div>
    <w:div w:id="361135369">
      <w:bodyDiv w:val="1"/>
      <w:marLeft w:val="0"/>
      <w:marRight w:val="0"/>
      <w:marTop w:val="0"/>
      <w:marBottom w:val="0"/>
      <w:divBdr>
        <w:top w:val="none" w:sz="0" w:space="0" w:color="auto"/>
        <w:left w:val="none" w:sz="0" w:space="0" w:color="auto"/>
        <w:bottom w:val="none" w:sz="0" w:space="0" w:color="auto"/>
        <w:right w:val="none" w:sz="0" w:space="0" w:color="auto"/>
      </w:divBdr>
    </w:div>
    <w:div w:id="449863974">
      <w:bodyDiv w:val="1"/>
      <w:marLeft w:val="0"/>
      <w:marRight w:val="0"/>
      <w:marTop w:val="0"/>
      <w:marBottom w:val="0"/>
      <w:divBdr>
        <w:top w:val="none" w:sz="0" w:space="0" w:color="auto"/>
        <w:left w:val="none" w:sz="0" w:space="0" w:color="auto"/>
        <w:bottom w:val="none" w:sz="0" w:space="0" w:color="auto"/>
        <w:right w:val="none" w:sz="0" w:space="0" w:color="auto"/>
      </w:divBdr>
    </w:div>
    <w:div w:id="480659621">
      <w:bodyDiv w:val="1"/>
      <w:marLeft w:val="0"/>
      <w:marRight w:val="0"/>
      <w:marTop w:val="0"/>
      <w:marBottom w:val="0"/>
      <w:divBdr>
        <w:top w:val="none" w:sz="0" w:space="0" w:color="auto"/>
        <w:left w:val="none" w:sz="0" w:space="0" w:color="auto"/>
        <w:bottom w:val="none" w:sz="0" w:space="0" w:color="auto"/>
        <w:right w:val="none" w:sz="0" w:space="0" w:color="auto"/>
      </w:divBdr>
    </w:div>
    <w:div w:id="516893944">
      <w:bodyDiv w:val="1"/>
      <w:marLeft w:val="0"/>
      <w:marRight w:val="0"/>
      <w:marTop w:val="0"/>
      <w:marBottom w:val="0"/>
      <w:divBdr>
        <w:top w:val="none" w:sz="0" w:space="0" w:color="auto"/>
        <w:left w:val="none" w:sz="0" w:space="0" w:color="auto"/>
        <w:bottom w:val="none" w:sz="0" w:space="0" w:color="auto"/>
        <w:right w:val="none" w:sz="0" w:space="0" w:color="auto"/>
      </w:divBdr>
    </w:div>
    <w:div w:id="534924735">
      <w:bodyDiv w:val="1"/>
      <w:marLeft w:val="0"/>
      <w:marRight w:val="0"/>
      <w:marTop w:val="0"/>
      <w:marBottom w:val="0"/>
      <w:divBdr>
        <w:top w:val="none" w:sz="0" w:space="0" w:color="auto"/>
        <w:left w:val="none" w:sz="0" w:space="0" w:color="auto"/>
        <w:bottom w:val="none" w:sz="0" w:space="0" w:color="auto"/>
        <w:right w:val="none" w:sz="0" w:space="0" w:color="auto"/>
      </w:divBdr>
    </w:div>
    <w:div w:id="547373209">
      <w:bodyDiv w:val="1"/>
      <w:marLeft w:val="0"/>
      <w:marRight w:val="0"/>
      <w:marTop w:val="0"/>
      <w:marBottom w:val="0"/>
      <w:divBdr>
        <w:top w:val="none" w:sz="0" w:space="0" w:color="auto"/>
        <w:left w:val="none" w:sz="0" w:space="0" w:color="auto"/>
        <w:bottom w:val="none" w:sz="0" w:space="0" w:color="auto"/>
        <w:right w:val="none" w:sz="0" w:space="0" w:color="auto"/>
      </w:divBdr>
    </w:div>
    <w:div w:id="608437270">
      <w:bodyDiv w:val="1"/>
      <w:marLeft w:val="0"/>
      <w:marRight w:val="0"/>
      <w:marTop w:val="0"/>
      <w:marBottom w:val="0"/>
      <w:divBdr>
        <w:top w:val="none" w:sz="0" w:space="0" w:color="auto"/>
        <w:left w:val="none" w:sz="0" w:space="0" w:color="auto"/>
        <w:bottom w:val="none" w:sz="0" w:space="0" w:color="auto"/>
        <w:right w:val="none" w:sz="0" w:space="0" w:color="auto"/>
      </w:divBdr>
    </w:div>
    <w:div w:id="620578808">
      <w:bodyDiv w:val="1"/>
      <w:marLeft w:val="0"/>
      <w:marRight w:val="0"/>
      <w:marTop w:val="0"/>
      <w:marBottom w:val="0"/>
      <w:divBdr>
        <w:top w:val="none" w:sz="0" w:space="0" w:color="auto"/>
        <w:left w:val="none" w:sz="0" w:space="0" w:color="auto"/>
        <w:bottom w:val="none" w:sz="0" w:space="0" w:color="auto"/>
        <w:right w:val="none" w:sz="0" w:space="0" w:color="auto"/>
      </w:divBdr>
    </w:div>
    <w:div w:id="982465956">
      <w:bodyDiv w:val="1"/>
      <w:marLeft w:val="0"/>
      <w:marRight w:val="0"/>
      <w:marTop w:val="0"/>
      <w:marBottom w:val="0"/>
      <w:divBdr>
        <w:top w:val="none" w:sz="0" w:space="0" w:color="auto"/>
        <w:left w:val="none" w:sz="0" w:space="0" w:color="auto"/>
        <w:bottom w:val="none" w:sz="0" w:space="0" w:color="auto"/>
        <w:right w:val="none" w:sz="0" w:space="0" w:color="auto"/>
      </w:divBdr>
    </w:div>
    <w:div w:id="988486754">
      <w:bodyDiv w:val="1"/>
      <w:marLeft w:val="0"/>
      <w:marRight w:val="0"/>
      <w:marTop w:val="0"/>
      <w:marBottom w:val="0"/>
      <w:divBdr>
        <w:top w:val="none" w:sz="0" w:space="0" w:color="auto"/>
        <w:left w:val="none" w:sz="0" w:space="0" w:color="auto"/>
        <w:bottom w:val="none" w:sz="0" w:space="0" w:color="auto"/>
        <w:right w:val="none" w:sz="0" w:space="0" w:color="auto"/>
      </w:divBdr>
    </w:div>
    <w:div w:id="1020816923">
      <w:bodyDiv w:val="1"/>
      <w:marLeft w:val="0"/>
      <w:marRight w:val="0"/>
      <w:marTop w:val="0"/>
      <w:marBottom w:val="0"/>
      <w:divBdr>
        <w:top w:val="none" w:sz="0" w:space="0" w:color="auto"/>
        <w:left w:val="none" w:sz="0" w:space="0" w:color="auto"/>
        <w:bottom w:val="none" w:sz="0" w:space="0" w:color="auto"/>
        <w:right w:val="none" w:sz="0" w:space="0" w:color="auto"/>
      </w:divBdr>
    </w:div>
    <w:div w:id="1066028052">
      <w:bodyDiv w:val="1"/>
      <w:marLeft w:val="0"/>
      <w:marRight w:val="0"/>
      <w:marTop w:val="0"/>
      <w:marBottom w:val="0"/>
      <w:divBdr>
        <w:top w:val="none" w:sz="0" w:space="0" w:color="auto"/>
        <w:left w:val="none" w:sz="0" w:space="0" w:color="auto"/>
        <w:bottom w:val="none" w:sz="0" w:space="0" w:color="auto"/>
        <w:right w:val="none" w:sz="0" w:space="0" w:color="auto"/>
      </w:divBdr>
    </w:div>
    <w:div w:id="1109156937">
      <w:bodyDiv w:val="1"/>
      <w:marLeft w:val="0"/>
      <w:marRight w:val="0"/>
      <w:marTop w:val="0"/>
      <w:marBottom w:val="0"/>
      <w:divBdr>
        <w:top w:val="none" w:sz="0" w:space="0" w:color="auto"/>
        <w:left w:val="none" w:sz="0" w:space="0" w:color="auto"/>
        <w:bottom w:val="none" w:sz="0" w:space="0" w:color="auto"/>
        <w:right w:val="none" w:sz="0" w:space="0" w:color="auto"/>
      </w:divBdr>
    </w:div>
    <w:div w:id="1142385401">
      <w:bodyDiv w:val="1"/>
      <w:marLeft w:val="0"/>
      <w:marRight w:val="0"/>
      <w:marTop w:val="0"/>
      <w:marBottom w:val="0"/>
      <w:divBdr>
        <w:top w:val="none" w:sz="0" w:space="0" w:color="auto"/>
        <w:left w:val="none" w:sz="0" w:space="0" w:color="auto"/>
        <w:bottom w:val="none" w:sz="0" w:space="0" w:color="auto"/>
        <w:right w:val="none" w:sz="0" w:space="0" w:color="auto"/>
      </w:divBdr>
    </w:div>
    <w:div w:id="1204102686">
      <w:bodyDiv w:val="1"/>
      <w:marLeft w:val="0"/>
      <w:marRight w:val="0"/>
      <w:marTop w:val="0"/>
      <w:marBottom w:val="0"/>
      <w:divBdr>
        <w:top w:val="none" w:sz="0" w:space="0" w:color="auto"/>
        <w:left w:val="none" w:sz="0" w:space="0" w:color="auto"/>
        <w:bottom w:val="none" w:sz="0" w:space="0" w:color="auto"/>
        <w:right w:val="none" w:sz="0" w:space="0" w:color="auto"/>
      </w:divBdr>
    </w:div>
    <w:div w:id="1207524754">
      <w:bodyDiv w:val="1"/>
      <w:marLeft w:val="0"/>
      <w:marRight w:val="0"/>
      <w:marTop w:val="0"/>
      <w:marBottom w:val="0"/>
      <w:divBdr>
        <w:top w:val="none" w:sz="0" w:space="0" w:color="auto"/>
        <w:left w:val="none" w:sz="0" w:space="0" w:color="auto"/>
        <w:bottom w:val="none" w:sz="0" w:space="0" w:color="auto"/>
        <w:right w:val="none" w:sz="0" w:space="0" w:color="auto"/>
      </w:divBdr>
    </w:div>
    <w:div w:id="1304507972">
      <w:bodyDiv w:val="1"/>
      <w:marLeft w:val="0"/>
      <w:marRight w:val="0"/>
      <w:marTop w:val="0"/>
      <w:marBottom w:val="0"/>
      <w:divBdr>
        <w:top w:val="none" w:sz="0" w:space="0" w:color="auto"/>
        <w:left w:val="none" w:sz="0" w:space="0" w:color="auto"/>
        <w:bottom w:val="none" w:sz="0" w:space="0" w:color="auto"/>
        <w:right w:val="none" w:sz="0" w:space="0" w:color="auto"/>
      </w:divBdr>
    </w:div>
    <w:div w:id="1311130837">
      <w:bodyDiv w:val="1"/>
      <w:marLeft w:val="0"/>
      <w:marRight w:val="0"/>
      <w:marTop w:val="0"/>
      <w:marBottom w:val="0"/>
      <w:divBdr>
        <w:top w:val="none" w:sz="0" w:space="0" w:color="auto"/>
        <w:left w:val="none" w:sz="0" w:space="0" w:color="auto"/>
        <w:bottom w:val="none" w:sz="0" w:space="0" w:color="auto"/>
        <w:right w:val="none" w:sz="0" w:space="0" w:color="auto"/>
      </w:divBdr>
    </w:div>
    <w:div w:id="1317297118">
      <w:bodyDiv w:val="1"/>
      <w:marLeft w:val="0"/>
      <w:marRight w:val="0"/>
      <w:marTop w:val="0"/>
      <w:marBottom w:val="0"/>
      <w:divBdr>
        <w:top w:val="none" w:sz="0" w:space="0" w:color="auto"/>
        <w:left w:val="none" w:sz="0" w:space="0" w:color="auto"/>
        <w:bottom w:val="none" w:sz="0" w:space="0" w:color="auto"/>
        <w:right w:val="none" w:sz="0" w:space="0" w:color="auto"/>
      </w:divBdr>
    </w:div>
    <w:div w:id="1617906280">
      <w:bodyDiv w:val="1"/>
      <w:marLeft w:val="0"/>
      <w:marRight w:val="0"/>
      <w:marTop w:val="0"/>
      <w:marBottom w:val="0"/>
      <w:divBdr>
        <w:top w:val="none" w:sz="0" w:space="0" w:color="auto"/>
        <w:left w:val="none" w:sz="0" w:space="0" w:color="auto"/>
        <w:bottom w:val="none" w:sz="0" w:space="0" w:color="auto"/>
        <w:right w:val="none" w:sz="0" w:space="0" w:color="auto"/>
      </w:divBdr>
    </w:div>
    <w:div w:id="1750035878">
      <w:bodyDiv w:val="1"/>
      <w:marLeft w:val="0"/>
      <w:marRight w:val="0"/>
      <w:marTop w:val="0"/>
      <w:marBottom w:val="0"/>
      <w:divBdr>
        <w:top w:val="none" w:sz="0" w:space="0" w:color="auto"/>
        <w:left w:val="none" w:sz="0" w:space="0" w:color="auto"/>
        <w:bottom w:val="none" w:sz="0" w:space="0" w:color="auto"/>
        <w:right w:val="none" w:sz="0" w:space="0" w:color="auto"/>
      </w:divBdr>
    </w:div>
    <w:div w:id="1904173912">
      <w:bodyDiv w:val="1"/>
      <w:marLeft w:val="0"/>
      <w:marRight w:val="0"/>
      <w:marTop w:val="0"/>
      <w:marBottom w:val="0"/>
      <w:divBdr>
        <w:top w:val="none" w:sz="0" w:space="0" w:color="auto"/>
        <w:left w:val="none" w:sz="0" w:space="0" w:color="auto"/>
        <w:bottom w:val="none" w:sz="0" w:space="0" w:color="auto"/>
        <w:right w:val="none" w:sz="0" w:space="0" w:color="auto"/>
      </w:divBdr>
      <w:divsChild>
        <w:div w:id="864251">
          <w:marLeft w:val="0"/>
          <w:marRight w:val="0"/>
          <w:marTop w:val="0"/>
          <w:marBottom w:val="0"/>
          <w:divBdr>
            <w:top w:val="none" w:sz="0" w:space="0" w:color="auto"/>
            <w:left w:val="none" w:sz="0" w:space="0" w:color="auto"/>
            <w:bottom w:val="none" w:sz="0" w:space="0" w:color="auto"/>
            <w:right w:val="none" w:sz="0" w:space="0" w:color="auto"/>
          </w:divBdr>
        </w:div>
        <w:div w:id="27024743">
          <w:marLeft w:val="0"/>
          <w:marRight w:val="0"/>
          <w:marTop w:val="0"/>
          <w:marBottom w:val="0"/>
          <w:divBdr>
            <w:top w:val="none" w:sz="0" w:space="0" w:color="auto"/>
            <w:left w:val="none" w:sz="0" w:space="0" w:color="auto"/>
            <w:bottom w:val="none" w:sz="0" w:space="0" w:color="auto"/>
            <w:right w:val="none" w:sz="0" w:space="0" w:color="auto"/>
          </w:divBdr>
        </w:div>
        <w:div w:id="35669083">
          <w:marLeft w:val="0"/>
          <w:marRight w:val="0"/>
          <w:marTop w:val="0"/>
          <w:marBottom w:val="0"/>
          <w:divBdr>
            <w:top w:val="none" w:sz="0" w:space="0" w:color="auto"/>
            <w:left w:val="none" w:sz="0" w:space="0" w:color="auto"/>
            <w:bottom w:val="none" w:sz="0" w:space="0" w:color="auto"/>
            <w:right w:val="none" w:sz="0" w:space="0" w:color="auto"/>
          </w:divBdr>
        </w:div>
        <w:div w:id="49306289">
          <w:marLeft w:val="0"/>
          <w:marRight w:val="0"/>
          <w:marTop w:val="0"/>
          <w:marBottom w:val="0"/>
          <w:divBdr>
            <w:top w:val="none" w:sz="0" w:space="0" w:color="auto"/>
            <w:left w:val="none" w:sz="0" w:space="0" w:color="auto"/>
            <w:bottom w:val="none" w:sz="0" w:space="0" w:color="auto"/>
            <w:right w:val="none" w:sz="0" w:space="0" w:color="auto"/>
          </w:divBdr>
        </w:div>
        <w:div w:id="74787231">
          <w:marLeft w:val="0"/>
          <w:marRight w:val="0"/>
          <w:marTop w:val="0"/>
          <w:marBottom w:val="0"/>
          <w:divBdr>
            <w:top w:val="none" w:sz="0" w:space="0" w:color="auto"/>
            <w:left w:val="none" w:sz="0" w:space="0" w:color="auto"/>
            <w:bottom w:val="none" w:sz="0" w:space="0" w:color="auto"/>
            <w:right w:val="none" w:sz="0" w:space="0" w:color="auto"/>
          </w:divBdr>
        </w:div>
        <w:div w:id="81143638">
          <w:marLeft w:val="0"/>
          <w:marRight w:val="0"/>
          <w:marTop w:val="0"/>
          <w:marBottom w:val="0"/>
          <w:divBdr>
            <w:top w:val="none" w:sz="0" w:space="0" w:color="auto"/>
            <w:left w:val="none" w:sz="0" w:space="0" w:color="auto"/>
            <w:bottom w:val="none" w:sz="0" w:space="0" w:color="auto"/>
            <w:right w:val="none" w:sz="0" w:space="0" w:color="auto"/>
          </w:divBdr>
        </w:div>
        <w:div w:id="94715368">
          <w:marLeft w:val="0"/>
          <w:marRight w:val="0"/>
          <w:marTop w:val="0"/>
          <w:marBottom w:val="0"/>
          <w:divBdr>
            <w:top w:val="none" w:sz="0" w:space="0" w:color="auto"/>
            <w:left w:val="none" w:sz="0" w:space="0" w:color="auto"/>
            <w:bottom w:val="none" w:sz="0" w:space="0" w:color="auto"/>
            <w:right w:val="none" w:sz="0" w:space="0" w:color="auto"/>
          </w:divBdr>
        </w:div>
        <w:div w:id="109398802">
          <w:marLeft w:val="0"/>
          <w:marRight w:val="0"/>
          <w:marTop w:val="0"/>
          <w:marBottom w:val="0"/>
          <w:divBdr>
            <w:top w:val="none" w:sz="0" w:space="0" w:color="auto"/>
            <w:left w:val="none" w:sz="0" w:space="0" w:color="auto"/>
            <w:bottom w:val="none" w:sz="0" w:space="0" w:color="auto"/>
            <w:right w:val="none" w:sz="0" w:space="0" w:color="auto"/>
          </w:divBdr>
        </w:div>
        <w:div w:id="121307696">
          <w:marLeft w:val="0"/>
          <w:marRight w:val="0"/>
          <w:marTop w:val="0"/>
          <w:marBottom w:val="0"/>
          <w:divBdr>
            <w:top w:val="none" w:sz="0" w:space="0" w:color="auto"/>
            <w:left w:val="none" w:sz="0" w:space="0" w:color="auto"/>
            <w:bottom w:val="none" w:sz="0" w:space="0" w:color="auto"/>
            <w:right w:val="none" w:sz="0" w:space="0" w:color="auto"/>
          </w:divBdr>
        </w:div>
        <w:div w:id="163933695">
          <w:marLeft w:val="0"/>
          <w:marRight w:val="0"/>
          <w:marTop w:val="0"/>
          <w:marBottom w:val="0"/>
          <w:divBdr>
            <w:top w:val="none" w:sz="0" w:space="0" w:color="auto"/>
            <w:left w:val="none" w:sz="0" w:space="0" w:color="auto"/>
            <w:bottom w:val="none" w:sz="0" w:space="0" w:color="auto"/>
            <w:right w:val="none" w:sz="0" w:space="0" w:color="auto"/>
          </w:divBdr>
        </w:div>
        <w:div w:id="187837565">
          <w:marLeft w:val="0"/>
          <w:marRight w:val="0"/>
          <w:marTop w:val="0"/>
          <w:marBottom w:val="0"/>
          <w:divBdr>
            <w:top w:val="none" w:sz="0" w:space="0" w:color="auto"/>
            <w:left w:val="none" w:sz="0" w:space="0" w:color="auto"/>
            <w:bottom w:val="none" w:sz="0" w:space="0" w:color="auto"/>
            <w:right w:val="none" w:sz="0" w:space="0" w:color="auto"/>
          </w:divBdr>
        </w:div>
        <w:div w:id="188613822">
          <w:marLeft w:val="0"/>
          <w:marRight w:val="0"/>
          <w:marTop w:val="0"/>
          <w:marBottom w:val="0"/>
          <w:divBdr>
            <w:top w:val="none" w:sz="0" w:space="0" w:color="auto"/>
            <w:left w:val="none" w:sz="0" w:space="0" w:color="auto"/>
            <w:bottom w:val="none" w:sz="0" w:space="0" w:color="auto"/>
            <w:right w:val="none" w:sz="0" w:space="0" w:color="auto"/>
          </w:divBdr>
        </w:div>
        <w:div w:id="210655147">
          <w:marLeft w:val="0"/>
          <w:marRight w:val="0"/>
          <w:marTop w:val="0"/>
          <w:marBottom w:val="0"/>
          <w:divBdr>
            <w:top w:val="none" w:sz="0" w:space="0" w:color="auto"/>
            <w:left w:val="none" w:sz="0" w:space="0" w:color="auto"/>
            <w:bottom w:val="none" w:sz="0" w:space="0" w:color="auto"/>
            <w:right w:val="none" w:sz="0" w:space="0" w:color="auto"/>
          </w:divBdr>
        </w:div>
        <w:div w:id="232205382">
          <w:marLeft w:val="0"/>
          <w:marRight w:val="0"/>
          <w:marTop w:val="0"/>
          <w:marBottom w:val="0"/>
          <w:divBdr>
            <w:top w:val="none" w:sz="0" w:space="0" w:color="auto"/>
            <w:left w:val="none" w:sz="0" w:space="0" w:color="auto"/>
            <w:bottom w:val="none" w:sz="0" w:space="0" w:color="auto"/>
            <w:right w:val="none" w:sz="0" w:space="0" w:color="auto"/>
          </w:divBdr>
        </w:div>
        <w:div w:id="327446614">
          <w:marLeft w:val="0"/>
          <w:marRight w:val="0"/>
          <w:marTop w:val="0"/>
          <w:marBottom w:val="0"/>
          <w:divBdr>
            <w:top w:val="none" w:sz="0" w:space="0" w:color="auto"/>
            <w:left w:val="none" w:sz="0" w:space="0" w:color="auto"/>
            <w:bottom w:val="none" w:sz="0" w:space="0" w:color="auto"/>
            <w:right w:val="none" w:sz="0" w:space="0" w:color="auto"/>
          </w:divBdr>
        </w:div>
        <w:div w:id="340357022">
          <w:marLeft w:val="0"/>
          <w:marRight w:val="0"/>
          <w:marTop w:val="0"/>
          <w:marBottom w:val="0"/>
          <w:divBdr>
            <w:top w:val="none" w:sz="0" w:space="0" w:color="auto"/>
            <w:left w:val="none" w:sz="0" w:space="0" w:color="auto"/>
            <w:bottom w:val="none" w:sz="0" w:space="0" w:color="auto"/>
            <w:right w:val="none" w:sz="0" w:space="0" w:color="auto"/>
          </w:divBdr>
        </w:div>
        <w:div w:id="379475287">
          <w:marLeft w:val="0"/>
          <w:marRight w:val="0"/>
          <w:marTop w:val="0"/>
          <w:marBottom w:val="0"/>
          <w:divBdr>
            <w:top w:val="none" w:sz="0" w:space="0" w:color="auto"/>
            <w:left w:val="none" w:sz="0" w:space="0" w:color="auto"/>
            <w:bottom w:val="none" w:sz="0" w:space="0" w:color="auto"/>
            <w:right w:val="none" w:sz="0" w:space="0" w:color="auto"/>
          </w:divBdr>
        </w:div>
        <w:div w:id="383212963">
          <w:marLeft w:val="0"/>
          <w:marRight w:val="0"/>
          <w:marTop w:val="0"/>
          <w:marBottom w:val="0"/>
          <w:divBdr>
            <w:top w:val="none" w:sz="0" w:space="0" w:color="auto"/>
            <w:left w:val="none" w:sz="0" w:space="0" w:color="auto"/>
            <w:bottom w:val="none" w:sz="0" w:space="0" w:color="auto"/>
            <w:right w:val="none" w:sz="0" w:space="0" w:color="auto"/>
          </w:divBdr>
        </w:div>
        <w:div w:id="387412734">
          <w:marLeft w:val="0"/>
          <w:marRight w:val="0"/>
          <w:marTop w:val="0"/>
          <w:marBottom w:val="0"/>
          <w:divBdr>
            <w:top w:val="none" w:sz="0" w:space="0" w:color="auto"/>
            <w:left w:val="none" w:sz="0" w:space="0" w:color="auto"/>
            <w:bottom w:val="none" w:sz="0" w:space="0" w:color="auto"/>
            <w:right w:val="none" w:sz="0" w:space="0" w:color="auto"/>
          </w:divBdr>
        </w:div>
        <w:div w:id="412245381">
          <w:marLeft w:val="0"/>
          <w:marRight w:val="0"/>
          <w:marTop w:val="0"/>
          <w:marBottom w:val="0"/>
          <w:divBdr>
            <w:top w:val="none" w:sz="0" w:space="0" w:color="auto"/>
            <w:left w:val="none" w:sz="0" w:space="0" w:color="auto"/>
            <w:bottom w:val="none" w:sz="0" w:space="0" w:color="auto"/>
            <w:right w:val="none" w:sz="0" w:space="0" w:color="auto"/>
          </w:divBdr>
        </w:div>
        <w:div w:id="445085166">
          <w:marLeft w:val="0"/>
          <w:marRight w:val="0"/>
          <w:marTop w:val="0"/>
          <w:marBottom w:val="0"/>
          <w:divBdr>
            <w:top w:val="none" w:sz="0" w:space="0" w:color="auto"/>
            <w:left w:val="none" w:sz="0" w:space="0" w:color="auto"/>
            <w:bottom w:val="none" w:sz="0" w:space="0" w:color="auto"/>
            <w:right w:val="none" w:sz="0" w:space="0" w:color="auto"/>
          </w:divBdr>
        </w:div>
        <w:div w:id="457070282">
          <w:marLeft w:val="0"/>
          <w:marRight w:val="0"/>
          <w:marTop w:val="0"/>
          <w:marBottom w:val="0"/>
          <w:divBdr>
            <w:top w:val="none" w:sz="0" w:space="0" w:color="auto"/>
            <w:left w:val="none" w:sz="0" w:space="0" w:color="auto"/>
            <w:bottom w:val="none" w:sz="0" w:space="0" w:color="auto"/>
            <w:right w:val="none" w:sz="0" w:space="0" w:color="auto"/>
          </w:divBdr>
        </w:div>
        <w:div w:id="469400909">
          <w:marLeft w:val="0"/>
          <w:marRight w:val="0"/>
          <w:marTop w:val="0"/>
          <w:marBottom w:val="0"/>
          <w:divBdr>
            <w:top w:val="none" w:sz="0" w:space="0" w:color="auto"/>
            <w:left w:val="none" w:sz="0" w:space="0" w:color="auto"/>
            <w:bottom w:val="none" w:sz="0" w:space="0" w:color="auto"/>
            <w:right w:val="none" w:sz="0" w:space="0" w:color="auto"/>
          </w:divBdr>
        </w:div>
        <w:div w:id="476580637">
          <w:marLeft w:val="0"/>
          <w:marRight w:val="0"/>
          <w:marTop w:val="0"/>
          <w:marBottom w:val="0"/>
          <w:divBdr>
            <w:top w:val="none" w:sz="0" w:space="0" w:color="auto"/>
            <w:left w:val="none" w:sz="0" w:space="0" w:color="auto"/>
            <w:bottom w:val="none" w:sz="0" w:space="0" w:color="auto"/>
            <w:right w:val="none" w:sz="0" w:space="0" w:color="auto"/>
          </w:divBdr>
        </w:div>
        <w:div w:id="481968523">
          <w:marLeft w:val="0"/>
          <w:marRight w:val="0"/>
          <w:marTop w:val="0"/>
          <w:marBottom w:val="0"/>
          <w:divBdr>
            <w:top w:val="none" w:sz="0" w:space="0" w:color="auto"/>
            <w:left w:val="none" w:sz="0" w:space="0" w:color="auto"/>
            <w:bottom w:val="none" w:sz="0" w:space="0" w:color="auto"/>
            <w:right w:val="none" w:sz="0" w:space="0" w:color="auto"/>
          </w:divBdr>
        </w:div>
        <w:div w:id="502743413">
          <w:marLeft w:val="0"/>
          <w:marRight w:val="0"/>
          <w:marTop w:val="0"/>
          <w:marBottom w:val="0"/>
          <w:divBdr>
            <w:top w:val="none" w:sz="0" w:space="0" w:color="auto"/>
            <w:left w:val="none" w:sz="0" w:space="0" w:color="auto"/>
            <w:bottom w:val="none" w:sz="0" w:space="0" w:color="auto"/>
            <w:right w:val="none" w:sz="0" w:space="0" w:color="auto"/>
          </w:divBdr>
        </w:div>
        <w:div w:id="513229569">
          <w:marLeft w:val="0"/>
          <w:marRight w:val="0"/>
          <w:marTop w:val="0"/>
          <w:marBottom w:val="0"/>
          <w:divBdr>
            <w:top w:val="none" w:sz="0" w:space="0" w:color="auto"/>
            <w:left w:val="none" w:sz="0" w:space="0" w:color="auto"/>
            <w:bottom w:val="none" w:sz="0" w:space="0" w:color="auto"/>
            <w:right w:val="none" w:sz="0" w:space="0" w:color="auto"/>
          </w:divBdr>
        </w:div>
        <w:div w:id="566959557">
          <w:marLeft w:val="0"/>
          <w:marRight w:val="0"/>
          <w:marTop w:val="0"/>
          <w:marBottom w:val="0"/>
          <w:divBdr>
            <w:top w:val="none" w:sz="0" w:space="0" w:color="auto"/>
            <w:left w:val="none" w:sz="0" w:space="0" w:color="auto"/>
            <w:bottom w:val="none" w:sz="0" w:space="0" w:color="auto"/>
            <w:right w:val="none" w:sz="0" w:space="0" w:color="auto"/>
          </w:divBdr>
        </w:div>
        <w:div w:id="567805969">
          <w:marLeft w:val="0"/>
          <w:marRight w:val="0"/>
          <w:marTop w:val="0"/>
          <w:marBottom w:val="0"/>
          <w:divBdr>
            <w:top w:val="none" w:sz="0" w:space="0" w:color="auto"/>
            <w:left w:val="none" w:sz="0" w:space="0" w:color="auto"/>
            <w:bottom w:val="none" w:sz="0" w:space="0" w:color="auto"/>
            <w:right w:val="none" w:sz="0" w:space="0" w:color="auto"/>
          </w:divBdr>
        </w:div>
        <w:div w:id="599874351">
          <w:marLeft w:val="0"/>
          <w:marRight w:val="0"/>
          <w:marTop w:val="0"/>
          <w:marBottom w:val="0"/>
          <w:divBdr>
            <w:top w:val="none" w:sz="0" w:space="0" w:color="auto"/>
            <w:left w:val="none" w:sz="0" w:space="0" w:color="auto"/>
            <w:bottom w:val="none" w:sz="0" w:space="0" w:color="auto"/>
            <w:right w:val="none" w:sz="0" w:space="0" w:color="auto"/>
          </w:divBdr>
        </w:div>
        <w:div w:id="617373366">
          <w:marLeft w:val="0"/>
          <w:marRight w:val="0"/>
          <w:marTop w:val="0"/>
          <w:marBottom w:val="0"/>
          <w:divBdr>
            <w:top w:val="none" w:sz="0" w:space="0" w:color="auto"/>
            <w:left w:val="none" w:sz="0" w:space="0" w:color="auto"/>
            <w:bottom w:val="none" w:sz="0" w:space="0" w:color="auto"/>
            <w:right w:val="none" w:sz="0" w:space="0" w:color="auto"/>
          </w:divBdr>
        </w:div>
        <w:div w:id="640768234">
          <w:marLeft w:val="0"/>
          <w:marRight w:val="0"/>
          <w:marTop w:val="0"/>
          <w:marBottom w:val="0"/>
          <w:divBdr>
            <w:top w:val="none" w:sz="0" w:space="0" w:color="auto"/>
            <w:left w:val="none" w:sz="0" w:space="0" w:color="auto"/>
            <w:bottom w:val="none" w:sz="0" w:space="0" w:color="auto"/>
            <w:right w:val="none" w:sz="0" w:space="0" w:color="auto"/>
          </w:divBdr>
        </w:div>
        <w:div w:id="643268331">
          <w:marLeft w:val="0"/>
          <w:marRight w:val="0"/>
          <w:marTop w:val="0"/>
          <w:marBottom w:val="0"/>
          <w:divBdr>
            <w:top w:val="none" w:sz="0" w:space="0" w:color="auto"/>
            <w:left w:val="none" w:sz="0" w:space="0" w:color="auto"/>
            <w:bottom w:val="none" w:sz="0" w:space="0" w:color="auto"/>
            <w:right w:val="none" w:sz="0" w:space="0" w:color="auto"/>
          </w:divBdr>
        </w:div>
        <w:div w:id="666440961">
          <w:marLeft w:val="0"/>
          <w:marRight w:val="0"/>
          <w:marTop w:val="0"/>
          <w:marBottom w:val="0"/>
          <w:divBdr>
            <w:top w:val="none" w:sz="0" w:space="0" w:color="auto"/>
            <w:left w:val="none" w:sz="0" w:space="0" w:color="auto"/>
            <w:bottom w:val="none" w:sz="0" w:space="0" w:color="auto"/>
            <w:right w:val="none" w:sz="0" w:space="0" w:color="auto"/>
          </w:divBdr>
        </w:div>
        <w:div w:id="668102332">
          <w:marLeft w:val="0"/>
          <w:marRight w:val="0"/>
          <w:marTop w:val="0"/>
          <w:marBottom w:val="0"/>
          <w:divBdr>
            <w:top w:val="none" w:sz="0" w:space="0" w:color="auto"/>
            <w:left w:val="none" w:sz="0" w:space="0" w:color="auto"/>
            <w:bottom w:val="none" w:sz="0" w:space="0" w:color="auto"/>
            <w:right w:val="none" w:sz="0" w:space="0" w:color="auto"/>
          </w:divBdr>
        </w:div>
        <w:div w:id="681082698">
          <w:marLeft w:val="0"/>
          <w:marRight w:val="0"/>
          <w:marTop w:val="0"/>
          <w:marBottom w:val="0"/>
          <w:divBdr>
            <w:top w:val="none" w:sz="0" w:space="0" w:color="auto"/>
            <w:left w:val="none" w:sz="0" w:space="0" w:color="auto"/>
            <w:bottom w:val="none" w:sz="0" w:space="0" w:color="auto"/>
            <w:right w:val="none" w:sz="0" w:space="0" w:color="auto"/>
          </w:divBdr>
        </w:div>
        <w:div w:id="690108922">
          <w:marLeft w:val="0"/>
          <w:marRight w:val="0"/>
          <w:marTop w:val="0"/>
          <w:marBottom w:val="0"/>
          <w:divBdr>
            <w:top w:val="none" w:sz="0" w:space="0" w:color="auto"/>
            <w:left w:val="none" w:sz="0" w:space="0" w:color="auto"/>
            <w:bottom w:val="none" w:sz="0" w:space="0" w:color="auto"/>
            <w:right w:val="none" w:sz="0" w:space="0" w:color="auto"/>
          </w:divBdr>
        </w:div>
        <w:div w:id="705056776">
          <w:marLeft w:val="0"/>
          <w:marRight w:val="0"/>
          <w:marTop w:val="0"/>
          <w:marBottom w:val="0"/>
          <w:divBdr>
            <w:top w:val="none" w:sz="0" w:space="0" w:color="auto"/>
            <w:left w:val="none" w:sz="0" w:space="0" w:color="auto"/>
            <w:bottom w:val="none" w:sz="0" w:space="0" w:color="auto"/>
            <w:right w:val="none" w:sz="0" w:space="0" w:color="auto"/>
          </w:divBdr>
        </w:div>
        <w:div w:id="722631624">
          <w:marLeft w:val="0"/>
          <w:marRight w:val="0"/>
          <w:marTop w:val="0"/>
          <w:marBottom w:val="0"/>
          <w:divBdr>
            <w:top w:val="none" w:sz="0" w:space="0" w:color="auto"/>
            <w:left w:val="none" w:sz="0" w:space="0" w:color="auto"/>
            <w:bottom w:val="none" w:sz="0" w:space="0" w:color="auto"/>
            <w:right w:val="none" w:sz="0" w:space="0" w:color="auto"/>
          </w:divBdr>
        </w:div>
        <w:div w:id="746879958">
          <w:marLeft w:val="0"/>
          <w:marRight w:val="0"/>
          <w:marTop w:val="0"/>
          <w:marBottom w:val="0"/>
          <w:divBdr>
            <w:top w:val="none" w:sz="0" w:space="0" w:color="auto"/>
            <w:left w:val="none" w:sz="0" w:space="0" w:color="auto"/>
            <w:bottom w:val="none" w:sz="0" w:space="0" w:color="auto"/>
            <w:right w:val="none" w:sz="0" w:space="0" w:color="auto"/>
          </w:divBdr>
        </w:div>
        <w:div w:id="752974168">
          <w:marLeft w:val="0"/>
          <w:marRight w:val="0"/>
          <w:marTop w:val="0"/>
          <w:marBottom w:val="0"/>
          <w:divBdr>
            <w:top w:val="none" w:sz="0" w:space="0" w:color="auto"/>
            <w:left w:val="none" w:sz="0" w:space="0" w:color="auto"/>
            <w:bottom w:val="none" w:sz="0" w:space="0" w:color="auto"/>
            <w:right w:val="none" w:sz="0" w:space="0" w:color="auto"/>
          </w:divBdr>
        </w:div>
        <w:div w:id="761343543">
          <w:marLeft w:val="0"/>
          <w:marRight w:val="0"/>
          <w:marTop w:val="0"/>
          <w:marBottom w:val="0"/>
          <w:divBdr>
            <w:top w:val="none" w:sz="0" w:space="0" w:color="auto"/>
            <w:left w:val="none" w:sz="0" w:space="0" w:color="auto"/>
            <w:bottom w:val="none" w:sz="0" w:space="0" w:color="auto"/>
            <w:right w:val="none" w:sz="0" w:space="0" w:color="auto"/>
          </w:divBdr>
        </w:div>
        <w:div w:id="769350003">
          <w:marLeft w:val="0"/>
          <w:marRight w:val="0"/>
          <w:marTop w:val="0"/>
          <w:marBottom w:val="0"/>
          <w:divBdr>
            <w:top w:val="none" w:sz="0" w:space="0" w:color="auto"/>
            <w:left w:val="none" w:sz="0" w:space="0" w:color="auto"/>
            <w:bottom w:val="none" w:sz="0" w:space="0" w:color="auto"/>
            <w:right w:val="none" w:sz="0" w:space="0" w:color="auto"/>
          </w:divBdr>
        </w:div>
        <w:div w:id="777333898">
          <w:marLeft w:val="0"/>
          <w:marRight w:val="0"/>
          <w:marTop w:val="0"/>
          <w:marBottom w:val="0"/>
          <w:divBdr>
            <w:top w:val="none" w:sz="0" w:space="0" w:color="auto"/>
            <w:left w:val="none" w:sz="0" w:space="0" w:color="auto"/>
            <w:bottom w:val="none" w:sz="0" w:space="0" w:color="auto"/>
            <w:right w:val="none" w:sz="0" w:space="0" w:color="auto"/>
          </w:divBdr>
        </w:div>
        <w:div w:id="783384278">
          <w:marLeft w:val="0"/>
          <w:marRight w:val="0"/>
          <w:marTop w:val="0"/>
          <w:marBottom w:val="0"/>
          <w:divBdr>
            <w:top w:val="none" w:sz="0" w:space="0" w:color="auto"/>
            <w:left w:val="none" w:sz="0" w:space="0" w:color="auto"/>
            <w:bottom w:val="none" w:sz="0" w:space="0" w:color="auto"/>
            <w:right w:val="none" w:sz="0" w:space="0" w:color="auto"/>
          </w:divBdr>
        </w:div>
        <w:div w:id="786587718">
          <w:marLeft w:val="0"/>
          <w:marRight w:val="0"/>
          <w:marTop w:val="0"/>
          <w:marBottom w:val="0"/>
          <w:divBdr>
            <w:top w:val="none" w:sz="0" w:space="0" w:color="auto"/>
            <w:left w:val="none" w:sz="0" w:space="0" w:color="auto"/>
            <w:bottom w:val="none" w:sz="0" w:space="0" w:color="auto"/>
            <w:right w:val="none" w:sz="0" w:space="0" w:color="auto"/>
          </w:divBdr>
        </w:div>
        <w:div w:id="802574628">
          <w:marLeft w:val="0"/>
          <w:marRight w:val="0"/>
          <w:marTop w:val="0"/>
          <w:marBottom w:val="0"/>
          <w:divBdr>
            <w:top w:val="none" w:sz="0" w:space="0" w:color="auto"/>
            <w:left w:val="none" w:sz="0" w:space="0" w:color="auto"/>
            <w:bottom w:val="none" w:sz="0" w:space="0" w:color="auto"/>
            <w:right w:val="none" w:sz="0" w:space="0" w:color="auto"/>
          </w:divBdr>
        </w:div>
        <w:div w:id="825244835">
          <w:marLeft w:val="0"/>
          <w:marRight w:val="0"/>
          <w:marTop w:val="0"/>
          <w:marBottom w:val="0"/>
          <w:divBdr>
            <w:top w:val="none" w:sz="0" w:space="0" w:color="auto"/>
            <w:left w:val="none" w:sz="0" w:space="0" w:color="auto"/>
            <w:bottom w:val="none" w:sz="0" w:space="0" w:color="auto"/>
            <w:right w:val="none" w:sz="0" w:space="0" w:color="auto"/>
          </w:divBdr>
        </w:div>
        <w:div w:id="827942401">
          <w:marLeft w:val="0"/>
          <w:marRight w:val="0"/>
          <w:marTop w:val="0"/>
          <w:marBottom w:val="0"/>
          <w:divBdr>
            <w:top w:val="none" w:sz="0" w:space="0" w:color="auto"/>
            <w:left w:val="none" w:sz="0" w:space="0" w:color="auto"/>
            <w:bottom w:val="none" w:sz="0" w:space="0" w:color="auto"/>
            <w:right w:val="none" w:sz="0" w:space="0" w:color="auto"/>
          </w:divBdr>
        </w:div>
        <w:div w:id="838034734">
          <w:marLeft w:val="0"/>
          <w:marRight w:val="0"/>
          <w:marTop w:val="0"/>
          <w:marBottom w:val="0"/>
          <w:divBdr>
            <w:top w:val="none" w:sz="0" w:space="0" w:color="auto"/>
            <w:left w:val="none" w:sz="0" w:space="0" w:color="auto"/>
            <w:bottom w:val="none" w:sz="0" w:space="0" w:color="auto"/>
            <w:right w:val="none" w:sz="0" w:space="0" w:color="auto"/>
          </w:divBdr>
        </w:div>
        <w:div w:id="849296224">
          <w:marLeft w:val="0"/>
          <w:marRight w:val="0"/>
          <w:marTop w:val="0"/>
          <w:marBottom w:val="0"/>
          <w:divBdr>
            <w:top w:val="none" w:sz="0" w:space="0" w:color="auto"/>
            <w:left w:val="none" w:sz="0" w:space="0" w:color="auto"/>
            <w:bottom w:val="none" w:sz="0" w:space="0" w:color="auto"/>
            <w:right w:val="none" w:sz="0" w:space="0" w:color="auto"/>
          </w:divBdr>
        </w:div>
        <w:div w:id="855653168">
          <w:marLeft w:val="0"/>
          <w:marRight w:val="0"/>
          <w:marTop w:val="0"/>
          <w:marBottom w:val="0"/>
          <w:divBdr>
            <w:top w:val="none" w:sz="0" w:space="0" w:color="auto"/>
            <w:left w:val="none" w:sz="0" w:space="0" w:color="auto"/>
            <w:bottom w:val="none" w:sz="0" w:space="0" w:color="auto"/>
            <w:right w:val="none" w:sz="0" w:space="0" w:color="auto"/>
          </w:divBdr>
        </w:div>
        <w:div w:id="873152691">
          <w:marLeft w:val="0"/>
          <w:marRight w:val="0"/>
          <w:marTop w:val="0"/>
          <w:marBottom w:val="0"/>
          <w:divBdr>
            <w:top w:val="none" w:sz="0" w:space="0" w:color="auto"/>
            <w:left w:val="none" w:sz="0" w:space="0" w:color="auto"/>
            <w:bottom w:val="none" w:sz="0" w:space="0" w:color="auto"/>
            <w:right w:val="none" w:sz="0" w:space="0" w:color="auto"/>
          </w:divBdr>
        </w:div>
        <w:div w:id="894896622">
          <w:marLeft w:val="0"/>
          <w:marRight w:val="0"/>
          <w:marTop w:val="0"/>
          <w:marBottom w:val="0"/>
          <w:divBdr>
            <w:top w:val="none" w:sz="0" w:space="0" w:color="auto"/>
            <w:left w:val="none" w:sz="0" w:space="0" w:color="auto"/>
            <w:bottom w:val="none" w:sz="0" w:space="0" w:color="auto"/>
            <w:right w:val="none" w:sz="0" w:space="0" w:color="auto"/>
          </w:divBdr>
        </w:div>
        <w:div w:id="914361355">
          <w:marLeft w:val="0"/>
          <w:marRight w:val="0"/>
          <w:marTop w:val="0"/>
          <w:marBottom w:val="0"/>
          <w:divBdr>
            <w:top w:val="none" w:sz="0" w:space="0" w:color="auto"/>
            <w:left w:val="none" w:sz="0" w:space="0" w:color="auto"/>
            <w:bottom w:val="none" w:sz="0" w:space="0" w:color="auto"/>
            <w:right w:val="none" w:sz="0" w:space="0" w:color="auto"/>
          </w:divBdr>
        </w:div>
        <w:div w:id="916399014">
          <w:marLeft w:val="0"/>
          <w:marRight w:val="0"/>
          <w:marTop w:val="0"/>
          <w:marBottom w:val="0"/>
          <w:divBdr>
            <w:top w:val="none" w:sz="0" w:space="0" w:color="auto"/>
            <w:left w:val="none" w:sz="0" w:space="0" w:color="auto"/>
            <w:bottom w:val="none" w:sz="0" w:space="0" w:color="auto"/>
            <w:right w:val="none" w:sz="0" w:space="0" w:color="auto"/>
          </w:divBdr>
        </w:div>
        <w:div w:id="927424599">
          <w:marLeft w:val="0"/>
          <w:marRight w:val="0"/>
          <w:marTop w:val="0"/>
          <w:marBottom w:val="0"/>
          <w:divBdr>
            <w:top w:val="none" w:sz="0" w:space="0" w:color="auto"/>
            <w:left w:val="none" w:sz="0" w:space="0" w:color="auto"/>
            <w:bottom w:val="none" w:sz="0" w:space="0" w:color="auto"/>
            <w:right w:val="none" w:sz="0" w:space="0" w:color="auto"/>
          </w:divBdr>
        </w:div>
        <w:div w:id="927544418">
          <w:marLeft w:val="0"/>
          <w:marRight w:val="0"/>
          <w:marTop w:val="0"/>
          <w:marBottom w:val="0"/>
          <w:divBdr>
            <w:top w:val="none" w:sz="0" w:space="0" w:color="auto"/>
            <w:left w:val="none" w:sz="0" w:space="0" w:color="auto"/>
            <w:bottom w:val="none" w:sz="0" w:space="0" w:color="auto"/>
            <w:right w:val="none" w:sz="0" w:space="0" w:color="auto"/>
          </w:divBdr>
        </w:div>
        <w:div w:id="944964716">
          <w:marLeft w:val="0"/>
          <w:marRight w:val="0"/>
          <w:marTop w:val="0"/>
          <w:marBottom w:val="0"/>
          <w:divBdr>
            <w:top w:val="none" w:sz="0" w:space="0" w:color="auto"/>
            <w:left w:val="none" w:sz="0" w:space="0" w:color="auto"/>
            <w:bottom w:val="none" w:sz="0" w:space="0" w:color="auto"/>
            <w:right w:val="none" w:sz="0" w:space="0" w:color="auto"/>
          </w:divBdr>
        </w:div>
        <w:div w:id="968391783">
          <w:marLeft w:val="0"/>
          <w:marRight w:val="0"/>
          <w:marTop w:val="0"/>
          <w:marBottom w:val="0"/>
          <w:divBdr>
            <w:top w:val="none" w:sz="0" w:space="0" w:color="auto"/>
            <w:left w:val="none" w:sz="0" w:space="0" w:color="auto"/>
            <w:bottom w:val="none" w:sz="0" w:space="0" w:color="auto"/>
            <w:right w:val="none" w:sz="0" w:space="0" w:color="auto"/>
          </w:divBdr>
        </w:div>
        <w:div w:id="983046312">
          <w:marLeft w:val="0"/>
          <w:marRight w:val="0"/>
          <w:marTop w:val="0"/>
          <w:marBottom w:val="0"/>
          <w:divBdr>
            <w:top w:val="none" w:sz="0" w:space="0" w:color="auto"/>
            <w:left w:val="none" w:sz="0" w:space="0" w:color="auto"/>
            <w:bottom w:val="none" w:sz="0" w:space="0" w:color="auto"/>
            <w:right w:val="none" w:sz="0" w:space="0" w:color="auto"/>
          </w:divBdr>
        </w:div>
        <w:div w:id="987249624">
          <w:marLeft w:val="0"/>
          <w:marRight w:val="0"/>
          <w:marTop w:val="0"/>
          <w:marBottom w:val="0"/>
          <w:divBdr>
            <w:top w:val="none" w:sz="0" w:space="0" w:color="auto"/>
            <w:left w:val="none" w:sz="0" w:space="0" w:color="auto"/>
            <w:bottom w:val="none" w:sz="0" w:space="0" w:color="auto"/>
            <w:right w:val="none" w:sz="0" w:space="0" w:color="auto"/>
          </w:divBdr>
        </w:div>
        <w:div w:id="1005791880">
          <w:marLeft w:val="0"/>
          <w:marRight w:val="0"/>
          <w:marTop w:val="0"/>
          <w:marBottom w:val="0"/>
          <w:divBdr>
            <w:top w:val="none" w:sz="0" w:space="0" w:color="auto"/>
            <w:left w:val="none" w:sz="0" w:space="0" w:color="auto"/>
            <w:bottom w:val="none" w:sz="0" w:space="0" w:color="auto"/>
            <w:right w:val="none" w:sz="0" w:space="0" w:color="auto"/>
          </w:divBdr>
        </w:div>
        <w:div w:id="1009260196">
          <w:marLeft w:val="0"/>
          <w:marRight w:val="0"/>
          <w:marTop w:val="0"/>
          <w:marBottom w:val="0"/>
          <w:divBdr>
            <w:top w:val="none" w:sz="0" w:space="0" w:color="auto"/>
            <w:left w:val="none" w:sz="0" w:space="0" w:color="auto"/>
            <w:bottom w:val="none" w:sz="0" w:space="0" w:color="auto"/>
            <w:right w:val="none" w:sz="0" w:space="0" w:color="auto"/>
          </w:divBdr>
        </w:div>
        <w:div w:id="1064336073">
          <w:marLeft w:val="0"/>
          <w:marRight w:val="0"/>
          <w:marTop w:val="0"/>
          <w:marBottom w:val="0"/>
          <w:divBdr>
            <w:top w:val="none" w:sz="0" w:space="0" w:color="auto"/>
            <w:left w:val="none" w:sz="0" w:space="0" w:color="auto"/>
            <w:bottom w:val="none" w:sz="0" w:space="0" w:color="auto"/>
            <w:right w:val="none" w:sz="0" w:space="0" w:color="auto"/>
          </w:divBdr>
        </w:div>
        <w:div w:id="1077093299">
          <w:marLeft w:val="0"/>
          <w:marRight w:val="0"/>
          <w:marTop w:val="0"/>
          <w:marBottom w:val="0"/>
          <w:divBdr>
            <w:top w:val="none" w:sz="0" w:space="0" w:color="auto"/>
            <w:left w:val="none" w:sz="0" w:space="0" w:color="auto"/>
            <w:bottom w:val="none" w:sz="0" w:space="0" w:color="auto"/>
            <w:right w:val="none" w:sz="0" w:space="0" w:color="auto"/>
          </w:divBdr>
        </w:div>
        <w:div w:id="1089152764">
          <w:marLeft w:val="0"/>
          <w:marRight w:val="0"/>
          <w:marTop w:val="0"/>
          <w:marBottom w:val="0"/>
          <w:divBdr>
            <w:top w:val="none" w:sz="0" w:space="0" w:color="auto"/>
            <w:left w:val="none" w:sz="0" w:space="0" w:color="auto"/>
            <w:bottom w:val="none" w:sz="0" w:space="0" w:color="auto"/>
            <w:right w:val="none" w:sz="0" w:space="0" w:color="auto"/>
          </w:divBdr>
        </w:div>
        <w:div w:id="1089346007">
          <w:marLeft w:val="0"/>
          <w:marRight w:val="0"/>
          <w:marTop w:val="0"/>
          <w:marBottom w:val="0"/>
          <w:divBdr>
            <w:top w:val="none" w:sz="0" w:space="0" w:color="auto"/>
            <w:left w:val="none" w:sz="0" w:space="0" w:color="auto"/>
            <w:bottom w:val="none" w:sz="0" w:space="0" w:color="auto"/>
            <w:right w:val="none" w:sz="0" w:space="0" w:color="auto"/>
          </w:divBdr>
        </w:div>
        <w:div w:id="1095790059">
          <w:marLeft w:val="0"/>
          <w:marRight w:val="0"/>
          <w:marTop w:val="0"/>
          <w:marBottom w:val="0"/>
          <w:divBdr>
            <w:top w:val="none" w:sz="0" w:space="0" w:color="auto"/>
            <w:left w:val="none" w:sz="0" w:space="0" w:color="auto"/>
            <w:bottom w:val="none" w:sz="0" w:space="0" w:color="auto"/>
            <w:right w:val="none" w:sz="0" w:space="0" w:color="auto"/>
          </w:divBdr>
        </w:div>
        <w:div w:id="1126511257">
          <w:marLeft w:val="0"/>
          <w:marRight w:val="0"/>
          <w:marTop w:val="0"/>
          <w:marBottom w:val="0"/>
          <w:divBdr>
            <w:top w:val="none" w:sz="0" w:space="0" w:color="auto"/>
            <w:left w:val="none" w:sz="0" w:space="0" w:color="auto"/>
            <w:bottom w:val="none" w:sz="0" w:space="0" w:color="auto"/>
            <w:right w:val="none" w:sz="0" w:space="0" w:color="auto"/>
          </w:divBdr>
        </w:div>
        <w:div w:id="1129662811">
          <w:marLeft w:val="0"/>
          <w:marRight w:val="0"/>
          <w:marTop w:val="0"/>
          <w:marBottom w:val="0"/>
          <w:divBdr>
            <w:top w:val="none" w:sz="0" w:space="0" w:color="auto"/>
            <w:left w:val="none" w:sz="0" w:space="0" w:color="auto"/>
            <w:bottom w:val="none" w:sz="0" w:space="0" w:color="auto"/>
            <w:right w:val="none" w:sz="0" w:space="0" w:color="auto"/>
          </w:divBdr>
        </w:div>
        <w:div w:id="1153986038">
          <w:marLeft w:val="0"/>
          <w:marRight w:val="0"/>
          <w:marTop w:val="0"/>
          <w:marBottom w:val="0"/>
          <w:divBdr>
            <w:top w:val="none" w:sz="0" w:space="0" w:color="auto"/>
            <w:left w:val="none" w:sz="0" w:space="0" w:color="auto"/>
            <w:bottom w:val="none" w:sz="0" w:space="0" w:color="auto"/>
            <w:right w:val="none" w:sz="0" w:space="0" w:color="auto"/>
          </w:divBdr>
        </w:div>
        <w:div w:id="1183278511">
          <w:marLeft w:val="0"/>
          <w:marRight w:val="0"/>
          <w:marTop w:val="0"/>
          <w:marBottom w:val="0"/>
          <w:divBdr>
            <w:top w:val="none" w:sz="0" w:space="0" w:color="auto"/>
            <w:left w:val="none" w:sz="0" w:space="0" w:color="auto"/>
            <w:bottom w:val="none" w:sz="0" w:space="0" w:color="auto"/>
            <w:right w:val="none" w:sz="0" w:space="0" w:color="auto"/>
          </w:divBdr>
        </w:div>
        <w:div w:id="1214122313">
          <w:marLeft w:val="0"/>
          <w:marRight w:val="0"/>
          <w:marTop w:val="0"/>
          <w:marBottom w:val="0"/>
          <w:divBdr>
            <w:top w:val="none" w:sz="0" w:space="0" w:color="auto"/>
            <w:left w:val="none" w:sz="0" w:space="0" w:color="auto"/>
            <w:bottom w:val="none" w:sz="0" w:space="0" w:color="auto"/>
            <w:right w:val="none" w:sz="0" w:space="0" w:color="auto"/>
          </w:divBdr>
        </w:div>
        <w:div w:id="1222710279">
          <w:marLeft w:val="0"/>
          <w:marRight w:val="0"/>
          <w:marTop w:val="0"/>
          <w:marBottom w:val="0"/>
          <w:divBdr>
            <w:top w:val="none" w:sz="0" w:space="0" w:color="auto"/>
            <w:left w:val="none" w:sz="0" w:space="0" w:color="auto"/>
            <w:bottom w:val="none" w:sz="0" w:space="0" w:color="auto"/>
            <w:right w:val="none" w:sz="0" w:space="0" w:color="auto"/>
          </w:divBdr>
        </w:div>
        <w:div w:id="1238201644">
          <w:marLeft w:val="0"/>
          <w:marRight w:val="0"/>
          <w:marTop w:val="0"/>
          <w:marBottom w:val="0"/>
          <w:divBdr>
            <w:top w:val="none" w:sz="0" w:space="0" w:color="auto"/>
            <w:left w:val="none" w:sz="0" w:space="0" w:color="auto"/>
            <w:bottom w:val="none" w:sz="0" w:space="0" w:color="auto"/>
            <w:right w:val="none" w:sz="0" w:space="0" w:color="auto"/>
          </w:divBdr>
        </w:div>
        <w:div w:id="1240603280">
          <w:marLeft w:val="0"/>
          <w:marRight w:val="0"/>
          <w:marTop w:val="0"/>
          <w:marBottom w:val="0"/>
          <w:divBdr>
            <w:top w:val="none" w:sz="0" w:space="0" w:color="auto"/>
            <w:left w:val="none" w:sz="0" w:space="0" w:color="auto"/>
            <w:bottom w:val="none" w:sz="0" w:space="0" w:color="auto"/>
            <w:right w:val="none" w:sz="0" w:space="0" w:color="auto"/>
          </w:divBdr>
        </w:div>
        <w:div w:id="1247688129">
          <w:marLeft w:val="0"/>
          <w:marRight w:val="0"/>
          <w:marTop w:val="0"/>
          <w:marBottom w:val="0"/>
          <w:divBdr>
            <w:top w:val="none" w:sz="0" w:space="0" w:color="auto"/>
            <w:left w:val="none" w:sz="0" w:space="0" w:color="auto"/>
            <w:bottom w:val="none" w:sz="0" w:space="0" w:color="auto"/>
            <w:right w:val="none" w:sz="0" w:space="0" w:color="auto"/>
          </w:divBdr>
        </w:div>
        <w:div w:id="1251694324">
          <w:marLeft w:val="0"/>
          <w:marRight w:val="0"/>
          <w:marTop w:val="0"/>
          <w:marBottom w:val="0"/>
          <w:divBdr>
            <w:top w:val="none" w:sz="0" w:space="0" w:color="auto"/>
            <w:left w:val="none" w:sz="0" w:space="0" w:color="auto"/>
            <w:bottom w:val="none" w:sz="0" w:space="0" w:color="auto"/>
            <w:right w:val="none" w:sz="0" w:space="0" w:color="auto"/>
          </w:divBdr>
        </w:div>
        <w:div w:id="1264534455">
          <w:marLeft w:val="0"/>
          <w:marRight w:val="0"/>
          <w:marTop w:val="0"/>
          <w:marBottom w:val="0"/>
          <w:divBdr>
            <w:top w:val="none" w:sz="0" w:space="0" w:color="auto"/>
            <w:left w:val="none" w:sz="0" w:space="0" w:color="auto"/>
            <w:bottom w:val="none" w:sz="0" w:space="0" w:color="auto"/>
            <w:right w:val="none" w:sz="0" w:space="0" w:color="auto"/>
          </w:divBdr>
        </w:div>
        <w:div w:id="1269238681">
          <w:marLeft w:val="0"/>
          <w:marRight w:val="0"/>
          <w:marTop w:val="0"/>
          <w:marBottom w:val="0"/>
          <w:divBdr>
            <w:top w:val="none" w:sz="0" w:space="0" w:color="auto"/>
            <w:left w:val="none" w:sz="0" w:space="0" w:color="auto"/>
            <w:bottom w:val="none" w:sz="0" w:space="0" w:color="auto"/>
            <w:right w:val="none" w:sz="0" w:space="0" w:color="auto"/>
          </w:divBdr>
        </w:div>
        <w:div w:id="1271861449">
          <w:marLeft w:val="0"/>
          <w:marRight w:val="0"/>
          <w:marTop w:val="0"/>
          <w:marBottom w:val="0"/>
          <w:divBdr>
            <w:top w:val="none" w:sz="0" w:space="0" w:color="auto"/>
            <w:left w:val="none" w:sz="0" w:space="0" w:color="auto"/>
            <w:bottom w:val="none" w:sz="0" w:space="0" w:color="auto"/>
            <w:right w:val="none" w:sz="0" w:space="0" w:color="auto"/>
          </w:divBdr>
        </w:div>
        <w:div w:id="1292596815">
          <w:marLeft w:val="0"/>
          <w:marRight w:val="0"/>
          <w:marTop w:val="0"/>
          <w:marBottom w:val="0"/>
          <w:divBdr>
            <w:top w:val="none" w:sz="0" w:space="0" w:color="auto"/>
            <w:left w:val="none" w:sz="0" w:space="0" w:color="auto"/>
            <w:bottom w:val="none" w:sz="0" w:space="0" w:color="auto"/>
            <w:right w:val="none" w:sz="0" w:space="0" w:color="auto"/>
          </w:divBdr>
        </w:div>
        <w:div w:id="1300183886">
          <w:marLeft w:val="0"/>
          <w:marRight w:val="0"/>
          <w:marTop w:val="0"/>
          <w:marBottom w:val="0"/>
          <w:divBdr>
            <w:top w:val="none" w:sz="0" w:space="0" w:color="auto"/>
            <w:left w:val="none" w:sz="0" w:space="0" w:color="auto"/>
            <w:bottom w:val="none" w:sz="0" w:space="0" w:color="auto"/>
            <w:right w:val="none" w:sz="0" w:space="0" w:color="auto"/>
          </w:divBdr>
        </w:div>
        <w:div w:id="1340540901">
          <w:marLeft w:val="0"/>
          <w:marRight w:val="0"/>
          <w:marTop w:val="0"/>
          <w:marBottom w:val="0"/>
          <w:divBdr>
            <w:top w:val="none" w:sz="0" w:space="0" w:color="auto"/>
            <w:left w:val="none" w:sz="0" w:space="0" w:color="auto"/>
            <w:bottom w:val="none" w:sz="0" w:space="0" w:color="auto"/>
            <w:right w:val="none" w:sz="0" w:space="0" w:color="auto"/>
          </w:divBdr>
        </w:div>
        <w:div w:id="1346009956">
          <w:marLeft w:val="0"/>
          <w:marRight w:val="0"/>
          <w:marTop w:val="0"/>
          <w:marBottom w:val="0"/>
          <w:divBdr>
            <w:top w:val="none" w:sz="0" w:space="0" w:color="auto"/>
            <w:left w:val="none" w:sz="0" w:space="0" w:color="auto"/>
            <w:bottom w:val="none" w:sz="0" w:space="0" w:color="auto"/>
            <w:right w:val="none" w:sz="0" w:space="0" w:color="auto"/>
          </w:divBdr>
        </w:div>
        <w:div w:id="1350373221">
          <w:marLeft w:val="0"/>
          <w:marRight w:val="0"/>
          <w:marTop w:val="0"/>
          <w:marBottom w:val="0"/>
          <w:divBdr>
            <w:top w:val="none" w:sz="0" w:space="0" w:color="auto"/>
            <w:left w:val="none" w:sz="0" w:space="0" w:color="auto"/>
            <w:bottom w:val="none" w:sz="0" w:space="0" w:color="auto"/>
            <w:right w:val="none" w:sz="0" w:space="0" w:color="auto"/>
          </w:divBdr>
        </w:div>
        <w:div w:id="1376081072">
          <w:marLeft w:val="0"/>
          <w:marRight w:val="0"/>
          <w:marTop w:val="0"/>
          <w:marBottom w:val="0"/>
          <w:divBdr>
            <w:top w:val="none" w:sz="0" w:space="0" w:color="auto"/>
            <w:left w:val="none" w:sz="0" w:space="0" w:color="auto"/>
            <w:bottom w:val="none" w:sz="0" w:space="0" w:color="auto"/>
            <w:right w:val="none" w:sz="0" w:space="0" w:color="auto"/>
          </w:divBdr>
        </w:div>
        <w:div w:id="1377008283">
          <w:marLeft w:val="0"/>
          <w:marRight w:val="0"/>
          <w:marTop w:val="0"/>
          <w:marBottom w:val="0"/>
          <w:divBdr>
            <w:top w:val="none" w:sz="0" w:space="0" w:color="auto"/>
            <w:left w:val="none" w:sz="0" w:space="0" w:color="auto"/>
            <w:bottom w:val="none" w:sz="0" w:space="0" w:color="auto"/>
            <w:right w:val="none" w:sz="0" w:space="0" w:color="auto"/>
          </w:divBdr>
        </w:div>
        <w:div w:id="1419716248">
          <w:marLeft w:val="0"/>
          <w:marRight w:val="0"/>
          <w:marTop w:val="0"/>
          <w:marBottom w:val="0"/>
          <w:divBdr>
            <w:top w:val="none" w:sz="0" w:space="0" w:color="auto"/>
            <w:left w:val="none" w:sz="0" w:space="0" w:color="auto"/>
            <w:bottom w:val="none" w:sz="0" w:space="0" w:color="auto"/>
            <w:right w:val="none" w:sz="0" w:space="0" w:color="auto"/>
          </w:divBdr>
        </w:div>
        <w:div w:id="1434518229">
          <w:marLeft w:val="0"/>
          <w:marRight w:val="0"/>
          <w:marTop w:val="0"/>
          <w:marBottom w:val="0"/>
          <w:divBdr>
            <w:top w:val="none" w:sz="0" w:space="0" w:color="auto"/>
            <w:left w:val="none" w:sz="0" w:space="0" w:color="auto"/>
            <w:bottom w:val="none" w:sz="0" w:space="0" w:color="auto"/>
            <w:right w:val="none" w:sz="0" w:space="0" w:color="auto"/>
          </w:divBdr>
        </w:div>
        <w:div w:id="1436292454">
          <w:marLeft w:val="0"/>
          <w:marRight w:val="0"/>
          <w:marTop w:val="0"/>
          <w:marBottom w:val="0"/>
          <w:divBdr>
            <w:top w:val="none" w:sz="0" w:space="0" w:color="auto"/>
            <w:left w:val="none" w:sz="0" w:space="0" w:color="auto"/>
            <w:bottom w:val="none" w:sz="0" w:space="0" w:color="auto"/>
            <w:right w:val="none" w:sz="0" w:space="0" w:color="auto"/>
          </w:divBdr>
        </w:div>
        <w:div w:id="1442529464">
          <w:marLeft w:val="0"/>
          <w:marRight w:val="0"/>
          <w:marTop w:val="0"/>
          <w:marBottom w:val="0"/>
          <w:divBdr>
            <w:top w:val="none" w:sz="0" w:space="0" w:color="auto"/>
            <w:left w:val="none" w:sz="0" w:space="0" w:color="auto"/>
            <w:bottom w:val="none" w:sz="0" w:space="0" w:color="auto"/>
            <w:right w:val="none" w:sz="0" w:space="0" w:color="auto"/>
          </w:divBdr>
        </w:div>
        <w:div w:id="1448624650">
          <w:marLeft w:val="0"/>
          <w:marRight w:val="0"/>
          <w:marTop w:val="0"/>
          <w:marBottom w:val="0"/>
          <w:divBdr>
            <w:top w:val="none" w:sz="0" w:space="0" w:color="auto"/>
            <w:left w:val="none" w:sz="0" w:space="0" w:color="auto"/>
            <w:bottom w:val="none" w:sz="0" w:space="0" w:color="auto"/>
            <w:right w:val="none" w:sz="0" w:space="0" w:color="auto"/>
          </w:divBdr>
        </w:div>
        <w:div w:id="1455900622">
          <w:marLeft w:val="0"/>
          <w:marRight w:val="0"/>
          <w:marTop w:val="0"/>
          <w:marBottom w:val="0"/>
          <w:divBdr>
            <w:top w:val="none" w:sz="0" w:space="0" w:color="auto"/>
            <w:left w:val="none" w:sz="0" w:space="0" w:color="auto"/>
            <w:bottom w:val="none" w:sz="0" w:space="0" w:color="auto"/>
            <w:right w:val="none" w:sz="0" w:space="0" w:color="auto"/>
          </w:divBdr>
        </w:div>
        <w:div w:id="1461878705">
          <w:marLeft w:val="0"/>
          <w:marRight w:val="0"/>
          <w:marTop w:val="0"/>
          <w:marBottom w:val="0"/>
          <w:divBdr>
            <w:top w:val="none" w:sz="0" w:space="0" w:color="auto"/>
            <w:left w:val="none" w:sz="0" w:space="0" w:color="auto"/>
            <w:bottom w:val="none" w:sz="0" w:space="0" w:color="auto"/>
            <w:right w:val="none" w:sz="0" w:space="0" w:color="auto"/>
          </w:divBdr>
        </w:div>
        <w:div w:id="1466041780">
          <w:marLeft w:val="0"/>
          <w:marRight w:val="0"/>
          <w:marTop w:val="0"/>
          <w:marBottom w:val="0"/>
          <w:divBdr>
            <w:top w:val="none" w:sz="0" w:space="0" w:color="auto"/>
            <w:left w:val="none" w:sz="0" w:space="0" w:color="auto"/>
            <w:bottom w:val="none" w:sz="0" w:space="0" w:color="auto"/>
            <w:right w:val="none" w:sz="0" w:space="0" w:color="auto"/>
          </w:divBdr>
        </w:div>
        <w:div w:id="1477988049">
          <w:marLeft w:val="0"/>
          <w:marRight w:val="0"/>
          <w:marTop w:val="0"/>
          <w:marBottom w:val="0"/>
          <w:divBdr>
            <w:top w:val="none" w:sz="0" w:space="0" w:color="auto"/>
            <w:left w:val="none" w:sz="0" w:space="0" w:color="auto"/>
            <w:bottom w:val="none" w:sz="0" w:space="0" w:color="auto"/>
            <w:right w:val="none" w:sz="0" w:space="0" w:color="auto"/>
          </w:divBdr>
        </w:div>
        <w:div w:id="1487939187">
          <w:marLeft w:val="0"/>
          <w:marRight w:val="0"/>
          <w:marTop w:val="0"/>
          <w:marBottom w:val="0"/>
          <w:divBdr>
            <w:top w:val="none" w:sz="0" w:space="0" w:color="auto"/>
            <w:left w:val="none" w:sz="0" w:space="0" w:color="auto"/>
            <w:bottom w:val="none" w:sz="0" w:space="0" w:color="auto"/>
            <w:right w:val="none" w:sz="0" w:space="0" w:color="auto"/>
          </w:divBdr>
        </w:div>
        <w:div w:id="1490320137">
          <w:marLeft w:val="0"/>
          <w:marRight w:val="0"/>
          <w:marTop w:val="0"/>
          <w:marBottom w:val="0"/>
          <w:divBdr>
            <w:top w:val="none" w:sz="0" w:space="0" w:color="auto"/>
            <w:left w:val="none" w:sz="0" w:space="0" w:color="auto"/>
            <w:bottom w:val="none" w:sz="0" w:space="0" w:color="auto"/>
            <w:right w:val="none" w:sz="0" w:space="0" w:color="auto"/>
          </w:divBdr>
        </w:div>
        <w:div w:id="1504904024">
          <w:marLeft w:val="0"/>
          <w:marRight w:val="0"/>
          <w:marTop w:val="0"/>
          <w:marBottom w:val="0"/>
          <w:divBdr>
            <w:top w:val="none" w:sz="0" w:space="0" w:color="auto"/>
            <w:left w:val="none" w:sz="0" w:space="0" w:color="auto"/>
            <w:bottom w:val="none" w:sz="0" w:space="0" w:color="auto"/>
            <w:right w:val="none" w:sz="0" w:space="0" w:color="auto"/>
          </w:divBdr>
        </w:div>
        <w:div w:id="1517888152">
          <w:marLeft w:val="0"/>
          <w:marRight w:val="0"/>
          <w:marTop w:val="0"/>
          <w:marBottom w:val="0"/>
          <w:divBdr>
            <w:top w:val="none" w:sz="0" w:space="0" w:color="auto"/>
            <w:left w:val="none" w:sz="0" w:space="0" w:color="auto"/>
            <w:bottom w:val="none" w:sz="0" w:space="0" w:color="auto"/>
            <w:right w:val="none" w:sz="0" w:space="0" w:color="auto"/>
          </w:divBdr>
        </w:div>
        <w:div w:id="1525826971">
          <w:marLeft w:val="0"/>
          <w:marRight w:val="0"/>
          <w:marTop w:val="0"/>
          <w:marBottom w:val="0"/>
          <w:divBdr>
            <w:top w:val="none" w:sz="0" w:space="0" w:color="auto"/>
            <w:left w:val="none" w:sz="0" w:space="0" w:color="auto"/>
            <w:bottom w:val="none" w:sz="0" w:space="0" w:color="auto"/>
            <w:right w:val="none" w:sz="0" w:space="0" w:color="auto"/>
          </w:divBdr>
        </w:div>
        <w:div w:id="1537228855">
          <w:marLeft w:val="0"/>
          <w:marRight w:val="0"/>
          <w:marTop w:val="0"/>
          <w:marBottom w:val="0"/>
          <w:divBdr>
            <w:top w:val="none" w:sz="0" w:space="0" w:color="auto"/>
            <w:left w:val="none" w:sz="0" w:space="0" w:color="auto"/>
            <w:bottom w:val="none" w:sz="0" w:space="0" w:color="auto"/>
            <w:right w:val="none" w:sz="0" w:space="0" w:color="auto"/>
          </w:divBdr>
        </w:div>
        <w:div w:id="1538853269">
          <w:marLeft w:val="0"/>
          <w:marRight w:val="0"/>
          <w:marTop w:val="0"/>
          <w:marBottom w:val="0"/>
          <w:divBdr>
            <w:top w:val="none" w:sz="0" w:space="0" w:color="auto"/>
            <w:left w:val="none" w:sz="0" w:space="0" w:color="auto"/>
            <w:bottom w:val="none" w:sz="0" w:space="0" w:color="auto"/>
            <w:right w:val="none" w:sz="0" w:space="0" w:color="auto"/>
          </w:divBdr>
        </w:div>
        <w:div w:id="1554846227">
          <w:marLeft w:val="0"/>
          <w:marRight w:val="0"/>
          <w:marTop w:val="0"/>
          <w:marBottom w:val="0"/>
          <w:divBdr>
            <w:top w:val="none" w:sz="0" w:space="0" w:color="auto"/>
            <w:left w:val="none" w:sz="0" w:space="0" w:color="auto"/>
            <w:bottom w:val="none" w:sz="0" w:space="0" w:color="auto"/>
            <w:right w:val="none" w:sz="0" w:space="0" w:color="auto"/>
          </w:divBdr>
        </w:div>
        <w:div w:id="1564834790">
          <w:marLeft w:val="0"/>
          <w:marRight w:val="0"/>
          <w:marTop w:val="0"/>
          <w:marBottom w:val="0"/>
          <w:divBdr>
            <w:top w:val="none" w:sz="0" w:space="0" w:color="auto"/>
            <w:left w:val="none" w:sz="0" w:space="0" w:color="auto"/>
            <w:bottom w:val="none" w:sz="0" w:space="0" w:color="auto"/>
            <w:right w:val="none" w:sz="0" w:space="0" w:color="auto"/>
          </w:divBdr>
        </w:div>
        <w:div w:id="1582645026">
          <w:marLeft w:val="0"/>
          <w:marRight w:val="0"/>
          <w:marTop w:val="0"/>
          <w:marBottom w:val="0"/>
          <w:divBdr>
            <w:top w:val="none" w:sz="0" w:space="0" w:color="auto"/>
            <w:left w:val="none" w:sz="0" w:space="0" w:color="auto"/>
            <w:bottom w:val="none" w:sz="0" w:space="0" w:color="auto"/>
            <w:right w:val="none" w:sz="0" w:space="0" w:color="auto"/>
          </w:divBdr>
        </w:div>
        <w:div w:id="1643464014">
          <w:marLeft w:val="0"/>
          <w:marRight w:val="0"/>
          <w:marTop w:val="0"/>
          <w:marBottom w:val="0"/>
          <w:divBdr>
            <w:top w:val="none" w:sz="0" w:space="0" w:color="auto"/>
            <w:left w:val="none" w:sz="0" w:space="0" w:color="auto"/>
            <w:bottom w:val="none" w:sz="0" w:space="0" w:color="auto"/>
            <w:right w:val="none" w:sz="0" w:space="0" w:color="auto"/>
          </w:divBdr>
        </w:div>
        <w:div w:id="1645039278">
          <w:marLeft w:val="0"/>
          <w:marRight w:val="0"/>
          <w:marTop w:val="0"/>
          <w:marBottom w:val="0"/>
          <w:divBdr>
            <w:top w:val="none" w:sz="0" w:space="0" w:color="auto"/>
            <w:left w:val="none" w:sz="0" w:space="0" w:color="auto"/>
            <w:bottom w:val="none" w:sz="0" w:space="0" w:color="auto"/>
            <w:right w:val="none" w:sz="0" w:space="0" w:color="auto"/>
          </w:divBdr>
        </w:div>
        <w:div w:id="1652250232">
          <w:marLeft w:val="0"/>
          <w:marRight w:val="0"/>
          <w:marTop w:val="0"/>
          <w:marBottom w:val="0"/>
          <w:divBdr>
            <w:top w:val="none" w:sz="0" w:space="0" w:color="auto"/>
            <w:left w:val="none" w:sz="0" w:space="0" w:color="auto"/>
            <w:bottom w:val="none" w:sz="0" w:space="0" w:color="auto"/>
            <w:right w:val="none" w:sz="0" w:space="0" w:color="auto"/>
          </w:divBdr>
        </w:div>
        <w:div w:id="1666397285">
          <w:marLeft w:val="0"/>
          <w:marRight w:val="0"/>
          <w:marTop w:val="0"/>
          <w:marBottom w:val="0"/>
          <w:divBdr>
            <w:top w:val="none" w:sz="0" w:space="0" w:color="auto"/>
            <w:left w:val="none" w:sz="0" w:space="0" w:color="auto"/>
            <w:bottom w:val="none" w:sz="0" w:space="0" w:color="auto"/>
            <w:right w:val="none" w:sz="0" w:space="0" w:color="auto"/>
          </w:divBdr>
        </w:div>
        <w:div w:id="1670015456">
          <w:marLeft w:val="0"/>
          <w:marRight w:val="0"/>
          <w:marTop w:val="0"/>
          <w:marBottom w:val="0"/>
          <w:divBdr>
            <w:top w:val="none" w:sz="0" w:space="0" w:color="auto"/>
            <w:left w:val="none" w:sz="0" w:space="0" w:color="auto"/>
            <w:bottom w:val="none" w:sz="0" w:space="0" w:color="auto"/>
            <w:right w:val="none" w:sz="0" w:space="0" w:color="auto"/>
          </w:divBdr>
        </w:div>
        <w:div w:id="1670475852">
          <w:marLeft w:val="0"/>
          <w:marRight w:val="0"/>
          <w:marTop w:val="0"/>
          <w:marBottom w:val="0"/>
          <w:divBdr>
            <w:top w:val="none" w:sz="0" w:space="0" w:color="auto"/>
            <w:left w:val="none" w:sz="0" w:space="0" w:color="auto"/>
            <w:bottom w:val="none" w:sz="0" w:space="0" w:color="auto"/>
            <w:right w:val="none" w:sz="0" w:space="0" w:color="auto"/>
          </w:divBdr>
        </w:div>
        <w:div w:id="1692761055">
          <w:marLeft w:val="0"/>
          <w:marRight w:val="0"/>
          <w:marTop w:val="0"/>
          <w:marBottom w:val="0"/>
          <w:divBdr>
            <w:top w:val="none" w:sz="0" w:space="0" w:color="auto"/>
            <w:left w:val="none" w:sz="0" w:space="0" w:color="auto"/>
            <w:bottom w:val="none" w:sz="0" w:space="0" w:color="auto"/>
            <w:right w:val="none" w:sz="0" w:space="0" w:color="auto"/>
          </w:divBdr>
        </w:div>
        <w:div w:id="1700546559">
          <w:marLeft w:val="0"/>
          <w:marRight w:val="0"/>
          <w:marTop w:val="0"/>
          <w:marBottom w:val="0"/>
          <w:divBdr>
            <w:top w:val="none" w:sz="0" w:space="0" w:color="auto"/>
            <w:left w:val="none" w:sz="0" w:space="0" w:color="auto"/>
            <w:bottom w:val="none" w:sz="0" w:space="0" w:color="auto"/>
            <w:right w:val="none" w:sz="0" w:space="0" w:color="auto"/>
          </w:divBdr>
        </w:div>
        <w:div w:id="1714690051">
          <w:marLeft w:val="0"/>
          <w:marRight w:val="0"/>
          <w:marTop w:val="0"/>
          <w:marBottom w:val="0"/>
          <w:divBdr>
            <w:top w:val="none" w:sz="0" w:space="0" w:color="auto"/>
            <w:left w:val="none" w:sz="0" w:space="0" w:color="auto"/>
            <w:bottom w:val="none" w:sz="0" w:space="0" w:color="auto"/>
            <w:right w:val="none" w:sz="0" w:space="0" w:color="auto"/>
          </w:divBdr>
        </w:div>
        <w:div w:id="1784156785">
          <w:marLeft w:val="0"/>
          <w:marRight w:val="0"/>
          <w:marTop w:val="0"/>
          <w:marBottom w:val="0"/>
          <w:divBdr>
            <w:top w:val="none" w:sz="0" w:space="0" w:color="auto"/>
            <w:left w:val="none" w:sz="0" w:space="0" w:color="auto"/>
            <w:bottom w:val="none" w:sz="0" w:space="0" w:color="auto"/>
            <w:right w:val="none" w:sz="0" w:space="0" w:color="auto"/>
          </w:divBdr>
        </w:div>
        <w:div w:id="1832409713">
          <w:marLeft w:val="0"/>
          <w:marRight w:val="0"/>
          <w:marTop w:val="0"/>
          <w:marBottom w:val="0"/>
          <w:divBdr>
            <w:top w:val="none" w:sz="0" w:space="0" w:color="auto"/>
            <w:left w:val="none" w:sz="0" w:space="0" w:color="auto"/>
            <w:bottom w:val="none" w:sz="0" w:space="0" w:color="auto"/>
            <w:right w:val="none" w:sz="0" w:space="0" w:color="auto"/>
          </w:divBdr>
        </w:div>
        <w:div w:id="1844975713">
          <w:marLeft w:val="0"/>
          <w:marRight w:val="0"/>
          <w:marTop w:val="0"/>
          <w:marBottom w:val="0"/>
          <w:divBdr>
            <w:top w:val="none" w:sz="0" w:space="0" w:color="auto"/>
            <w:left w:val="none" w:sz="0" w:space="0" w:color="auto"/>
            <w:bottom w:val="none" w:sz="0" w:space="0" w:color="auto"/>
            <w:right w:val="none" w:sz="0" w:space="0" w:color="auto"/>
          </w:divBdr>
        </w:div>
        <w:div w:id="1855654206">
          <w:marLeft w:val="0"/>
          <w:marRight w:val="0"/>
          <w:marTop w:val="0"/>
          <w:marBottom w:val="0"/>
          <w:divBdr>
            <w:top w:val="none" w:sz="0" w:space="0" w:color="auto"/>
            <w:left w:val="none" w:sz="0" w:space="0" w:color="auto"/>
            <w:bottom w:val="none" w:sz="0" w:space="0" w:color="auto"/>
            <w:right w:val="none" w:sz="0" w:space="0" w:color="auto"/>
          </w:divBdr>
        </w:div>
        <w:div w:id="1896233876">
          <w:marLeft w:val="0"/>
          <w:marRight w:val="0"/>
          <w:marTop w:val="0"/>
          <w:marBottom w:val="0"/>
          <w:divBdr>
            <w:top w:val="none" w:sz="0" w:space="0" w:color="auto"/>
            <w:left w:val="none" w:sz="0" w:space="0" w:color="auto"/>
            <w:bottom w:val="none" w:sz="0" w:space="0" w:color="auto"/>
            <w:right w:val="none" w:sz="0" w:space="0" w:color="auto"/>
          </w:divBdr>
        </w:div>
        <w:div w:id="1905330708">
          <w:marLeft w:val="0"/>
          <w:marRight w:val="0"/>
          <w:marTop w:val="0"/>
          <w:marBottom w:val="0"/>
          <w:divBdr>
            <w:top w:val="none" w:sz="0" w:space="0" w:color="auto"/>
            <w:left w:val="none" w:sz="0" w:space="0" w:color="auto"/>
            <w:bottom w:val="none" w:sz="0" w:space="0" w:color="auto"/>
            <w:right w:val="none" w:sz="0" w:space="0" w:color="auto"/>
          </w:divBdr>
        </w:div>
        <w:div w:id="1909029134">
          <w:marLeft w:val="0"/>
          <w:marRight w:val="0"/>
          <w:marTop w:val="0"/>
          <w:marBottom w:val="0"/>
          <w:divBdr>
            <w:top w:val="none" w:sz="0" w:space="0" w:color="auto"/>
            <w:left w:val="none" w:sz="0" w:space="0" w:color="auto"/>
            <w:bottom w:val="none" w:sz="0" w:space="0" w:color="auto"/>
            <w:right w:val="none" w:sz="0" w:space="0" w:color="auto"/>
          </w:divBdr>
        </w:div>
        <w:div w:id="1968270163">
          <w:marLeft w:val="0"/>
          <w:marRight w:val="0"/>
          <w:marTop w:val="0"/>
          <w:marBottom w:val="0"/>
          <w:divBdr>
            <w:top w:val="none" w:sz="0" w:space="0" w:color="auto"/>
            <w:left w:val="none" w:sz="0" w:space="0" w:color="auto"/>
            <w:bottom w:val="none" w:sz="0" w:space="0" w:color="auto"/>
            <w:right w:val="none" w:sz="0" w:space="0" w:color="auto"/>
          </w:divBdr>
        </w:div>
        <w:div w:id="2015109375">
          <w:marLeft w:val="0"/>
          <w:marRight w:val="0"/>
          <w:marTop w:val="0"/>
          <w:marBottom w:val="0"/>
          <w:divBdr>
            <w:top w:val="none" w:sz="0" w:space="0" w:color="auto"/>
            <w:left w:val="none" w:sz="0" w:space="0" w:color="auto"/>
            <w:bottom w:val="none" w:sz="0" w:space="0" w:color="auto"/>
            <w:right w:val="none" w:sz="0" w:space="0" w:color="auto"/>
          </w:divBdr>
        </w:div>
        <w:div w:id="2036882614">
          <w:marLeft w:val="0"/>
          <w:marRight w:val="0"/>
          <w:marTop w:val="0"/>
          <w:marBottom w:val="0"/>
          <w:divBdr>
            <w:top w:val="none" w:sz="0" w:space="0" w:color="auto"/>
            <w:left w:val="none" w:sz="0" w:space="0" w:color="auto"/>
            <w:bottom w:val="none" w:sz="0" w:space="0" w:color="auto"/>
            <w:right w:val="none" w:sz="0" w:space="0" w:color="auto"/>
          </w:divBdr>
        </w:div>
        <w:div w:id="2049256864">
          <w:marLeft w:val="0"/>
          <w:marRight w:val="0"/>
          <w:marTop w:val="0"/>
          <w:marBottom w:val="0"/>
          <w:divBdr>
            <w:top w:val="none" w:sz="0" w:space="0" w:color="auto"/>
            <w:left w:val="none" w:sz="0" w:space="0" w:color="auto"/>
            <w:bottom w:val="none" w:sz="0" w:space="0" w:color="auto"/>
            <w:right w:val="none" w:sz="0" w:space="0" w:color="auto"/>
          </w:divBdr>
        </w:div>
        <w:div w:id="2053310948">
          <w:marLeft w:val="0"/>
          <w:marRight w:val="0"/>
          <w:marTop w:val="0"/>
          <w:marBottom w:val="0"/>
          <w:divBdr>
            <w:top w:val="none" w:sz="0" w:space="0" w:color="auto"/>
            <w:left w:val="none" w:sz="0" w:space="0" w:color="auto"/>
            <w:bottom w:val="none" w:sz="0" w:space="0" w:color="auto"/>
            <w:right w:val="none" w:sz="0" w:space="0" w:color="auto"/>
          </w:divBdr>
        </w:div>
        <w:div w:id="2072998950">
          <w:marLeft w:val="0"/>
          <w:marRight w:val="0"/>
          <w:marTop w:val="0"/>
          <w:marBottom w:val="0"/>
          <w:divBdr>
            <w:top w:val="none" w:sz="0" w:space="0" w:color="auto"/>
            <w:left w:val="none" w:sz="0" w:space="0" w:color="auto"/>
            <w:bottom w:val="none" w:sz="0" w:space="0" w:color="auto"/>
            <w:right w:val="none" w:sz="0" w:space="0" w:color="auto"/>
          </w:divBdr>
        </w:div>
        <w:div w:id="2094664151">
          <w:marLeft w:val="0"/>
          <w:marRight w:val="0"/>
          <w:marTop w:val="0"/>
          <w:marBottom w:val="0"/>
          <w:divBdr>
            <w:top w:val="none" w:sz="0" w:space="0" w:color="auto"/>
            <w:left w:val="none" w:sz="0" w:space="0" w:color="auto"/>
            <w:bottom w:val="none" w:sz="0" w:space="0" w:color="auto"/>
            <w:right w:val="none" w:sz="0" w:space="0" w:color="auto"/>
          </w:divBdr>
        </w:div>
        <w:div w:id="2119251831">
          <w:marLeft w:val="0"/>
          <w:marRight w:val="0"/>
          <w:marTop w:val="0"/>
          <w:marBottom w:val="0"/>
          <w:divBdr>
            <w:top w:val="none" w:sz="0" w:space="0" w:color="auto"/>
            <w:left w:val="none" w:sz="0" w:space="0" w:color="auto"/>
            <w:bottom w:val="none" w:sz="0" w:space="0" w:color="auto"/>
            <w:right w:val="none" w:sz="0" w:space="0" w:color="auto"/>
          </w:divBdr>
        </w:div>
        <w:div w:id="2121021969">
          <w:marLeft w:val="0"/>
          <w:marRight w:val="0"/>
          <w:marTop w:val="0"/>
          <w:marBottom w:val="0"/>
          <w:divBdr>
            <w:top w:val="none" w:sz="0" w:space="0" w:color="auto"/>
            <w:left w:val="none" w:sz="0" w:space="0" w:color="auto"/>
            <w:bottom w:val="none" w:sz="0" w:space="0" w:color="auto"/>
            <w:right w:val="none" w:sz="0" w:space="0" w:color="auto"/>
          </w:divBdr>
        </w:div>
        <w:div w:id="2138840200">
          <w:marLeft w:val="0"/>
          <w:marRight w:val="0"/>
          <w:marTop w:val="0"/>
          <w:marBottom w:val="0"/>
          <w:divBdr>
            <w:top w:val="none" w:sz="0" w:space="0" w:color="auto"/>
            <w:left w:val="none" w:sz="0" w:space="0" w:color="auto"/>
            <w:bottom w:val="none" w:sz="0" w:space="0" w:color="auto"/>
            <w:right w:val="none" w:sz="0" w:space="0" w:color="auto"/>
          </w:divBdr>
        </w:div>
      </w:divsChild>
    </w:div>
    <w:div w:id="1910113934">
      <w:bodyDiv w:val="1"/>
      <w:marLeft w:val="0"/>
      <w:marRight w:val="0"/>
      <w:marTop w:val="0"/>
      <w:marBottom w:val="0"/>
      <w:divBdr>
        <w:top w:val="none" w:sz="0" w:space="0" w:color="auto"/>
        <w:left w:val="none" w:sz="0" w:space="0" w:color="auto"/>
        <w:bottom w:val="none" w:sz="0" w:space="0" w:color="auto"/>
        <w:right w:val="none" w:sz="0" w:space="0" w:color="auto"/>
      </w:divBdr>
      <w:divsChild>
        <w:div w:id="1216622642">
          <w:marLeft w:val="0"/>
          <w:marRight w:val="0"/>
          <w:marTop w:val="0"/>
          <w:marBottom w:val="0"/>
          <w:divBdr>
            <w:top w:val="none" w:sz="0" w:space="0" w:color="auto"/>
            <w:left w:val="none" w:sz="0" w:space="0" w:color="auto"/>
            <w:bottom w:val="none" w:sz="0" w:space="0" w:color="auto"/>
            <w:right w:val="none" w:sz="0" w:space="0" w:color="auto"/>
          </w:divBdr>
          <w:divsChild>
            <w:div w:id="716197708">
              <w:marLeft w:val="0"/>
              <w:marRight w:val="0"/>
              <w:marTop w:val="0"/>
              <w:marBottom w:val="0"/>
              <w:divBdr>
                <w:top w:val="none" w:sz="0" w:space="0" w:color="auto"/>
                <w:left w:val="none" w:sz="0" w:space="0" w:color="auto"/>
                <w:bottom w:val="none" w:sz="0" w:space="0" w:color="auto"/>
                <w:right w:val="none" w:sz="0" w:space="0" w:color="auto"/>
              </w:divBdr>
              <w:divsChild>
                <w:div w:id="2120491442">
                  <w:marLeft w:val="1"/>
                  <w:marRight w:val="1"/>
                  <w:marTop w:val="0"/>
                  <w:marBottom w:val="0"/>
                  <w:divBdr>
                    <w:top w:val="none" w:sz="0" w:space="0" w:color="auto"/>
                    <w:left w:val="none" w:sz="0" w:space="0" w:color="auto"/>
                    <w:bottom w:val="none" w:sz="0" w:space="0" w:color="auto"/>
                    <w:right w:val="none" w:sz="0" w:space="0" w:color="auto"/>
                  </w:divBdr>
                  <w:divsChild>
                    <w:div w:id="1391417850">
                      <w:marLeft w:val="0"/>
                      <w:marRight w:val="0"/>
                      <w:marTop w:val="0"/>
                      <w:marBottom w:val="0"/>
                      <w:divBdr>
                        <w:top w:val="none" w:sz="0" w:space="0" w:color="auto"/>
                        <w:left w:val="none" w:sz="0" w:space="0" w:color="auto"/>
                        <w:bottom w:val="none" w:sz="0" w:space="0" w:color="auto"/>
                        <w:right w:val="none" w:sz="0" w:space="0" w:color="auto"/>
                      </w:divBdr>
                      <w:divsChild>
                        <w:div w:id="1841694819">
                          <w:marLeft w:val="0"/>
                          <w:marRight w:val="0"/>
                          <w:marTop w:val="0"/>
                          <w:marBottom w:val="0"/>
                          <w:divBdr>
                            <w:top w:val="none" w:sz="0" w:space="0" w:color="auto"/>
                            <w:left w:val="none" w:sz="0" w:space="0" w:color="auto"/>
                            <w:bottom w:val="none" w:sz="0" w:space="0" w:color="auto"/>
                            <w:right w:val="none" w:sz="0" w:space="0" w:color="auto"/>
                          </w:divBdr>
                          <w:divsChild>
                            <w:div w:id="715201350">
                              <w:marLeft w:val="0"/>
                              <w:marRight w:val="0"/>
                              <w:marTop w:val="0"/>
                              <w:marBottom w:val="0"/>
                              <w:divBdr>
                                <w:top w:val="none" w:sz="0" w:space="0" w:color="auto"/>
                                <w:left w:val="none" w:sz="0" w:space="0" w:color="auto"/>
                                <w:bottom w:val="none" w:sz="0" w:space="0" w:color="auto"/>
                                <w:right w:val="none" w:sz="0" w:space="0" w:color="auto"/>
                              </w:divBdr>
                              <w:divsChild>
                                <w:div w:id="1721201873">
                                  <w:marLeft w:val="0"/>
                                  <w:marRight w:val="0"/>
                                  <w:marTop w:val="0"/>
                                  <w:marBottom w:val="0"/>
                                  <w:divBdr>
                                    <w:top w:val="none" w:sz="0" w:space="0" w:color="auto"/>
                                    <w:left w:val="none" w:sz="0" w:space="0" w:color="auto"/>
                                    <w:bottom w:val="none" w:sz="0" w:space="0" w:color="auto"/>
                                    <w:right w:val="none" w:sz="0" w:space="0" w:color="auto"/>
                                  </w:divBdr>
                                  <w:divsChild>
                                    <w:div w:id="1301614696">
                                      <w:marLeft w:val="0"/>
                                      <w:marRight w:val="0"/>
                                      <w:marTop w:val="0"/>
                                      <w:marBottom w:val="0"/>
                                      <w:divBdr>
                                        <w:top w:val="none" w:sz="0" w:space="0" w:color="auto"/>
                                        <w:left w:val="none" w:sz="0" w:space="0" w:color="auto"/>
                                        <w:bottom w:val="none" w:sz="0" w:space="0" w:color="auto"/>
                                        <w:right w:val="none" w:sz="0" w:space="0" w:color="auto"/>
                                      </w:divBdr>
                                      <w:divsChild>
                                        <w:div w:id="1743525815">
                                          <w:marLeft w:val="0"/>
                                          <w:marRight w:val="0"/>
                                          <w:marTop w:val="0"/>
                                          <w:marBottom w:val="0"/>
                                          <w:divBdr>
                                            <w:top w:val="none" w:sz="0" w:space="0" w:color="auto"/>
                                            <w:left w:val="none" w:sz="0" w:space="0" w:color="auto"/>
                                            <w:bottom w:val="none" w:sz="0" w:space="0" w:color="auto"/>
                                            <w:right w:val="none" w:sz="0" w:space="0" w:color="auto"/>
                                          </w:divBdr>
                                          <w:divsChild>
                                            <w:div w:id="1318847434">
                                              <w:marLeft w:val="0"/>
                                              <w:marRight w:val="0"/>
                                              <w:marTop w:val="0"/>
                                              <w:marBottom w:val="0"/>
                                              <w:divBdr>
                                                <w:top w:val="none" w:sz="0" w:space="0" w:color="auto"/>
                                                <w:left w:val="none" w:sz="0" w:space="0" w:color="auto"/>
                                                <w:bottom w:val="none" w:sz="0" w:space="0" w:color="auto"/>
                                                <w:right w:val="none" w:sz="0" w:space="0" w:color="auto"/>
                                              </w:divBdr>
                                              <w:divsChild>
                                                <w:div w:id="62143124">
                                                  <w:marLeft w:val="0"/>
                                                  <w:marRight w:val="0"/>
                                                  <w:marTop w:val="0"/>
                                                  <w:marBottom w:val="0"/>
                                                  <w:divBdr>
                                                    <w:top w:val="none" w:sz="0" w:space="0" w:color="auto"/>
                                                    <w:left w:val="none" w:sz="0" w:space="0" w:color="auto"/>
                                                    <w:bottom w:val="none" w:sz="0" w:space="0" w:color="auto"/>
                                                    <w:right w:val="none" w:sz="0" w:space="0" w:color="auto"/>
                                                  </w:divBdr>
                                                  <w:divsChild>
                                                    <w:div w:id="1877304197">
                                                      <w:marLeft w:val="0"/>
                                                      <w:marRight w:val="0"/>
                                                      <w:marTop w:val="0"/>
                                                      <w:marBottom w:val="0"/>
                                                      <w:divBdr>
                                                        <w:top w:val="none" w:sz="0" w:space="0" w:color="auto"/>
                                                        <w:left w:val="none" w:sz="0" w:space="0" w:color="auto"/>
                                                        <w:bottom w:val="none" w:sz="0" w:space="0" w:color="auto"/>
                                                        <w:right w:val="none" w:sz="0" w:space="0" w:color="auto"/>
                                                      </w:divBdr>
                                                      <w:divsChild>
                                                        <w:div w:id="314188548">
                                                          <w:marLeft w:val="0"/>
                                                          <w:marRight w:val="0"/>
                                                          <w:marTop w:val="0"/>
                                                          <w:marBottom w:val="0"/>
                                                          <w:divBdr>
                                                            <w:top w:val="none" w:sz="0" w:space="0" w:color="auto"/>
                                                            <w:left w:val="none" w:sz="0" w:space="0" w:color="auto"/>
                                                            <w:bottom w:val="none" w:sz="0" w:space="0" w:color="auto"/>
                                                            <w:right w:val="none" w:sz="0" w:space="0" w:color="auto"/>
                                                          </w:divBdr>
                                                          <w:divsChild>
                                                            <w:div w:id="1731146492">
                                                              <w:marLeft w:val="0"/>
                                                              <w:marRight w:val="0"/>
                                                              <w:marTop w:val="0"/>
                                                              <w:marBottom w:val="0"/>
                                                              <w:divBdr>
                                                                <w:top w:val="none" w:sz="0" w:space="0" w:color="auto"/>
                                                                <w:left w:val="none" w:sz="0" w:space="0" w:color="auto"/>
                                                                <w:bottom w:val="none" w:sz="0" w:space="0" w:color="auto"/>
                                                                <w:right w:val="none" w:sz="0" w:space="0" w:color="auto"/>
                                                              </w:divBdr>
                                                              <w:divsChild>
                                                                <w:div w:id="2071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6645972">
      <w:bodyDiv w:val="1"/>
      <w:marLeft w:val="0"/>
      <w:marRight w:val="0"/>
      <w:marTop w:val="0"/>
      <w:marBottom w:val="0"/>
      <w:divBdr>
        <w:top w:val="none" w:sz="0" w:space="0" w:color="auto"/>
        <w:left w:val="none" w:sz="0" w:space="0" w:color="auto"/>
        <w:bottom w:val="none" w:sz="0" w:space="0" w:color="auto"/>
        <w:right w:val="none" w:sz="0" w:space="0" w:color="auto"/>
      </w:divBdr>
    </w:div>
    <w:div w:id="199656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eiti.org/sites/default/files/eng_tajikistan_draft_report_on_initial_data_collection_and_stakeholder_consultations.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eiti.org/document/standard"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eiti.org/file/14825"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eiti.org/file/14668" TargetMode="External"/><Relationship Id="rId20" Type="http://schemas.openxmlformats.org/officeDocument/2006/relationships/hyperlink" Target="https://eiti.org/sites/default/files/msg_comments_on_the_initial_assessment_report_-_tajikistan_2016.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http://eiti.org/file/14816"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s://eiti.org/document/standard"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DACE739233BB499185E9201691D117" ma:contentTypeVersion="45" ma:contentTypeDescription="Create a new document." ma:contentTypeScope="" ma:versionID="20182d0dbdd215c1e09bd485ed6324dc">
  <xsd:schema xmlns:xsd="http://www.w3.org/2001/XMLSchema" xmlns:xs="http://www.w3.org/2001/XMLSchema" xmlns:p="http://schemas.microsoft.com/office/2006/metadata/properties" targetNamespace="http://schemas.microsoft.com/office/2006/metadata/properties" ma:root="true" ma:fieldsID="074b5a4020cc0417531245af4bd9469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A69F8-FFF3-47C2-9169-E3DEF21B4C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2D88A8-DCF7-4D25-9AA5-D68782614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20F651F-ADC3-45F3-AA33-761D7B68B77C}">
  <ds:schemaRefs>
    <ds:schemaRef ds:uri="http://schemas.microsoft.com/sharepoint/v3/contenttype/forms"/>
  </ds:schemaRefs>
</ds:datastoreItem>
</file>

<file path=customXml/itemProps4.xml><?xml version="1.0" encoding="utf-8"?>
<ds:datastoreItem xmlns:ds="http://schemas.openxmlformats.org/officeDocument/2006/customXml" ds:itemID="{9C19750E-40D8-4383-ACDA-B30190CA2B58}">
  <ds:schemaRefs>
    <ds:schemaRef ds:uri="http://schemas.microsoft.com/office/2006/metadata/longProperties"/>
  </ds:schemaRefs>
</ds:datastoreItem>
</file>

<file path=customXml/itemProps5.xml><?xml version="1.0" encoding="utf-8"?>
<ds:datastoreItem xmlns:ds="http://schemas.openxmlformats.org/officeDocument/2006/customXml" ds:itemID="{2544FE24-31A3-430F-944A-E8920CB1790E}">
  <ds:schemaRefs>
    <ds:schemaRef ds:uri="http://schemas.openxmlformats.org/officeDocument/2006/bibliography"/>
  </ds:schemaRefs>
</ds:datastoreItem>
</file>

<file path=customXml/itemProps6.xml><?xml version="1.0" encoding="utf-8"?>
<ds:datastoreItem xmlns:ds="http://schemas.openxmlformats.org/officeDocument/2006/customXml" ds:itemID="{6FBF9DAC-2890-4C85-AF4F-C28609318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3577</Words>
  <Characters>20393</Characters>
  <Application>Microsoft Office Word</Application>
  <DocSecurity>0</DocSecurity>
  <Lines>169</Lines>
  <Paragraphs>47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Extractive Industries Transparency Initiative</Company>
  <LinksUpToDate>false</LinksUpToDate>
  <CharactersWithSpaces>23923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Shemshat Kasimova</dc:creator>
  <cp:keywords/>
  <cp:lastModifiedBy>EITI International Secretariat</cp:lastModifiedBy>
  <cp:revision>3</cp:revision>
  <cp:lastPrinted>2016-10-11T12:02:00Z</cp:lastPrinted>
  <dcterms:created xsi:type="dcterms:W3CDTF">2017-02-10T14:05:00Z</dcterms:created>
  <dcterms:modified xsi:type="dcterms:W3CDTF">2017-02-10T14:06:00Z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0x0101004FDACE739233BB499185E9201691D117</vt:lpwstr>
  </property>
</Properties>
</file>