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98A" w:rsidRDefault="00B6198A" w:rsidP="00F12713">
      <w:pPr>
        <w:spacing w:after="0" w:line="240" w:lineRule="auto"/>
        <w:jc w:val="center"/>
        <w:rPr>
          <w:rFonts w:cstheme="minorHAnsi"/>
          <w:b/>
          <w:lang w:val="fr-FR"/>
        </w:rPr>
      </w:pPr>
    </w:p>
    <w:p w:rsidR="00B6198A" w:rsidRDefault="00B6198A" w:rsidP="00F12713">
      <w:pPr>
        <w:spacing w:after="0" w:line="240" w:lineRule="auto"/>
        <w:jc w:val="center"/>
        <w:rPr>
          <w:rFonts w:cstheme="minorHAnsi"/>
          <w:b/>
          <w:lang w:val="fr-FR"/>
        </w:rPr>
      </w:pPr>
    </w:p>
    <w:p w:rsidR="00B6198A" w:rsidRDefault="00B6198A" w:rsidP="00F12713">
      <w:pPr>
        <w:spacing w:after="0" w:line="240" w:lineRule="auto"/>
        <w:jc w:val="center"/>
        <w:rPr>
          <w:rFonts w:cstheme="minorHAnsi"/>
          <w:b/>
          <w:lang w:val="fr-FR"/>
        </w:rPr>
      </w:pPr>
    </w:p>
    <w:p w:rsidR="00B6198A" w:rsidRDefault="00B6198A" w:rsidP="00F12713">
      <w:pPr>
        <w:spacing w:after="0" w:line="240" w:lineRule="auto"/>
        <w:jc w:val="center"/>
        <w:rPr>
          <w:rFonts w:cstheme="minorHAnsi"/>
          <w:b/>
          <w:lang w:val="fr-FR"/>
        </w:rPr>
      </w:pPr>
    </w:p>
    <w:p w:rsidR="00B6198A" w:rsidRDefault="00097FED" w:rsidP="00F12713">
      <w:pPr>
        <w:spacing w:after="0" w:line="240" w:lineRule="auto"/>
        <w:jc w:val="center"/>
        <w:rPr>
          <w:rFonts w:cstheme="minorHAnsi"/>
          <w:b/>
          <w:lang w:val="fr-FR"/>
        </w:rPr>
      </w:pPr>
      <w:r>
        <w:rPr>
          <w:rFonts w:cstheme="minorHAnsi"/>
          <w:b/>
          <w:noProof/>
          <w:lang w:val="fr-FR" w:eastAsia="fr-FR"/>
        </w:rPr>
        <w:drawing>
          <wp:inline distT="0" distB="0" distL="0" distR="0">
            <wp:extent cx="1828800" cy="11811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28800" cy="1181100"/>
                    </a:xfrm>
                    <a:prstGeom prst="rect">
                      <a:avLst/>
                    </a:prstGeom>
                    <a:noFill/>
                    <a:ln w="9525">
                      <a:noFill/>
                      <a:miter lim="800000"/>
                      <a:headEnd/>
                      <a:tailEnd/>
                    </a:ln>
                  </pic:spPr>
                </pic:pic>
              </a:graphicData>
            </a:graphic>
          </wp:inline>
        </w:drawing>
      </w:r>
      <w:r w:rsidR="00535709">
        <w:rPr>
          <w:rFonts w:cstheme="minorHAnsi"/>
          <w:b/>
          <w:noProof/>
          <w:lang w:val="fr-FR" w:eastAsia="fr-FR"/>
        </w:rPr>
        <w:pict>
          <v:group id="Groupe 149" o:spid="_x0000_s1026" style="position:absolute;left:0;text-align:left;margin-left:-38.2pt;margin-top:1.1pt;width:598.9pt;height:97.35pt;z-index:251658240;mso-position-horizontal-relative:margin;mso-position-vertical-relative:page" coordorigin="-1385,-1039" coordsize="76059,12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">
            <v:shape id="Rectangle 51" o:spid="_x0000_s1027" style="position:absolute;left:-969;top:-1039;width:75229;height:11510;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mZb8A&#10;AADbAAAADwAAAGRycy9kb3ducmV2LnhtbERPTWuDQBC9F/Iflin0VkfbUsRkExohEOypSSDXwZ2q&#10;1J0Vd6vm32cPhR4f73uzW2yvJh5950RDlqSgWGpnOmk0XM6H5xyUDySGeies4cYedtvVw4YK42b5&#10;4ukUGhVDxBekoQ1hKBB93bIln7iBJXLfbrQUIhwbNCPNMdz2+JKm72ipk9jQ0sBly/XP6ddqsJ9D&#10;Ne+zDvPrtWyWEh1O1ZvWT4/LxxpU4CX8i//cR6PhNa6PX+IPw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N2ZlvwAAANsAAAAPAAAAAAAAAAAAAAAAAJgCAABkcnMvZG93bnJl&#10;di54bWxQSwUGAAAAAAQABAD1AAAAhAMAAAAA&#10;" path="m,l7312660,r,1129665l3619500,733425,,1091565,,xe" fillcolor="#00b0f0" stroked="f" strokeweight="1.5pt">
              <v:path arrowok="t" o:connecttype="custom" o:connectlocs="0,0;796,0;796,119;394,78;0,115;0,0" o:connectangles="0,0,0,0,0,0"/>
            </v:shape>
            <v:rect id="Rectangle 151" o:spid="_x0000_s1028" style="position:absolute;left:-1385;top:-831;width:76059;height:12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TM8MA&#10;AADbAAAADwAAAGRycy9kb3ducmV2LnhtbESPQWsCMRSE70L/Q3hCL1KztlLKapQqLdWjWj0/kudm&#10;cfOybKKu/nojCB6HmfmGGU9bV4kTNaH0rGDQz0AQa29KLhT8b37fvkCEiGyw8kwKLhRgOnnpjDE3&#10;/swrOq1jIRKEQ44KbIx1LmXQlhyGvq+Jk7f3jcOYZFNI0+A5wV0l37PsUzosOS1YrGluSR/WR6dg&#10;ONc/Nm719dDbVX8Xm82W241V6rXbfo9ARGrjM/xoL4yCjwHcv6Qf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YTM8MAAADbAAAADwAAAAAAAAAAAAAAAACYAgAAZHJzL2Rv&#10;d25yZXYueG1sUEsFBgAAAAAEAAQA9QAAAIgDAAAAAA==&#10;" stroked="f" strokeweight="1.5pt">
              <v:fill r:id="rId12" o:title="" recolor="t" rotate="t" type="frame"/>
            </v:rect>
            <w10:wrap anchorx="margin" anchory="page"/>
          </v:group>
        </w:pict>
      </w:r>
    </w:p>
    <w:p w:rsidR="00B6198A" w:rsidRDefault="00B6198A" w:rsidP="00F12713">
      <w:pPr>
        <w:spacing w:after="0" w:line="240" w:lineRule="auto"/>
        <w:jc w:val="center"/>
        <w:rPr>
          <w:rFonts w:cstheme="minorHAnsi"/>
          <w:b/>
          <w:lang w:val="fr-FR"/>
        </w:rPr>
      </w:pPr>
    </w:p>
    <w:p w:rsidR="00B6198A" w:rsidRDefault="00B6198A" w:rsidP="00F12713">
      <w:pPr>
        <w:spacing w:after="0" w:line="240" w:lineRule="auto"/>
        <w:jc w:val="center"/>
        <w:rPr>
          <w:rFonts w:cstheme="minorHAnsi"/>
          <w:b/>
          <w:lang w:val="fr-FR"/>
        </w:rPr>
      </w:pPr>
    </w:p>
    <w:p w:rsidR="00B6198A" w:rsidRDefault="00B6198A" w:rsidP="00F12713">
      <w:pPr>
        <w:spacing w:after="0" w:line="240" w:lineRule="auto"/>
        <w:jc w:val="center"/>
        <w:rPr>
          <w:rFonts w:cstheme="minorHAnsi"/>
          <w:b/>
          <w:lang w:val="fr-FR"/>
        </w:rPr>
      </w:pPr>
    </w:p>
    <w:p w:rsidR="00B6198A" w:rsidRDefault="00B6198A" w:rsidP="00F12713">
      <w:pPr>
        <w:spacing w:after="0" w:line="240" w:lineRule="auto"/>
        <w:jc w:val="center"/>
        <w:rPr>
          <w:rFonts w:cstheme="minorHAnsi"/>
          <w:b/>
          <w:lang w:val="fr-FR"/>
        </w:rPr>
      </w:pPr>
    </w:p>
    <w:p w:rsidR="00B6198A" w:rsidRDefault="00B6198A" w:rsidP="00F12713">
      <w:pPr>
        <w:spacing w:after="0" w:line="240" w:lineRule="auto"/>
        <w:jc w:val="center"/>
        <w:rPr>
          <w:rFonts w:cstheme="minorHAnsi"/>
          <w:b/>
          <w:lang w:val="fr-FR"/>
        </w:rPr>
      </w:pPr>
    </w:p>
    <w:p w:rsidR="00B6198A" w:rsidRDefault="00B6198A" w:rsidP="00F12713">
      <w:pPr>
        <w:spacing w:after="0" w:line="240" w:lineRule="auto"/>
        <w:jc w:val="center"/>
        <w:rPr>
          <w:rFonts w:cstheme="minorHAnsi"/>
          <w:lang w:val="fr-FR"/>
        </w:rPr>
      </w:pPr>
    </w:p>
    <w:p w:rsidR="00B6198A" w:rsidRDefault="00535709" w:rsidP="00F12713">
      <w:pPr>
        <w:spacing w:after="0" w:line="240" w:lineRule="auto"/>
        <w:jc w:val="center"/>
        <w:rPr>
          <w:rFonts w:cstheme="minorHAnsi"/>
          <w:lang w:val="fr-FR"/>
        </w:rPr>
      </w:pPr>
      <w:r>
        <w:rPr>
          <w:rFonts w:cstheme="minorHAnsi"/>
          <w:noProof/>
          <w:lang w:val="fr-FR" w:eastAsia="fr-FR"/>
        </w:rPr>
        <w:pict>
          <v:rect id="Rectangle 42" o:spid="_x0000_s1030" style="position:absolute;left:0;text-align:left;margin-left:-19.1pt;margin-top:73.6pt;width:571.6pt;height:203.3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" filled="f" stroked="f" strokeweight="1.5pt">
            <v:path arrowok="t"/>
            <v:textbox>
              <w:txbxContent>
                <w:p w:rsidR="00A1204D" w:rsidRPr="00B6198A" w:rsidRDefault="00535709" w:rsidP="00B6198A">
                  <w:pPr>
                    <w:jc w:val="center"/>
                    <w:rPr>
                      <w:b/>
                      <w:color w:val="00B0F0"/>
                      <w:sz w:val="18"/>
                      <w:lang w:val="fr-FR"/>
                    </w:rPr>
                  </w:pPr>
                  <w:sdt>
                    <w:sdtPr>
                      <w:rPr>
                        <w:rFonts w:ascii="Times New Roman" w:hAnsi="Times New Roman" w:cs="Times New Roman"/>
                        <w:b/>
                        <w:caps/>
                        <w:color w:val="00B0F0"/>
                        <w:sz w:val="56"/>
                        <w:szCs w:val="96"/>
                        <w:lang w:val="fr-FR"/>
                      </w:rPr>
                      <w:alias w:val="Titr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57EEE">
                        <w:rPr>
                          <w:rFonts w:ascii="Times New Roman" w:hAnsi="Times New Roman" w:cs="Times New Roman"/>
                          <w:b/>
                          <w:caps/>
                          <w:color w:val="00B0F0"/>
                          <w:sz w:val="56"/>
                          <w:szCs w:val="96"/>
                          <w:lang w:val="fr-FR"/>
                        </w:rPr>
                        <w:t xml:space="preserve">     </w:t>
                      </w:r>
                    </w:sdtContent>
                  </w:sdt>
                  <w:r w:rsidR="00A1204D" w:rsidRPr="00B6198A">
                    <w:rPr>
                      <w:rFonts w:ascii="Times New Roman" w:hAnsi="Times New Roman" w:cs="Times New Roman"/>
                      <w:b/>
                      <w:caps/>
                      <w:color w:val="00B0F0"/>
                      <w:sz w:val="56"/>
                      <w:szCs w:val="96"/>
                      <w:lang w:val="fr-FR"/>
                    </w:rPr>
                    <w:t>Commentaires du comité national itie</w:t>
                  </w:r>
                  <w:r w:rsidR="00A1204D">
                    <w:rPr>
                      <w:rFonts w:ascii="Times New Roman" w:hAnsi="Times New Roman" w:cs="Times New Roman"/>
                      <w:b/>
                      <w:caps/>
                      <w:color w:val="00B0F0"/>
                      <w:sz w:val="56"/>
                      <w:szCs w:val="96"/>
                      <w:lang w:val="fr-FR"/>
                    </w:rPr>
                    <w:t xml:space="preserve"> </w:t>
                  </w:r>
                  <w:r w:rsidR="00A1204D" w:rsidRPr="00B6198A">
                    <w:rPr>
                      <w:rFonts w:ascii="Times New Roman" w:hAnsi="Times New Roman" w:cs="Times New Roman"/>
                      <w:b/>
                      <w:caps/>
                      <w:color w:val="00B0F0"/>
                      <w:sz w:val="56"/>
                      <w:szCs w:val="96"/>
                      <w:lang w:val="fr-FR"/>
                    </w:rPr>
                    <w:t>sur le r</w:t>
                  </w:r>
                  <w:r w:rsidR="00A1204D">
                    <w:rPr>
                      <w:rFonts w:ascii="Times New Roman" w:hAnsi="Times New Roman" w:cs="Times New Roman"/>
                      <w:b/>
                      <w:caps/>
                      <w:color w:val="00B0F0"/>
                      <w:sz w:val="56"/>
                      <w:szCs w:val="96"/>
                      <w:lang w:val="fr-FR"/>
                    </w:rPr>
                    <w:t>A</w:t>
                  </w:r>
                  <w:r w:rsidR="00A1204D" w:rsidRPr="00B6198A">
                    <w:rPr>
                      <w:rFonts w:ascii="Times New Roman" w:hAnsi="Times New Roman" w:cs="Times New Roman"/>
                      <w:b/>
                      <w:caps/>
                      <w:color w:val="00B0F0"/>
                      <w:sz w:val="56"/>
                      <w:szCs w:val="96"/>
                      <w:lang w:val="fr-FR"/>
                    </w:rPr>
                    <w:t>pport de validation</w:t>
                  </w:r>
                </w:p>
              </w:txbxContent>
            </v:textbox>
          </v:rect>
        </w:pict>
      </w:r>
    </w:p>
    <w:p w:rsidR="00B6198A" w:rsidRDefault="00B6198A" w:rsidP="00F12713">
      <w:pPr>
        <w:spacing w:after="0" w:line="240" w:lineRule="auto"/>
        <w:jc w:val="center"/>
        <w:rPr>
          <w:rFonts w:cstheme="minorHAnsi"/>
          <w:lang w:val="fr-FR"/>
        </w:rPr>
      </w:pPr>
    </w:p>
    <w:p w:rsidR="00B6198A" w:rsidRDefault="00B6198A" w:rsidP="00F12713">
      <w:pPr>
        <w:spacing w:after="0" w:line="240" w:lineRule="auto"/>
        <w:jc w:val="center"/>
        <w:rPr>
          <w:rFonts w:cstheme="minorHAnsi"/>
          <w:lang w:val="fr-FR"/>
        </w:rPr>
      </w:pPr>
    </w:p>
    <w:p w:rsidR="00B6198A" w:rsidRDefault="00B6198A" w:rsidP="00F12713">
      <w:pPr>
        <w:spacing w:after="0" w:line="240" w:lineRule="auto"/>
        <w:jc w:val="center"/>
        <w:rPr>
          <w:rFonts w:cstheme="minorHAnsi"/>
          <w:lang w:val="fr-FR"/>
        </w:rPr>
      </w:pPr>
    </w:p>
    <w:p w:rsidR="00B6198A" w:rsidRDefault="00535709" w:rsidP="00F12713">
      <w:pPr>
        <w:spacing w:after="0" w:line="240" w:lineRule="auto"/>
        <w:jc w:val="center"/>
        <w:rPr>
          <w:rFonts w:cstheme="minorHAnsi"/>
          <w:lang w:val="fr-FR"/>
        </w:rPr>
      </w:pPr>
      <w:r>
        <w:rPr>
          <w:rFonts w:cstheme="minorHAnsi"/>
          <w:noProof/>
          <w:lang w:val="fr-FR" w:eastAsia="fr-FR"/>
        </w:rPr>
        <w:pict>
          <v:shapetype id="_x0000_t202" coordsize="21600,21600" o:spt="202" path="m,l,21600r21600,l21600,xe">
            <v:stroke joinstyle="miter"/>
            <v:path gradientshapeok="t" o:connecttype="rect"/>
          </v:shapetype>
          <v:shape id="Zone de texte 154" o:spid="_x0000_s1029" type="#_x0000_t202" style="position:absolute;left:0;text-align:left;margin-left:17.45pt;margin-top:284.55pt;width:571.05pt;height:305.35pt;z-index:251659264;visibility:visible;mso-height-percent:363;mso-position-horizontal-relative:page;mso-position-vertical-relative:page;mso-height-percent:36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" filled="f" stroked="f" strokeweight=".5pt">
            <v:path arrowok="t"/>
            <v:textbox inset="126pt,0,54pt,0">
              <w:txbxContent>
                <w:p w:rsidR="00A1204D" w:rsidRDefault="00A1204D" w:rsidP="00B6198A">
                  <w:pPr>
                    <w:jc w:val="right"/>
                    <w:rPr>
                      <w:color w:val="4F81BD" w:themeColor="accent1"/>
                      <w:sz w:val="64"/>
                      <w:szCs w:val="64"/>
                    </w:rPr>
                  </w:pPr>
                </w:p>
              </w:txbxContent>
            </v:textbox>
            <w10:wrap type="square" anchorx="page" anchory="page"/>
          </v:shape>
        </w:pict>
      </w:r>
    </w:p>
    <w:p w:rsidR="00B6198A" w:rsidRDefault="00B6198A" w:rsidP="00F12713">
      <w:pPr>
        <w:spacing w:after="0" w:line="240" w:lineRule="auto"/>
        <w:jc w:val="center"/>
        <w:rPr>
          <w:rFonts w:cstheme="minorHAnsi"/>
          <w:lang w:val="fr-FR"/>
        </w:rPr>
      </w:pPr>
    </w:p>
    <w:p w:rsidR="00B6198A" w:rsidRDefault="00B6198A" w:rsidP="00F12713">
      <w:pPr>
        <w:spacing w:after="0" w:line="240" w:lineRule="auto"/>
        <w:jc w:val="center"/>
        <w:rPr>
          <w:rFonts w:cstheme="minorHAnsi"/>
          <w:lang w:val="fr-FR"/>
        </w:rPr>
      </w:pPr>
    </w:p>
    <w:p w:rsidR="00B6198A" w:rsidRDefault="00B6198A" w:rsidP="00F12713">
      <w:pPr>
        <w:spacing w:after="0" w:line="240" w:lineRule="auto"/>
        <w:jc w:val="center"/>
        <w:rPr>
          <w:rFonts w:cstheme="minorHAnsi"/>
          <w:lang w:val="fr-FR"/>
        </w:rPr>
      </w:pPr>
    </w:p>
    <w:p w:rsidR="00B6198A" w:rsidRDefault="00B6198A" w:rsidP="00F12713">
      <w:pPr>
        <w:spacing w:after="0" w:line="240" w:lineRule="auto"/>
        <w:jc w:val="center"/>
        <w:rPr>
          <w:rFonts w:cstheme="minorHAnsi"/>
          <w:lang w:val="fr-FR"/>
        </w:rPr>
      </w:pPr>
    </w:p>
    <w:p w:rsidR="00B6198A" w:rsidRDefault="00B6198A" w:rsidP="00F12713">
      <w:pPr>
        <w:spacing w:after="0" w:line="240" w:lineRule="auto"/>
        <w:jc w:val="center"/>
        <w:rPr>
          <w:rFonts w:cstheme="minorHAnsi"/>
          <w:lang w:val="fr-FR"/>
        </w:rPr>
      </w:pPr>
    </w:p>
    <w:p w:rsidR="00B6198A" w:rsidRDefault="00B6198A" w:rsidP="00F12713">
      <w:pPr>
        <w:spacing w:after="0" w:line="240" w:lineRule="auto"/>
        <w:jc w:val="center"/>
        <w:rPr>
          <w:rFonts w:cstheme="minorHAnsi"/>
          <w:lang w:val="fr-FR"/>
        </w:rPr>
      </w:pPr>
    </w:p>
    <w:p w:rsidR="00B6198A" w:rsidRDefault="00B6198A" w:rsidP="00F12713">
      <w:pPr>
        <w:spacing w:after="0" w:line="240" w:lineRule="auto"/>
        <w:jc w:val="center"/>
        <w:rPr>
          <w:rFonts w:cstheme="minorHAnsi"/>
          <w:lang w:val="fr-FR"/>
        </w:rPr>
      </w:pPr>
    </w:p>
    <w:p w:rsidR="00B6198A" w:rsidRDefault="00B6198A" w:rsidP="00F12713">
      <w:pPr>
        <w:spacing w:after="0" w:line="240" w:lineRule="auto"/>
        <w:jc w:val="center"/>
        <w:rPr>
          <w:rFonts w:cstheme="minorHAnsi"/>
          <w:lang w:val="fr-FR"/>
        </w:rPr>
      </w:pPr>
    </w:p>
    <w:p w:rsidR="00A5227A" w:rsidRPr="00A758A7" w:rsidRDefault="00A5227A" w:rsidP="00FD740D">
      <w:pPr>
        <w:spacing w:after="0" w:line="240" w:lineRule="auto"/>
        <w:rPr>
          <w:rFonts w:cstheme="minorHAnsi"/>
          <w:lang w:val="fr-FR"/>
        </w:rPr>
      </w:pPr>
      <w:r>
        <w:rPr>
          <w:rFonts w:cstheme="minorHAnsi"/>
          <w:lang w:val="fr-FR"/>
        </w:rPr>
        <w:t xml:space="preserve">Dakar le 31 Janvier 2018 </w:t>
      </w:r>
    </w:p>
    <w:p w:rsidR="00A20847" w:rsidRPr="00A758A7" w:rsidRDefault="00116C05" w:rsidP="00F12713">
      <w:pPr>
        <w:spacing w:after="0" w:line="240" w:lineRule="auto"/>
        <w:rPr>
          <w:rFonts w:cstheme="minorHAnsi"/>
          <w:b/>
          <w:color w:val="365F91" w:themeColor="accent1" w:themeShade="BF"/>
          <w:lang w:val="fr-FR"/>
        </w:rPr>
      </w:pPr>
      <w:r w:rsidRPr="00A758A7">
        <w:rPr>
          <w:rFonts w:cstheme="minorHAnsi"/>
          <w:b/>
          <w:color w:val="365F91" w:themeColor="accent1" w:themeShade="BF"/>
          <w:lang w:val="fr-FR"/>
        </w:rPr>
        <w:lastRenderedPageBreak/>
        <w:t>1.</w:t>
      </w:r>
      <w:r w:rsidRPr="00A758A7">
        <w:rPr>
          <w:rFonts w:cstheme="minorHAnsi"/>
          <w:b/>
          <w:color w:val="365F91" w:themeColor="accent1" w:themeShade="BF"/>
          <w:lang w:val="fr-FR"/>
        </w:rPr>
        <w:tab/>
      </w:r>
      <w:r w:rsidR="000D57B3">
        <w:rPr>
          <w:rFonts w:cstheme="minorHAnsi"/>
          <w:b/>
          <w:color w:val="365F91" w:themeColor="accent1" w:themeShade="BF"/>
          <w:lang w:val="fr-FR"/>
        </w:rPr>
        <w:t>INTRODUCTION</w:t>
      </w:r>
    </w:p>
    <w:p w:rsidR="00325E55" w:rsidRPr="00A758A7" w:rsidRDefault="00325E55" w:rsidP="00344212">
      <w:pPr>
        <w:spacing w:after="0" w:line="240" w:lineRule="auto"/>
        <w:rPr>
          <w:rFonts w:cstheme="minorHAnsi"/>
          <w:lang w:val="fr-FR"/>
        </w:rPr>
      </w:pPr>
    </w:p>
    <w:p w:rsidR="000D57B3" w:rsidRDefault="00B6198A" w:rsidP="00B6198A">
      <w:pPr>
        <w:spacing w:before="240" w:after="0" w:line="240" w:lineRule="auto"/>
        <w:jc w:val="both"/>
        <w:rPr>
          <w:rFonts w:ascii="Calibri" w:hAnsi="Calibri"/>
          <w:lang w:val="fr-FR"/>
        </w:rPr>
      </w:pPr>
      <w:r w:rsidRPr="00A14D88">
        <w:rPr>
          <w:rFonts w:cstheme="minorHAnsi"/>
          <w:lang w:val="fr-FR"/>
        </w:rPr>
        <w:t xml:space="preserve">Le </w:t>
      </w:r>
      <w:r w:rsidR="00E32191">
        <w:rPr>
          <w:rFonts w:cstheme="minorHAnsi"/>
          <w:lang w:val="fr-FR"/>
        </w:rPr>
        <w:t>G</w:t>
      </w:r>
      <w:r w:rsidRPr="00A14D88">
        <w:rPr>
          <w:rFonts w:cstheme="minorHAnsi"/>
          <w:lang w:val="fr-FR"/>
        </w:rPr>
        <w:t>ouvernement du Sénégal s’est engagé à mettre en œuvre l’ITIE en</w:t>
      </w:r>
      <w:r w:rsidR="00A47DB5">
        <w:rPr>
          <w:rFonts w:cstheme="minorHAnsi"/>
          <w:lang w:val="fr-FR"/>
        </w:rPr>
        <w:t xml:space="preserve"> février 2012, </w:t>
      </w:r>
      <w:r w:rsidR="00E32191">
        <w:rPr>
          <w:rFonts w:cstheme="minorHAnsi"/>
          <w:lang w:val="fr-FR"/>
        </w:rPr>
        <w:t xml:space="preserve">et son adhésion </w:t>
      </w:r>
      <w:r w:rsidRPr="00A14D88">
        <w:rPr>
          <w:rFonts w:cstheme="minorHAnsi"/>
          <w:lang w:val="fr-FR"/>
        </w:rPr>
        <w:t xml:space="preserve">a été acceptée le 17 octobre 2013. </w:t>
      </w:r>
      <w:r w:rsidRPr="00A14D88">
        <w:rPr>
          <w:rFonts w:ascii="Calibri" w:hAnsi="Calibri"/>
          <w:lang w:val="fr-FR"/>
        </w:rPr>
        <w:t>Le 25 octobre 2016, le Conseil</w:t>
      </w:r>
      <w:r w:rsidR="00E237B7">
        <w:rPr>
          <w:rFonts w:ascii="Calibri" w:hAnsi="Calibri"/>
          <w:lang w:val="fr-FR"/>
        </w:rPr>
        <w:t xml:space="preserve"> d’administration a convenu que </w:t>
      </w:r>
      <w:r w:rsidRPr="00A14D88">
        <w:rPr>
          <w:rFonts w:ascii="Calibri" w:hAnsi="Calibri"/>
          <w:lang w:val="fr-FR"/>
        </w:rPr>
        <w:t xml:space="preserve">la Validation du Sénégal </w:t>
      </w:r>
      <w:r w:rsidR="00F113D7">
        <w:rPr>
          <w:rFonts w:ascii="Calibri" w:hAnsi="Calibri"/>
          <w:lang w:val="fr-FR"/>
        </w:rPr>
        <w:t>à l’aune</w:t>
      </w:r>
      <w:r w:rsidRPr="00A14D88">
        <w:rPr>
          <w:rFonts w:ascii="Calibri" w:hAnsi="Calibri"/>
          <w:lang w:val="fr-FR"/>
        </w:rPr>
        <w:t xml:space="preserve"> de la Norme ITIE 2016 commencerait le 1</w:t>
      </w:r>
      <w:r w:rsidRPr="00A14D88">
        <w:rPr>
          <w:rFonts w:ascii="Calibri" w:hAnsi="Calibri"/>
          <w:vertAlign w:val="superscript"/>
          <w:lang w:val="fr-FR"/>
        </w:rPr>
        <w:t>er</w:t>
      </w:r>
      <w:r w:rsidRPr="00A14D88">
        <w:rPr>
          <w:rFonts w:ascii="Calibri" w:hAnsi="Calibri"/>
          <w:lang w:val="fr-FR"/>
        </w:rPr>
        <w:t xml:space="preserve"> juillet 2017. </w:t>
      </w:r>
    </w:p>
    <w:p w:rsidR="00686717" w:rsidRPr="00A14D88" w:rsidRDefault="00686717" w:rsidP="00347AF9">
      <w:pPr>
        <w:spacing w:after="0" w:line="240" w:lineRule="auto"/>
        <w:jc w:val="both"/>
        <w:rPr>
          <w:rFonts w:ascii="Calibri" w:hAnsi="Calibri"/>
          <w:lang w:val="fr-FR"/>
        </w:rPr>
      </w:pPr>
    </w:p>
    <w:p w:rsidR="000D57B3" w:rsidRPr="00A14D88" w:rsidRDefault="000D57B3" w:rsidP="000D57B3">
      <w:pPr>
        <w:spacing w:after="0" w:line="240" w:lineRule="auto"/>
        <w:jc w:val="both"/>
        <w:rPr>
          <w:rFonts w:cstheme="minorHAnsi"/>
          <w:lang w:val="fr-FR"/>
        </w:rPr>
      </w:pPr>
      <w:r w:rsidRPr="00A14D88">
        <w:rPr>
          <w:lang w:val="fr-FR"/>
        </w:rPr>
        <w:t>Comme le prévoit le guide de Validation, le Secrétariat international a réalisé la première phase de la Validation, c’est-à-dire la collecte initiale de données, les consultations avec les parties prenantes et la préparation de son évaluation initiale des p</w:t>
      </w:r>
      <w:r w:rsidR="007B64F1">
        <w:rPr>
          <w:lang w:val="fr-FR"/>
        </w:rPr>
        <w:t>rogrès accomplis au regard des e</w:t>
      </w:r>
      <w:r w:rsidRPr="00A14D88">
        <w:rPr>
          <w:lang w:val="fr-FR"/>
        </w:rPr>
        <w:t>xigences de l’ITIE</w:t>
      </w:r>
      <w:r w:rsidR="00A82BD1">
        <w:rPr>
          <w:lang w:val="fr-FR"/>
        </w:rPr>
        <w:t xml:space="preserve">. </w:t>
      </w:r>
      <w:r w:rsidRPr="00A14D88">
        <w:rPr>
          <w:lang w:val="fr-FR"/>
        </w:rPr>
        <w:t>Le cabinet Adam Smith International (ASI) a été nommé Vali</w:t>
      </w:r>
      <w:r w:rsidR="00077076">
        <w:rPr>
          <w:lang w:val="fr-FR"/>
        </w:rPr>
        <w:t xml:space="preserve">dateur Indépendant pour évaluer </w:t>
      </w:r>
      <w:r w:rsidRPr="00A14D88">
        <w:rPr>
          <w:lang w:val="fr-FR"/>
        </w:rPr>
        <w:t>le travail</w:t>
      </w:r>
      <w:r w:rsidR="00077076">
        <w:rPr>
          <w:lang w:val="fr-FR"/>
        </w:rPr>
        <w:t xml:space="preserve"> réalisé par le Secrétariat </w:t>
      </w:r>
      <w:r w:rsidRPr="00A14D88">
        <w:rPr>
          <w:lang w:val="fr-FR"/>
        </w:rPr>
        <w:t>conform</w:t>
      </w:r>
      <w:r w:rsidR="00077076">
        <w:rPr>
          <w:lang w:val="fr-FR"/>
        </w:rPr>
        <w:t>ément</w:t>
      </w:r>
      <w:r w:rsidRPr="00A14D88">
        <w:rPr>
          <w:lang w:val="fr-FR"/>
        </w:rPr>
        <w:t xml:space="preserve"> au guide de Validation.</w:t>
      </w:r>
      <w:r w:rsidRPr="00A14D88">
        <w:rPr>
          <w:rFonts w:cstheme="minorHAnsi"/>
          <w:lang w:val="fr-FR"/>
        </w:rPr>
        <w:t xml:space="preserve"> En tant que Validateur, ASI a pour responsabilité principale d’examiner l’évaluation initiale, de la modifier </w:t>
      </w:r>
      <w:r w:rsidR="00951420">
        <w:rPr>
          <w:rFonts w:cstheme="minorHAnsi"/>
          <w:lang w:val="fr-FR"/>
        </w:rPr>
        <w:t xml:space="preserve">au besoin, </w:t>
      </w:r>
      <w:r w:rsidRPr="00A14D88">
        <w:rPr>
          <w:rFonts w:cstheme="minorHAnsi"/>
          <w:lang w:val="fr-FR"/>
        </w:rPr>
        <w:t xml:space="preserve">et de fournir une synthèse de son examen indépendant dans </w:t>
      </w:r>
      <w:r w:rsidR="00F73A29">
        <w:rPr>
          <w:rFonts w:cstheme="minorHAnsi"/>
          <w:lang w:val="fr-FR"/>
        </w:rPr>
        <w:t>un</w:t>
      </w:r>
      <w:r w:rsidR="001B135E">
        <w:rPr>
          <w:rFonts w:cstheme="minorHAnsi"/>
          <w:lang w:val="fr-FR"/>
        </w:rPr>
        <w:t xml:space="preserve"> rapport de Validation, </w:t>
      </w:r>
      <w:r w:rsidRPr="00A14D88">
        <w:rPr>
          <w:rFonts w:cstheme="minorHAnsi"/>
          <w:lang w:val="fr-FR"/>
        </w:rPr>
        <w:t xml:space="preserve">pour soumission au Conseil d’administration par le biais du Comité de Validation. </w:t>
      </w:r>
    </w:p>
    <w:p w:rsidR="00B6198A" w:rsidRPr="00A14D88" w:rsidRDefault="007B2BBF" w:rsidP="00B6198A">
      <w:pPr>
        <w:spacing w:before="240" w:after="0" w:line="240" w:lineRule="auto"/>
        <w:jc w:val="both"/>
        <w:rPr>
          <w:rFonts w:cstheme="minorHAnsi"/>
          <w:lang w:val="fr-FR"/>
        </w:rPr>
      </w:pPr>
      <w:r>
        <w:rPr>
          <w:rFonts w:ascii="Calibri" w:hAnsi="Calibri"/>
          <w:lang w:val="fr-FR"/>
        </w:rPr>
        <w:t>Ainsi, l</w:t>
      </w:r>
      <w:r w:rsidR="00B6198A" w:rsidRPr="00A14D88">
        <w:rPr>
          <w:rFonts w:ascii="Calibri" w:hAnsi="Calibri"/>
          <w:lang w:val="fr-FR"/>
        </w:rPr>
        <w:t>e</w:t>
      </w:r>
      <w:r w:rsidR="00B6198A" w:rsidRPr="00A14D88">
        <w:rPr>
          <w:lang w:val="fr-FR"/>
        </w:rPr>
        <w:t xml:space="preserve"> projet de rapport de Validation </w:t>
      </w:r>
      <w:r w:rsidR="00E06161" w:rsidRPr="00A14D88">
        <w:rPr>
          <w:lang w:val="fr-FR"/>
        </w:rPr>
        <w:t>a</w:t>
      </w:r>
      <w:r w:rsidR="000D57B3" w:rsidRPr="00A14D88">
        <w:rPr>
          <w:lang w:val="fr-FR"/>
        </w:rPr>
        <w:t xml:space="preserve"> </w:t>
      </w:r>
      <w:r w:rsidR="00B6198A" w:rsidRPr="00A14D88">
        <w:rPr>
          <w:lang w:val="fr-FR"/>
        </w:rPr>
        <w:t xml:space="preserve">fait suite à un examen d’assurance qualité de l’évaluation initiale effectuée par le Secrétariat international. Le Validateur </w:t>
      </w:r>
      <w:r w:rsidR="000D57B3" w:rsidRPr="00A14D88">
        <w:rPr>
          <w:lang w:val="fr-FR"/>
        </w:rPr>
        <w:t xml:space="preserve">a </w:t>
      </w:r>
      <w:r w:rsidR="00194FD0">
        <w:rPr>
          <w:lang w:val="fr-FR"/>
        </w:rPr>
        <w:t xml:space="preserve">confirmé </w:t>
      </w:r>
      <w:r w:rsidR="00B6198A" w:rsidRPr="00A14D88">
        <w:rPr>
          <w:lang w:val="fr-FR"/>
        </w:rPr>
        <w:t>l’évaluation initiale du Secrétariat, selon laquelle les Exigences 2.6 et 3.2 n’ont pas été entièrement respectées au Sénégal.</w:t>
      </w:r>
    </w:p>
    <w:p w:rsidR="00B6198A" w:rsidRPr="00A14D88" w:rsidRDefault="00B6198A" w:rsidP="00FA28A9">
      <w:pPr>
        <w:spacing w:after="0" w:line="240" w:lineRule="auto"/>
        <w:jc w:val="both"/>
        <w:rPr>
          <w:rFonts w:cstheme="minorHAnsi"/>
          <w:lang w:val="fr-FR"/>
        </w:rPr>
      </w:pPr>
    </w:p>
    <w:p w:rsidR="005B4696" w:rsidRDefault="005B4696" w:rsidP="0056080C">
      <w:pPr>
        <w:widowControl w:val="0"/>
        <w:suppressAutoHyphens/>
        <w:spacing w:after="0" w:line="240" w:lineRule="auto"/>
        <w:jc w:val="both"/>
        <w:rPr>
          <w:rFonts w:cstheme="minorHAnsi"/>
          <w:lang w:val="fr-FR"/>
        </w:rPr>
      </w:pPr>
      <w:r w:rsidRPr="00A14D88">
        <w:rPr>
          <w:rFonts w:cstheme="minorHAnsi"/>
          <w:lang w:val="fr-FR"/>
        </w:rPr>
        <w:t xml:space="preserve">Par conséquent, le Groupe Multipartite a consolidé ses commentaires sur le rapport de Validation </w:t>
      </w:r>
      <w:r w:rsidR="00D43BF8" w:rsidRPr="00A14D88">
        <w:rPr>
          <w:rFonts w:cstheme="minorHAnsi"/>
          <w:lang w:val="fr-FR"/>
        </w:rPr>
        <w:t xml:space="preserve">soumis par le cabinet Adam Smith International (ASI) </w:t>
      </w:r>
      <w:r w:rsidR="00750433" w:rsidRPr="00A14D88">
        <w:rPr>
          <w:rFonts w:cstheme="minorHAnsi"/>
          <w:lang w:val="fr-FR"/>
        </w:rPr>
        <w:t>en sa qualité</w:t>
      </w:r>
      <w:r w:rsidR="00D43BF8" w:rsidRPr="00A14D88">
        <w:rPr>
          <w:rFonts w:cstheme="minorHAnsi"/>
          <w:lang w:val="fr-FR"/>
        </w:rPr>
        <w:t xml:space="preserve"> </w:t>
      </w:r>
      <w:r w:rsidR="00194FD0">
        <w:rPr>
          <w:rFonts w:cstheme="minorHAnsi"/>
          <w:lang w:val="fr-FR"/>
        </w:rPr>
        <w:t xml:space="preserve">de </w:t>
      </w:r>
      <w:r w:rsidR="00D43BF8" w:rsidRPr="00A14D88">
        <w:rPr>
          <w:rFonts w:cstheme="minorHAnsi"/>
          <w:lang w:val="fr-FR"/>
        </w:rPr>
        <w:t xml:space="preserve">Validateur Indépendant. </w:t>
      </w:r>
      <w:r w:rsidR="0056080C" w:rsidRPr="00A14D88">
        <w:rPr>
          <w:rFonts w:cstheme="minorHAnsi"/>
          <w:lang w:val="fr-FR"/>
        </w:rPr>
        <w:t>Le Groupe multipartite remercie le Secrétar</w:t>
      </w:r>
      <w:r w:rsidR="007B64F1">
        <w:rPr>
          <w:rFonts w:cstheme="minorHAnsi"/>
          <w:lang w:val="fr-FR"/>
        </w:rPr>
        <w:t xml:space="preserve">iat international et le Cabinet </w:t>
      </w:r>
      <w:r w:rsidR="0056080C" w:rsidRPr="00A14D88">
        <w:rPr>
          <w:rFonts w:cstheme="minorHAnsi"/>
          <w:lang w:val="fr-FR"/>
        </w:rPr>
        <w:t>ASI pour leurs évaluat</w:t>
      </w:r>
      <w:r w:rsidR="00194FD0">
        <w:rPr>
          <w:rFonts w:cstheme="minorHAnsi"/>
          <w:lang w:val="fr-FR"/>
        </w:rPr>
        <w:t xml:space="preserve">ions </w:t>
      </w:r>
      <w:r w:rsidR="00A85C1F">
        <w:rPr>
          <w:rFonts w:cstheme="minorHAnsi"/>
          <w:lang w:val="fr-FR"/>
        </w:rPr>
        <w:t>objectives</w:t>
      </w:r>
      <w:r w:rsidR="00194FD0">
        <w:rPr>
          <w:rFonts w:cstheme="minorHAnsi"/>
          <w:lang w:val="fr-FR"/>
        </w:rPr>
        <w:t xml:space="preserve">, </w:t>
      </w:r>
      <w:r w:rsidR="0056080C" w:rsidRPr="00A14D88">
        <w:rPr>
          <w:rFonts w:cstheme="minorHAnsi"/>
          <w:lang w:val="fr-FR"/>
        </w:rPr>
        <w:t xml:space="preserve">et </w:t>
      </w:r>
      <w:r w:rsidR="00A85C1F">
        <w:rPr>
          <w:rFonts w:cstheme="minorHAnsi"/>
          <w:lang w:val="fr-FR"/>
        </w:rPr>
        <w:t>considère</w:t>
      </w:r>
      <w:r w:rsidR="0056080C" w:rsidRPr="00A14D88">
        <w:rPr>
          <w:rFonts w:cstheme="minorHAnsi"/>
          <w:lang w:val="fr-FR"/>
        </w:rPr>
        <w:t xml:space="preserve"> que</w:t>
      </w:r>
      <w:r w:rsidR="00A85C1F">
        <w:rPr>
          <w:rFonts w:cstheme="minorHAnsi"/>
          <w:lang w:val="fr-FR"/>
        </w:rPr>
        <w:t xml:space="preserve"> les commentaires </w:t>
      </w:r>
      <w:r w:rsidR="0056080C" w:rsidRPr="00A14D88">
        <w:rPr>
          <w:rFonts w:cstheme="minorHAnsi"/>
          <w:lang w:val="fr-FR"/>
        </w:rPr>
        <w:t>suivants contribueront à une meilleure appréciation</w:t>
      </w:r>
      <w:r w:rsidR="00750433" w:rsidRPr="00A14D88">
        <w:rPr>
          <w:rFonts w:cstheme="minorHAnsi"/>
          <w:lang w:val="fr-FR"/>
        </w:rPr>
        <w:t xml:space="preserve"> des efforts et des progrès du Sénégal </w:t>
      </w:r>
      <w:r w:rsidR="0056080C" w:rsidRPr="00A14D88">
        <w:rPr>
          <w:rFonts w:cstheme="minorHAnsi"/>
          <w:lang w:val="fr-FR"/>
        </w:rPr>
        <w:t>dans la mise en œuvre de l'ITIE.</w:t>
      </w:r>
    </w:p>
    <w:p w:rsidR="00C7765C" w:rsidRPr="0056080C" w:rsidRDefault="00C7765C" w:rsidP="0056080C">
      <w:pPr>
        <w:widowControl w:val="0"/>
        <w:suppressAutoHyphens/>
        <w:spacing w:after="0" w:line="240" w:lineRule="auto"/>
        <w:jc w:val="both"/>
        <w:rPr>
          <w:rFonts w:cstheme="minorHAnsi"/>
          <w:lang w:val="fr-FR"/>
        </w:rPr>
      </w:pPr>
    </w:p>
    <w:p w:rsidR="00C71C1F" w:rsidRPr="00A758A7" w:rsidRDefault="00C71C1F" w:rsidP="00FA28A9">
      <w:pPr>
        <w:spacing w:after="0" w:line="240" w:lineRule="auto"/>
        <w:rPr>
          <w:rFonts w:cstheme="minorHAnsi"/>
          <w:b/>
          <w:color w:val="365F91" w:themeColor="accent1" w:themeShade="BF"/>
          <w:lang w:val="fr-FR"/>
        </w:rPr>
      </w:pPr>
    </w:p>
    <w:p w:rsidR="00803CB3" w:rsidRPr="00A758A7" w:rsidRDefault="007E6544" w:rsidP="007E6544">
      <w:pPr>
        <w:spacing w:after="0" w:line="240" w:lineRule="auto"/>
        <w:rPr>
          <w:rFonts w:cstheme="minorHAnsi"/>
          <w:b/>
          <w:color w:val="365F91" w:themeColor="accent1" w:themeShade="BF"/>
          <w:lang w:val="fr-FR"/>
        </w:rPr>
      </w:pPr>
      <w:r>
        <w:rPr>
          <w:rFonts w:cstheme="minorHAnsi"/>
          <w:b/>
          <w:color w:val="365F91" w:themeColor="accent1" w:themeShade="BF"/>
          <w:lang w:val="fr-FR"/>
        </w:rPr>
        <w:t xml:space="preserve">2. </w:t>
      </w:r>
      <w:r w:rsidR="00813555" w:rsidRPr="00A758A7">
        <w:rPr>
          <w:rFonts w:cstheme="minorHAnsi"/>
          <w:b/>
          <w:color w:val="365F91" w:themeColor="accent1" w:themeShade="BF"/>
          <w:lang w:val="fr-FR"/>
        </w:rPr>
        <w:t xml:space="preserve">REMARQUES SUR L’EVALUATION INITIALE DU SECRETARIAT INTERNATIONAL </w:t>
      </w:r>
      <w:r w:rsidR="00813555">
        <w:rPr>
          <w:rFonts w:cstheme="minorHAnsi"/>
          <w:b/>
          <w:color w:val="365F91" w:themeColor="accent1" w:themeShade="BF"/>
          <w:lang w:val="fr-FR"/>
        </w:rPr>
        <w:t xml:space="preserve"> ET CELLE DU VALIDATEUR</w:t>
      </w:r>
      <w:r w:rsidR="007B64F1">
        <w:rPr>
          <w:rFonts w:cstheme="minorHAnsi"/>
          <w:b/>
          <w:color w:val="365F91" w:themeColor="accent1" w:themeShade="BF"/>
          <w:lang w:val="fr-FR"/>
        </w:rPr>
        <w:t xml:space="preserve"> INDEPENDANT</w:t>
      </w:r>
    </w:p>
    <w:p w:rsidR="00F62BD3" w:rsidRPr="00A758A7" w:rsidRDefault="00F62BD3" w:rsidP="00F12713">
      <w:pPr>
        <w:spacing w:after="0" w:line="240" w:lineRule="auto"/>
        <w:rPr>
          <w:rFonts w:eastAsia="Times New Roman" w:cstheme="minorHAnsi"/>
          <w:lang w:val="fr-FR"/>
        </w:rPr>
      </w:pPr>
    </w:p>
    <w:p w:rsidR="00C76F81" w:rsidRPr="00C76F81" w:rsidRDefault="00C76F81" w:rsidP="00425F1B">
      <w:pPr>
        <w:spacing w:after="0" w:line="240" w:lineRule="auto"/>
        <w:jc w:val="both"/>
        <w:rPr>
          <w:lang w:val="fr-FR"/>
        </w:rPr>
      </w:pPr>
      <w:r w:rsidRPr="00C76F81">
        <w:rPr>
          <w:lang w:val="fr-FR"/>
        </w:rPr>
        <w:t xml:space="preserve">Nous </w:t>
      </w:r>
      <w:r w:rsidR="00A85C1F">
        <w:rPr>
          <w:lang w:val="fr-FR"/>
        </w:rPr>
        <w:t xml:space="preserve">constatons </w:t>
      </w:r>
      <w:r w:rsidR="007515F3">
        <w:rPr>
          <w:lang w:val="fr-FR"/>
        </w:rPr>
        <w:t xml:space="preserve">que l'évaluation générale </w:t>
      </w:r>
      <w:r w:rsidR="00A85C1F">
        <w:rPr>
          <w:lang w:val="fr-FR"/>
        </w:rPr>
        <w:t>du</w:t>
      </w:r>
      <w:r w:rsidR="00A47C30">
        <w:rPr>
          <w:lang w:val="fr-FR"/>
        </w:rPr>
        <w:t xml:space="preserve"> Validateur indépendant </w:t>
      </w:r>
      <w:r w:rsidR="00A85C1F">
        <w:rPr>
          <w:lang w:val="fr-FR"/>
        </w:rPr>
        <w:t xml:space="preserve">est en </w:t>
      </w:r>
      <w:r w:rsidRPr="00C76F81">
        <w:rPr>
          <w:lang w:val="fr-FR"/>
        </w:rPr>
        <w:t>accord avec</w:t>
      </w:r>
      <w:r w:rsidR="00F27FB5" w:rsidRPr="00F27FB5">
        <w:rPr>
          <w:lang w:val="fr-FR"/>
        </w:rPr>
        <w:t xml:space="preserve"> les conclusions de l’évaluation initiale</w:t>
      </w:r>
      <w:r w:rsidR="007515F3">
        <w:rPr>
          <w:lang w:val="fr-FR"/>
        </w:rPr>
        <w:t>. L</w:t>
      </w:r>
      <w:r w:rsidRPr="00C76F81">
        <w:rPr>
          <w:lang w:val="fr-FR"/>
        </w:rPr>
        <w:t>e</w:t>
      </w:r>
      <w:r w:rsidR="00E44FEB">
        <w:rPr>
          <w:lang w:val="fr-FR"/>
        </w:rPr>
        <w:t xml:space="preserve"> Sénégal</w:t>
      </w:r>
      <w:r w:rsidR="00A47C30">
        <w:rPr>
          <w:lang w:val="fr-FR"/>
        </w:rPr>
        <w:t>, hormis l</w:t>
      </w:r>
      <w:r w:rsidR="00A47C30" w:rsidRPr="00A47C30">
        <w:rPr>
          <w:lang w:val="fr-FR"/>
        </w:rPr>
        <w:t>es reco</w:t>
      </w:r>
      <w:r w:rsidR="00A85C1F">
        <w:rPr>
          <w:lang w:val="fr-FR"/>
        </w:rPr>
        <w:t>mmandations et mesures correctric</w:t>
      </w:r>
      <w:r w:rsidR="00A47C30" w:rsidRPr="00A47C30">
        <w:rPr>
          <w:lang w:val="fr-FR"/>
        </w:rPr>
        <w:t xml:space="preserve">es suggérées </w:t>
      </w:r>
      <w:r w:rsidR="00A47C30">
        <w:rPr>
          <w:lang w:val="fr-FR"/>
        </w:rPr>
        <w:t>se rapporta</w:t>
      </w:r>
      <w:r w:rsidR="00A47C30" w:rsidRPr="00A47C30">
        <w:rPr>
          <w:lang w:val="fr-FR"/>
        </w:rPr>
        <w:t>nt à la participation de l’État et aux valeurs de production</w:t>
      </w:r>
      <w:r w:rsidR="00A47C30">
        <w:rPr>
          <w:lang w:val="fr-FR"/>
        </w:rPr>
        <w:t>, a</w:t>
      </w:r>
      <w:r w:rsidRPr="00C76F81">
        <w:rPr>
          <w:lang w:val="fr-FR"/>
        </w:rPr>
        <w:t xml:space="preserve"> satisfait</w:t>
      </w:r>
      <w:r w:rsidR="00A47C30">
        <w:rPr>
          <w:lang w:val="fr-FR"/>
        </w:rPr>
        <w:t xml:space="preserve"> </w:t>
      </w:r>
      <w:r w:rsidR="00A85C1F">
        <w:rPr>
          <w:lang w:val="fr-FR"/>
        </w:rPr>
        <w:t xml:space="preserve">aux </w:t>
      </w:r>
      <w:r w:rsidR="00E32191">
        <w:rPr>
          <w:lang w:val="fr-FR"/>
        </w:rPr>
        <w:t>E</w:t>
      </w:r>
      <w:r w:rsidR="00A47C30">
        <w:rPr>
          <w:lang w:val="fr-FR"/>
        </w:rPr>
        <w:t>xigences de la Norme ITIE</w:t>
      </w:r>
      <w:r w:rsidRPr="00C76F81">
        <w:rPr>
          <w:lang w:val="fr-FR"/>
        </w:rPr>
        <w:t>.</w:t>
      </w:r>
    </w:p>
    <w:p w:rsidR="00C7765C" w:rsidRDefault="00C76F81" w:rsidP="00425F1B">
      <w:pPr>
        <w:spacing w:after="0" w:line="240" w:lineRule="auto"/>
        <w:jc w:val="both"/>
        <w:rPr>
          <w:lang w:val="fr-FR"/>
        </w:rPr>
      </w:pPr>
      <w:r w:rsidRPr="00C76F81">
        <w:rPr>
          <w:lang w:val="fr-FR"/>
        </w:rPr>
        <w:t xml:space="preserve">Cependant, nous </w:t>
      </w:r>
      <w:r w:rsidR="00533E2B">
        <w:rPr>
          <w:lang w:val="fr-FR"/>
        </w:rPr>
        <w:t>demandons</w:t>
      </w:r>
      <w:r w:rsidR="000E789B">
        <w:rPr>
          <w:lang w:val="fr-FR"/>
        </w:rPr>
        <w:t xml:space="preserve"> par rapport à ces deux </w:t>
      </w:r>
      <w:r w:rsidR="00E32191">
        <w:rPr>
          <w:lang w:val="fr-FR"/>
        </w:rPr>
        <w:t>E</w:t>
      </w:r>
      <w:r w:rsidR="000E789B">
        <w:rPr>
          <w:lang w:val="fr-FR"/>
        </w:rPr>
        <w:t xml:space="preserve">xigences </w:t>
      </w:r>
      <w:r w:rsidRPr="00C76F81">
        <w:rPr>
          <w:lang w:val="fr-FR"/>
        </w:rPr>
        <w:t xml:space="preserve">que le niveau de conformité de notre pays soit </w:t>
      </w:r>
      <w:r w:rsidR="00533E2B">
        <w:rPr>
          <w:lang w:val="fr-FR"/>
        </w:rPr>
        <w:t>rehaussé</w:t>
      </w:r>
      <w:r w:rsidR="00340042">
        <w:rPr>
          <w:lang w:val="fr-FR"/>
        </w:rPr>
        <w:t xml:space="preserve"> au niveau de « progrès satisfaisants ». </w:t>
      </w:r>
    </w:p>
    <w:p w:rsidR="00C7765C" w:rsidRDefault="00C7765C" w:rsidP="00425F1B">
      <w:pPr>
        <w:spacing w:after="0" w:line="240" w:lineRule="auto"/>
        <w:jc w:val="both"/>
        <w:rPr>
          <w:lang w:val="fr-FR"/>
        </w:rPr>
      </w:pPr>
    </w:p>
    <w:p w:rsidR="00C7765C" w:rsidRDefault="00C7765C" w:rsidP="00425F1B">
      <w:pPr>
        <w:spacing w:after="0" w:line="240" w:lineRule="auto"/>
        <w:jc w:val="both"/>
        <w:rPr>
          <w:rFonts w:cstheme="minorHAnsi"/>
          <w:lang w:val="fr-FR"/>
        </w:rPr>
      </w:pPr>
      <w:r>
        <w:rPr>
          <w:lang w:val="fr-FR"/>
        </w:rPr>
        <w:t xml:space="preserve">Notre </w:t>
      </w:r>
      <w:r w:rsidR="00340042">
        <w:rPr>
          <w:lang w:val="fr-FR"/>
        </w:rPr>
        <w:t xml:space="preserve">intime </w:t>
      </w:r>
      <w:r w:rsidR="00C76F81" w:rsidRPr="00C76F81">
        <w:rPr>
          <w:lang w:val="fr-FR"/>
        </w:rPr>
        <w:t>conviction</w:t>
      </w:r>
      <w:r>
        <w:rPr>
          <w:lang w:val="fr-FR"/>
        </w:rPr>
        <w:t>, nous</w:t>
      </w:r>
      <w:r w:rsidR="00C76F81" w:rsidRPr="00C76F81">
        <w:rPr>
          <w:lang w:val="fr-FR"/>
        </w:rPr>
        <w:t xml:space="preserve"> membres </w:t>
      </w:r>
      <w:r w:rsidR="00533E2B">
        <w:rPr>
          <w:lang w:val="fr-FR"/>
        </w:rPr>
        <w:t>du Groupe multipartite</w:t>
      </w:r>
      <w:r>
        <w:rPr>
          <w:lang w:val="fr-FR"/>
        </w:rPr>
        <w:t>, est</w:t>
      </w:r>
      <w:r w:rsidR="00533E2B">
        <w:rPr>
          <w:lang w:val="fr-FR"/>
        </w:rPr>
        <w:t xml:space="preserve"> </w:t>
      </w:r>
      <w:r>
        <w:rPr>
          <w:lang w:val="fr-FR"/>
        </w:rPr>
        <w:t xml:space="preserve">que </w:t>
      </w:r>
      <w:r w:rsidR="00533E2B">
        <w:rPr>
          <w:lang w:val="fr-FR"/>
        </w:rPr>
        <w:t>l</w:t>
      </w:r>
      <w:r w:rsidR="00C76F81" w:rsidRPr="00C76F81">
        <w:rPr>
          <w:lang w:val="fr-FR"/>
        </w:rPr>
        <w:t xml:space="preserve">e </w:t>
      </w:r>
      <w:r w:rsidR="00533E2B">
        <w:rPr>
          <w:lang w:val="fr-FR"/>
        </w:rPr>
        <w:t>Sénégal</w:t>
      </w:r>
      <w:r w:rsidR="00C76F81" w:rsidRPr="00C76F81">
        <w:rPr>
          <w:lang w:val="fr-FR"/>
        </w:rPr>
        <w:t xml:space="preserve"> </w:t>
      </w:r>
      <w:r w:rsidR="008F70B0">
        <w:rPr>
          <w:lang w:val="fr-FR"/>
        </w:rPr>
        <w:t xml:space="preserve">a </w:t>
      </w:r>
      <w:r w:rsidR="00C76F81" w:rsidRPr="00C76F81">
        <w:rPr>
          <w:lang w:val="fr-FR"/>
        </w:rPr>
        <w:t xml:space="preserve">satisfait </w:t>
      </w:r>
      <w:r w:rsidR="008F70B0">
        <w:rPr>
          <w:lang w:val="fr-FR"/>
        </w:rPr>
        <w:t xml:space="preserve">à toutes les </w:t>
      </w:r>
      <w:r w:rsidR="00E32191">
        <w:rPr>
          <w:lang w:val="fr-FR"/>
        </w:rPr>
        <w:t>E</w:t>
      </w:r>
      <w:r w:rsidR="008F70B0">
        <w:rPr>
          <w:lang w:val="fr-FR"/>
        </w:rPr>
        <w:t>xigences de la Norme</w:t>
      </w:r>
      <w:r w:rsidR="000F5635" w:rsidRPr="00A758A7">
        <w:rPr>
          <w:lang w:val="fr-FR"/>
        </w:rPr>
        <w:t>.</w:t>
      </w:r>
      <w:r w:rsidR="006B688F" w:rsidRPr="00A758A7">
        <w:rPr>
          <w:rFonts w:cstheme="minorHAnsi"/>
          <w:lang w:val="fr-FR"/>
        </w:rPr>
        <w:t xml:space="preserve"> </w:t>
      </w:r>
    </w:p>
    <w:p w:rsidR="00C7765C" w:rsidRDefault="00C7765C" w:rsidP="00425F1B">
      <w:pPr>
        <w:spacing w:after="0" w:line="240" w:lineRule="auto"/>
        <w:jc w:val="both"/>
        <w:rPr>
          <w:rFonts w:cstheme="minorHAnsi"/>
          <w:lang w:val="fr-FR"/>
        </w:rPr>
      </w:pPr>
    </w:p>
    <w:p w:rsidR="006B688F" w:rsidRPr="00533E2B" w:rsidRDefault="008F70B0" w:rsidP="00425F1B">
      <w:pPr>
        <w:spacing w:after="0" w:line="240" w:lineRule="auto"/>
        <w:jc w:val="both"/>
        <w:rPr>
          <w:lang w:val="fr-FR"/>
        </w:rPr>
      </w:pPr>
      <w:r>
        <w:rPr>
          <w:rFonts w:cstheme="minorHAnsi"/>
          <w:lang w:val="fr-FR"/>
        </w:rPr>
        <w:t xml:space="preserve">Ainsi, les membres </w:t>
      </w:r>
      <w:r w:rsidR="00313855">
        <w:rPr>
          <w:rFonts w:cstheme="minorHAnsi"/>
          <w:lang w:val="fr-FR"/>
        </w:rPr>
        <w:t xml:space="preserve">du Comité national </w:t>
      </w:r>
      <w:r w:rsidR="002C6CA6">
        <w:rPr>
          <w:rFonts w:cstheme="minorHAnsi"/>
          <w:lang w:val="fr-FR"/>
        </w:rPr>
        <w:t>o</w:t>
      </w:r>
      <w:r w:rsidR="00313855">
        <w:rPr>
          <w:rFonts w:cstheme="minorHAnsi"/>
          <w:lang w:val="fr-FR"/>
        </w:rPr>
        <w:t xml:space="preserve">nt </w:t>
      </w:r>
      <w:r w:rsidR="002C6CA6">
        <w:rPr>
          <w:rFonts w:cstheme="minorHAnsi"/>
          <w:lang w:val="fr-FR"/>
        </w:rPr>
        <w:t>décid</w:t>
      </w:r>
      <w:r w:rsidR="00EC0106">
        <w:rPr>
          <w:rFonts w:cstheme="minorHAnsi"/>
          <w:lang w:val="fr-FR"/>
        </w:rPr>
        <w:t>é</w:t>
      </w:r>
      <w:r w:rsidR="00313855">
        <w:rPr>
          <w:rFonts w:cstheme="minorHAnsi"/>
          <w:lang w:val="fr-FR"/>
        </w:rPr>
        <w:t xml:space="preserve"> </w:t>
      </w:r>
      <w:r w:rsidR="00C7765C">
        <w:rPr>
          <w:rFonts w:cstheme="minorHAnsi"/>
          <w:lang w:val="fr-FR"/>
        </w:rPr>
        <w:t>d’apporter ci-après t</w:t>
      </w:r>
      <w:r w:rsidR="00944C9B">
        <w:rPr>
          <w:rFonts w:cstheme="minorHAnsi"/>
          <w:lang w:val="fr-FR"/>
        </w:rPr>
        <w:t xml:space="preserve">outes les clarifications </w:t>
      </w:r>
      <w:r w:rsidR="00313855">
        <w:rPr>
          <w:rFonts w:cstheme="minorHAnsi"/>
          <w:lang w:val="fr-FR"/>
        </w:rPr>
        <w:t xml:space="preserve">sur les </w:t>
      </w:r>
      <w:r w:rsidR="001D22C4">
        <w:rPr>
          <w:rFonts w:cstheme="minorHAnsi"/>
          <w:lang w:val="fr-FR"/>
        </w:rPr>
        <w:t>question</w:t>
      </w:r>
      <w:r w:rsidR="00313855">
        <w:rPr>
          <w:rFonts w:cstheme="minorHAnsi"/>
          <w:lang w:val="fr-FR"/>
        </w:rPr>
        <w:t>s évoqué</w:t>
      </w:r>
      <w:r w:rsidR="001D22C4">
        <w:rPr>
          <w:rFonts w:cstheme="minorHAnsi"/>
          <w:lang w:val="fr-FR"/>
        </w:rPr>
        <w:t>e</w:t>
      </w:r>
      <w:r w:rsidR="00313855">
        <w:rPr>
          <w:rFonts w:cstheme="minorHAnsi"/>
          <w:lang w:val="fr-FR"/>
        </w:rPr>
        <w:t xml:space="preserve">s par rapport à la participation de l’Etat (Exigence 2.6) et </w:t>
      </w:r>
      <w:r w:rsidR="00F70F07">
        <w:rPr>
          <w:rFonts w:cstheme="minorHAnsi"/>
          <w:lang w:val="fr-FR"/>
        </w:rPr>
        <w:t>la valeur des données de production (Exigence 3.2).</w:t>
      </w:r>
    </w:p>
    <w:p w:rsidR="00BE48E7" w:rsidRPr="00A758A7" w:rsidRDefault="00BE48E7" w:rsidP="00425F1B">
      <w:pPr>
        <w:spacing w:after="0" w:line="240" w:lineRule="auto"/>
        <w:jc w:val="both"/>
        <w:rPr>
          <w:rFonts w:cstheme="minorHAnsi"/>
          <w:lang w:val="fr-FR"/>
        </w:rPr>
      </w:pPr>
    </w:p>
    <w:p w:rsidR="004E6788" w:rsidRPr="00A758A7" w:rsidRDefault="004E6788" w:rsidP="00F12713">
      <w:pPr>
        <w:spacing w:after="0" w:line="240" w:lineRule="auto"/>
        <w:rPr>
          <w:rFonts w:eastAsia="Calibri" w:cstheme="minorHAnsi"/>
          <w:color w:val="FF0000"/>
          <w:lang w:val="fr-FR" w:bidi="en-US"/>
        </w:rPr>
      </w:pPr>
    </w:p>
    <w:p w:rsidR="00FA28A9" w:rsidRDefault="00FA28A9" w:rsidP="00F12713">
      <w:pPr>
        <w:spacing w:after="0" w:line="240" w:lineRule="auto"/>
        <w:rPr>
          <w:b/>
          <w:color w:val="365F91" w:themeColor="accent1" w:themeShade="BF"/>
          <w:lang w:val="fr-FR"/>
        </w:rPr>
      </w:pPr>
      <w:r w:rsidRPr="00A758A7">
        <w:rPr>
          <w:rFonts w:cstheme="minorHAnsi"/>
          <w:b/>
          <w:color w:val="365F91" w:themeColor="accent1" w:themeShade="BF"/>
          <w:lang w:val="fr-FR"/>
        </w:rPr>
        <w:t>3</w:t>
      </w:r>
      <w:r w:rsidR="007E6544">
        <w:rPr>
          <w:rFonts w:cstheme="minorHAnsi"/>
          <w:b/>
          <w:color w:val="365F91" w:themeColor="accent1" w:themeShade="BF"/>
          <w:lang w:val="fr-FR"/>
        </w:rPr>
        <w:t xml:space="preserve">. </w:t>
      </w:r>
      <w:r w:rsidR="00B6198A">
        <w:rPr>
          <w:b/>
          <w:color w:val="365F91" w:themeColor="accent1" w:themeShade="BF"/>
          <w:lang w:val="fr-FR"/>
        </w:rPr>
        <w:t xml:space="preserve">REPONSES DU COMITE NATIONAL </w:t>
      </w:r>
    </w:p>
    <w:p w:rsidR="00F0746F" w:rsidRDefault="00F0746F" w:rsidP="00F12713">
      <w:pPr>
        <w:spacing w:after="0" w:line="240" w:lineRule="auto"/>
        <w:rPr>
          <w:b/>
          <w:color w:val="365F91" w:themeColor="accent1" w:themeShade="BF"/>
          <w:lang w:val="fr-FR"/>
        </w:rPr>
      </w:pPr>
    </w:p>
    <w:p w:rsidR="006564D9" w:rsidRDefault="00FC683E" w:rsidP="006564D9">
      <w:pPr>
        <w:spacing w:after="0" w:line="240" w:lineRule="auto"/>
        <w:ind w:firstLine="720"/>
        <w:rPr>
          <w:b/>
          <w:color w:val="365F91" w:themeColor="accent1" w:themeShade="BF"/>
          <w:lang w:val="fr-FR"/>
        </w:rPr>
      </w:pPr>
      <w:r w:rsidRPr="00A758A7">
        <w:rPr>
          <w:rFonts w:cstheme="minorHAnsi"/>
          <w:b/>
          <w:color w:val="365F91" w:themeColor="accent1" w:themeShade="BF"/>
          <w:lang w:val="fr-FR"/>
        </w:rPr>
        <w:t>3</w:t>
      </w:r>
      <w:r>
        <w:rPr>
          <w:rFonts w:cstheme="minorHAnsi"/>
          <w:b/>
          <w:color w:val="365F91" w:themeColor="accent1" w:themeShade="BF"/>
          <w:lang w:val="fr-FR"/>
        </w:rPr>
        <w:t xml:space="preserve">.1 </w:t>
      </w:r>
      <w:r>
        <w:rPr>
          <w:b/>
          <w:color w:val="365F91" w:themeColor="accent1" w:themeShade="BF"/>
          <w:lang w:val="fr-FR"/>
        </w:rPr>
        <w:t xml:space="preserve">EXIGENCE 2.6 PARTICIPATION DE L’ETAT </w:t>
      </w:r>
    </w:p>
    <w:p w:rsidR="0088747D" w:rsidRPr="0088747D" w:rsidRDefault="0088747D" w:rsidP="0088747D">
      <w:pPr>
        <w:widowControl w:val="0"/>
        <w:suppressAutoHyphens/>
        <w:spacing w:before="120" w:after="240" w:line="260" w:lineRule="auto"/>
        <w:jc w:val="both"/>
        <w:rPr>
          <w:b/>
          <w:i/>
          <w:sz w:val="20"/>
          <w:lang w:val="fr-FR"/>
        </w:rPr>
      </w:pPr>
      <w:r w:rsidRPr="0088747D">
        <w:rPr>
          <w:b/>
          <w:i/>
          <w:sz w:val="20"/>
          <w:lang w:val="fr-FR"/>
        </w:rPr>
        <w:t>Conformément à l’Exigence 2.6, le Groupe multipartite devra préciser dans les futurs Rapports ITIE les règlements statutaires régissant les relations financières entre la Société des Pétroles du Sénégal (Petrosen), la Société des Mines de Fer du Sénégal Oriental (Miferso) et le gouvernement. Le gouvernement est également encouragé à continuer d’équiper le service des hydrocarbures avec des outils de contrôle pour mieux suivre les plans de travail et les paiements au gouvernement à mesure que ce secteur se développe.</w:t>
      </w:r>
    </w:p>
    <w:p w:rsidR="0088747D" w:rsidRDefault="0088747D" w:rsidP="006564D9">
      <w:pPr>
        <w:spacing w:after="0" w:line="240" w:lineRule="auto"/>
        <w:ind w:firstLine="720"/>
        <w:rPr>
          <w:b/>
          <w:color w:val="365F91" w:themeColor="accent1" w:themeShade="BF"/>
          <w:lang w:val="fr-FR"/>
        </w:rPr>
      </w:pPr>
    </w:p>
    <w:p w:rsidR="006564D9" w:rsidRDefault="006564D9" w:rsidP="00F0746F">
      <w:pPr>
        <w:spacing w:after="0" w:line="240" w:lineRule="auto"/>
        <w:jc w:val="both"/>
        <w:rPr>
          <w:lang w:val="fr-FR"/>
        </w:rPr>
      </w:pPr>
    </w:p>
    <w:p w:rsidR="00F0746F" w:rsidRPr="00F0746F" w:rsidRDefault="00A55069" w:rsidP="00425F1B">
      <w:pPr>
        <w:spacing w:after="0" w:line="240" w:lineRule="auto"/>
        <w:jc w:val="both"/>
        <w:rPr>
          <w:lang w:val="fr-FR"/>
        </w:rPr>
      </w:pPr>
      <w:r>
        <w:rPr>
          <w:lang w:val="fr-FR"/>
        </w:rPr>
        <w:lastRenderedPageBreak/>
        <w:t xml:space="preserve">Au Sénégal, </w:t>
      </w:r>
      <w:r w:rsidR="00F0746F" w:rsidRPr="00F0746F">
        <w:rPr>
          <w:lang w:val="fr-FR"/>
        </w:rPr>
        <w:t xml:space="preserve">les entreprises publiques bénéficiant d’un financement de l’Etat sont définies par </w:t>
      </w:r>
      <w:r w:rsidR="006564D9">
        <w:rPr>
          <w:lang w:val="fr-FR"/>
        </w:rPr>
        <w:t xml:space="preserve">la </w:t>
      </w:r>
      <w:r w:rsidR="006564D9" w:rsidRPr="00761D1B">
        <w:rPr>
          <w:b/>
          <w:lang w:val="fr-FR"/>
        </w:rPr>
        <w:t xml:space="preserve">loi n°90-07 du 26 juin 1990 </w:t>
      </w:r>
      <w:r w:rsidR="00F0746F" w:rsidRPr="00761D1B">
        <w:rPr>
          <w:b/>
          <w:lang w:val="fr-FR"/>
        </w:rPr>
        <w:t>relative à l’organisation et au contrôle des entreprises du secteur public et au contrôle des personnes morales de droit privé bénéficiant du concours financier de la puissance publique</w:t>
      </w:r>
      <w:r w:rsidR="00F0746F" w:rsidRPr="00F0746F">
        <w:rPr>
          <w:lang w:val="fr-FR"/>
        </w:rPr>
        <w:t xml:space="preserve"> </w:t>
      </w:r>
      <w:r w:rsidR="00F0746F" w:rsidRPr="00761D1B">
        <w:rPr>
          <w:b/>
          <w:lang w:val="fr-FR"/>
        </w:rPr>
        <w:t>(Journal officiel du 7 juillet 1999)</w:t>
      </w:r>
      <w:r w:rsidR="00F0746F" w:rsidRPr="00761D1B">
        <w:rPr>
          <w:rStyle w:val="Appelnotedebasdep"/>
          <w:b/>
          <w:lang w:val="fr-FR"/>
        </w:rPr>
        <w:footnoteReference w:id="1"/>
      </w:r>
      <w:r w:rsidR="00F0746F" w:rsidRPr="00761D1B">
        <w:rPr>
          <w:b/>
          <w:lang w:val="fr-FR"/>
        </w:rPr>
        <w:t>.</w:t>
      </w:r>
      <w:r w:rsidR="00F0746F" w:rsidRPr="00F0746F">
        <w:rPr>
          <w:lang w:val="fr-FR"/>
        </w:rPr>
        <w:t xml:space="preserve"> C’est</w:t>
      </w:r>
      <w:r w:rsidR="00CE2526">
        <w:rPr>
          <w:lang w:val="fr-FR"/>
        </w:rPr>
        <w:t xml:space="preserve"> cette même loi, en son article 6 qui précise </w:t>
      </w:r>
      <w:r w:rsidR="00F0746F" w:rsidRPr="00F0746F">
        <w:rPr>
          <w:lang w:val="fr-FR"/>
        </w:rPr>
        <w:t>que « sont considérées comme société</w:t>
      </w:r>
      <w:r w:rsidR="00CE2526">
        <w:rPr>
          <w:lang w:val="fr-FR"/>
        </w:rPr>
        <w:t>s</w:t>
      </w:r>
      <w:r w:rsidR="00F0746F" w:rsidRPr="00F0746F">
        <w:rPr>
          <w:lang w:val="fr-FR"/>
        </w:rPr>
        <w:t xml:space="preserve"> anonymes à participation publique majoritaire, des sociétés dans lesquelles une ou plusieurs personnes publiques possèdent directement ou indirectement au moins 50% du capital social ». Ainsi, une société anonyme « à participation publi</w:t>
      </w:r>
      <w:r w:rsidR="00761D1B">
        <w:rPr>
          <w:lang w:val="fr-FR"/>
        </w:rPr>
        <w:t xml:space="preserve">que majoritaire peut bénéficier (…) </w:t>
      </w:r>
      <w:r w:rsidR="00F0746F" w:rsidRPr="00F0746F">
        <w:rPr>
          <w:lang w:val="fr-FR"/>
        </w:rPr>
        <w:t>d’av</w:t>
      </w:r>
      <w:r w:rsidR="00264DF5">
        <w:rPr>
          <w:lang w:val="fr-FR"/>
        </w:rPr>
        <w:t xml:space="preserve">antages en nature ou en espèces </w:t>
      </w:r>
      <w:r w:rsidR="00F0746F" w:rsidRPr="00F0746F">
        <w:rPr>
          <w:lang w:val="fr-FR"/>
        </w:rPr>
        <w:t>»</w:t>
      </w:r>
      <w:r w:rsidR="00264DF5">
        <w:rPr>
          <w:lang w:val="fr-FR"/>
        </w:rPr>
        <w:t xml:space="preserve"> provenant de l’Etat </w:t>
      </w:r>
      <w:r w:rsidR="00F0746F" w:rsidRPr="00F0746F">
        <w:rPr>
          <w:lang w:val="fr-FR"/>
        </w:rPr>
        <w:t xml:space="preserve">(article 47 de la loi </w:t>
      </w:r>
      <w:r w:rsidR="006564D9" w:rsidRPr="00F0746F">
        <w:rPr>
          <w:lang w:val="fr-FR"/>
        </w:rPr>
        <w:t>n°90-07 du 26 juin 1990</w:t>
      </w:r>
      <w:r w:rsidR="00F0746F" w:rsidRPr="00F0746F">
        <w:rPr>
          <w:lang w:val="fr-FR"/>
        </w:rPr>
        <w:t>).</w:t>
      </w:r>
    </w:p>
    <w:p w:rsidR="006564D9" w:rsidRPr="00A758A7" w:rsidRDefault="006564D9" w:rsidP="00F12713">
      <w:pPr>
        <w:spacing w:after="0" w:line="240" w:lineRule="auto"/>
        <w:rPr>
          <w:rFonts w:cstheme="minorHAnsi"/>
          <w:b/>
          <w:color w:val="365F91" w:themeColor="accent1" w:themeShade="BF"/>
          <w:lang w:val="fr-FR"/>
        </w:rPr>
      </w:pPr>
    </w:p>
    <w:p w:rsidR="004D67F0" w:rsidRDefault="00333822" w:rsidP="00425F1B">
      <w:pPr>
        <w:pStyle w:val="Paragraphedeliste"/>
        <w:widowControl w:val="0"/>
        <w:numPr>
          <w:ilvl w:val="0"/>
          <w:numId w:val="10"/>
        </w:numPr>
        <w:suppressAutoHyphens/>
        <w:spacing w:before="120" w:after="240" w:line="260" w:lineRule="auto"/>
        <w:ind w:left="714" w:hanging="357"/>
        <w:jc w:val="both"/>
        <w:rPr>
          <w:lang w:val="fr-FR"/>
        </w:rPr>
      </w:pPr>
      <w:r w:rsidRPr="00333822">
        <w:rPr>
          <w:lang w:val="fr-FR"/>
        </w:rPr>
        <w:t>PETROSEN est une société anonyme à participation publique majoritaire (détenue à 99% par l’État ; à 1% par la Société Nationale de Recouvrement</w:t>
      </w:r>
      <w:r w:rsidR="00DA2662">
        <w:rPr>
          <w:lang w:val="fr-FR"/>
        </w:rPr>
        <w:t xml:space="preserve"> - SNR</w:t>
      </w:r>
      <w:r w:rsidRPr="00333822">
        <w:rPr>
          <w:lang w:val="fr-FR"/>
        </w:rPr>
        <w:t>), créée en mai 1981</w:t>
      </w:r>
      <w:r w:rsidR="002D3E70">
        <w:rPr>
          <w:rStyle w:val="Appelnotedebasdep"/>
          <w:lang w:val="fr-FR"/>
        </w:rPr>
        <w:footnoteReference w:id="2"/>
      </w:r>
      <w:r w:rsidRPr="00333822">
        <w:rPr>
          <w:lang w:val="fr-FR"/>
        </w:rPr>
        <w:t>.</w:t>
      </w:r>
      <w:r w:rsidR="00F205CD">
        <w:rPr>
          <w:lang w:val="fr-FR"/>
        </w:rPr>
        <w:t xml:space="preserve"> </w:t>
      </w:r>
      <w:r w:rsidR="008A4736" w:rsidRPr="00F0746F">
        <w:rPr>
          <w:lang w:val="fr-FR"/>
        </w:rPr>
        <w:t>PETROSEN es</w:t>
      </w:r>
      <w:r w:rsidR="004B0F96">
        <w:rPr>
          <w:lang w:val="fr-FR"/>
        </w:rPr>
        <w:t xml:space="preserve">t régie par des statuts </w:t>
      </w:r>
      <w:r w:rsidR="008A4736" w:rsidRPr="00F0746F">
        <w:rPr>
          <w:lang w:val="fr-FR"/>
        </w:rPr>
        <w:t>conforme</w:t>
      </w:r>
      <w:r w:rsidR="004B0F96">
        <w:rPr>
          <w:lang w:val="fr-FR"/>
        </w:rPr>
        <w:t>s</w:t>
      </w:r>
      <w:r w:rsidR="008A4736" w:rsidRPr="00F0746F">
        <w:rPr>
          <w:lang w:val="fr-FR"/>
        </w:rPr>
        <w:t xml:space="preserve"> à la législation en vigueur. </w:t>
      </w:r>
      <w:r w:rsidR="00677DAD" w:rsidRPr="00F0746F">
        <w:rPr>
          <w:lang w:val="fr-FR"/>
        </w:rPr>
        <w:t xml:space="preserve">En </w:t>
      </w:r>
      <w:r w:rsidR="004B0F96">
        <w:rPr>
          <w:lang w:val="fr-FR"/>
        </w:rPr>
        <w:t>outre</w:t>
      </w:r>
      <w:r w:rsidR="00677DAD" w:rsidRPr="00F0746F">
        <w:rPr>
          <w:lang w:val="fr-FR"/>
        </w:rPr>
        <w:t>,</w:t>
      </w:r>
      <w:r w:rsidR="00F205CD">
        <w:rPr>
          <w:lang w:val="fr-FR"/>
        </w:rPr>
        <w:t xml:space="preserve"> PETROSEN fonctionne</w:t>
      </w:r>
      <w:r w:rsidR="008A4736" w:rsidRPr="00F0746F">
        <w:rPr>
          <w:lang w:val="fr-FR"/>
        </w:rPr>
        <w:t xml:space="preserve"> </w:t>
      </w:r>
      <w:r w:rsidR="00F205CD">
        <w:rPr>
          <w:lang w:val="fr-FR"/>
        </w:rPr>
        <w:t>sur la base</w:t>
      </w:r>
      <w:r w:rsidR="008A4736" w:rsidRPr="00F0746F">
        <w:rPr>
          <w:lang w:val="fr-FR"/>
        </w:rPr>
        <w:t xml:space="preserve"> </w:t>
      </w:r>
      <w:r w:rsidR="00F205CD">
        <w:rPr>
          <w:lang w:val="fr-FR"/>
        </w:rPr>
        <w:t>d</w:t>
      </w:r>
      <w:r w:rsidR="008A4736" w:rsidRPr="00F0746F">
        <w:rPr>
          <w:lang w:val="fr-FR"/>
        </w:rPr>
        <w:t xml:space="preserve">es règles de droit privé (droit OHADA commun à </w:t>
      </w:r>
      <w:r w:rsidR="00500873">
        <w:rPr>
          <w:lang w:val="fr-FR"/>
        </w:rPr>
        <w:t xml:space="preserve">dix-sept (17) </w:t>
      </w:r>
      <w:r w:rsidR="008A4736" w:rsidRPr="00F0746F">
        <w:rPr>
          <w:lang w:val="fr-FR"/>
        </w:rPr>
        <w:t>pays</w:t>
      </w:r>
      <w:r w:rsidR="00677DAD" w:rsidRPr="00F0746F">
        <w:rPr>
          <w:lang w:val="fr-FR"/>
        </w:rPr>
        <w:t xml:space="preserve"> d’Afrique</w:t>
      </w:r>
      <w:r w:rsidR="00500873">
        <w:rPr>
          <w:lang w:val="fr-FR"/>
        </w:rPr>
        <w:t>)</w:t>
      </w:r>
      <w:r w:rsidR="00254F7A">
        <w:rPr>
          <w:lang w:val="fr-FR"/>
        </w:rPr>
        <w:t xml:space="preserve">. A cet égard, </w:t>
      </w:r>
      <w:r w:rsidR="00F039D4" w:rsidRPr="007A4938">
        <w:rPr>
          <w:b/>
          <w:lang w:val="fr-FR"/>
        </w:rPr>
        <w:t>l’Acte uniforme relatif au droit des sociétés commerciales et du groupement d'intérêt économique</w:t>
      </w:r>
      <w:r w:rsidR="00F039D4">
        <w:rPr>
          <w:lang w:val="fr-FR"/>
        </w:rPr>
        <w:t xml:space="preserve"> donne la possibilité aux </w:t>
      </w:r>
      <w:r w:rsidR="00254F7A" w:rsidRPr="00254F7A">
        <w:rPr>
          <w:lang w:val="fr-FR"/>
        </w:rPr>
        <w:t xml:space="preserve">sociétés anonymes </w:t>
      </w:r>
      <w:r w:rsidR="00F039D4">
        <w:rPr>
          <w:lang w:val="fr-FR"/>
        </w:rPr>
        <w:t>de</w:t>
      </w:r>
      <w:r w:rsidR="00254F7A" w:rsidRPr="00254F7A">
        <w:rPr>
          <w:lang w:val="fr-FR"/>
        </w:rPr>
        <w:t xml:space="preserve"> co</w:t>
      </w:r>
      <w:r w:rsidR="00235031">
        <w:rPr>
          <w:lang w:val="fr-FR"/>
        </w:rPr>
        <w:t xml:space="preserve">nclure des contrats financiers, </w:t>
      </w:r>
      <w:r w:rsidR="00254F7A" w:rsidRPr="00254F7A">
        <w:rPr>
          <w:lang w:val="fr-FR"/>
        </w:rPr>
        <w:t>dénommés « instruments financiers à terme », le cas échéant dans les conditions fixées par l'autorité compétente de chaque État partie</w:t>
      </w:r>
      <w:r w:rsidR="00235031">
        <w:rPr>
          <w:rStyle w:val="Appelnotedebasdep"/>
          <w:lang w:val="fr-FR"/>
        </w:rPr>
        <w:footnoteReference w:id="3"/>
      </w:r>
      <w:r w:rsidR="000257A7">
        <w:rPr>
          <w:lang w:val="fr-FR"/>
        </w:rPr>
        <w:t xml:space="preserve"> </w:t>
      </w:r>
      <w:r w:rsidR="00235031">
        <w:rPr>
          <w:lang w:val="fr-FR"/>
        </w:rPr>
        <w:t>(article 744</w:t>
      </w:r>
      <w:r w:rsidR="000257A7">
        <w:rPr>
          <w:lang w:val="fr-FR"/>
        </w:rPr>
        <w:t>)</w:t>
      </w:r>
      <w:r w:rsidR="00254F7A" w:rsidRPr="00254F7A">
        <w:rPr>
          <w:lang w:val="fr-FR"/>
        </w:rPr>
        <w:t>.</w:t>
      </w:r>
      <w:r w:rsidR="000257A7">
        <w:rPr>
          <w:lang w:val="fr-FR"/>
        </w:rPr>
        <w:t xml:space="preserve"> </w:t>
      </w:r>
      <w:r w:rsidR="00F87AFF" w:rsidRPr="00F0746F">
        <w:rPr>
          <w:lang w:val="fr-FR"/>
        </w:rPr>
        <w:t xml:space="preserve">L'examen des états financiers de PETROSEN en 2014 ne permet de déceler aucun emprunt, bail ou crédits assimilés. </w:t>
      </w:r>
      <w:r w:rsidR="007A4938">
        <w:rPr>
          <w:lang w:val="fr-FR"/>
        </w:rPr>
        <w:t>PETROSEN</w:t>
      </w:r>
      <w:r w:rsidR="00F87AFF" w:rsidRPr="00F0746F">
        <w:rPr>
          <w:lang w:val="fr-FR"/>
        </w:rPr>
        <w:t xml:space="preserve"> dét</w:t>
      </w:r>
      <w:r w:rsidR="007A4938">
        <w:rPr>
          <w:lang w:val="fr-FR"/>
        </w:rPr>
        <w:t>enait en 2014</w:t>
      </w:r>
      <w:r w:rsidR="00F87AFF" w:rsidRPr="00F0746F">
        <w:rPr>
          <w:lang w:val="fr-FR"/>
        </w:rPr>
        <w:t xml:space="preserve"> des parts dans des sociétés publiques, notamment la Société Africaine de Raffinage</w:t>
      </w:r>
      <w:r w:rsidR="007A4938">
        <w:rPr>
          <w:lang w:val="fr-FR"/>
        </w:rPr>
        <w:t xml:space="preserve"> –SAR </w:t>
      </w:r>
      <w:r w:rsidR="00F87AFF" w:rsidRPr="00F0746F">
        <w:rPr>
          <w:lang w:val="fr-FR"/>
        </w:rPr>
        <w:t>(46%) et la société Senegal POWER (34%)</w:t>
      </w:r>
      <w:r w:rsidR="007A4938">
        <w:rPr>
          <w:lang w:val="fr-FR"/>
        </w:rPr>
        <w:t xml:space="preserve"> dont le projet n’a pas abouti</w:t>
      </w:r>
      <w:r w:rsidR="00F87AFF" w:rsidRPr="00F0746F">
        <w:rPr>
          <w:lang w:val="fr-FR"/>
        </w:rPr>
        <w:t>. Jusqu'en 2014, l’Etat n'a jamais eu à couvrir ou garantir des prêts en faveur de PETROSEN</w:t>
      </w:r>
      <w:r w:rsidR="000B72F4">
        <w:rPr>
          <w:lang w:val="fr-FR"/>
        </w:rPr>
        <w:t>, ni en faveur d’aucune autre entreprise du secteur extractif</w:t>
      </w:r>
      <w:r w:rsidR="00F87AFF" w:rsidRPr="00F0746F">
        <w:rPr>
          <w:lang w:val="fr-FR"/>
        </w:rPr>
        <w:t>. De même, PETROSEN n’a</w:t>
      </w:r>
      <w:r w:rsidR="004D67F0">
        <w:rPr>
          <w:lang w:val="fr-FR"/>
        </w:rPr>
        <w:t xml:space="preserve"> </w:t>
      </w:r>
      <w:r w:rsidR="00F87AFF" w:rsidRPr="00F0746F">
        <w:rPr>
          <w:lang w:val="fr-FR"/>
        </w:rPr>
        <w:t>accordé aucune garantie, ni prêt aux sociétés op</w:t>
      </w:r>
      <w:r w:rsidR="004D67F0">
        <w:rPr>
          <w:lang w:val="fr-FR"/>
        </w:rPr>
        <w:t>érant dans le secteur extractif.</w:t>
      </w:r>
    </w:p>
    <w:p w:rsidR="008D75CF" w:rsidRDefault="008D75CF" w:rsidP="00425F1B">
      <w:pPr>
        <w:pStyle w:val="Paragraphedeliste"/>
        <w:widowControl w:val="0"/>
        <w:suppressAutoHyphens/>
        <w:spacing w:before="120" w:after="240" w:line="260" w:lineRule="auto"/>
        <w:ind w:left="714"/>
        <w:jc w:val="both"/>
        <w:rPr>
          <w:lang w:val="fr-FR"/>
        </w:rPr>
      </w:pPr>
    </w:p>
    <w:p w:rsidR="009236F3" w:rsidRPr="009236F3" w:rsidRDefault="004D67F0" w:rsidP="00425F1B">
      <w:pPr>
        <w:pStyle w:val="Paragraphedeliste"/>
        <w:widowControl w:val="0"/>
        <w:numPr>
          <w:ilvl w:val="0"/>
          <w:numId w:val="10"/>
        </w:numPr>
        <w:suppressAutoHyphens/>
        <w:spacing w:before="120" w:after="240" w:line="260" w:lineRule="auto"/>
        <w:ind w:left="714" w:hanging="357"/>
        <w:jc w:val="both"/>
        <w:rPr>
          <w:lang w:val="fr-FR"/>
        </w:rPr>
      </w:pPr>
      <w:r w:rsidRPr="004D67F0">
        <w:rPr>
          <w:lang w:val="fr-FR"/>
        </w:rPr>
        <w:t>La Société des Mines de Fer du Sénégal Oriental (MIFERSO) est chargée de la promotion, du développement et de la valorisation des gisements de fer de la Falémé. Elle est détenue à hauteur de 76% par l’Etat du Sénégal</w:t>
      </w:r>
      <w:r w:rsidR="008D75CF">
        <w:rPr>
          <w:lang w:val="fr-FR"/>
        </w:rPr>
        <w:t>, ce qui fait de MIFERSO une société anonyme</w:t>
      </w:r>
      <w:r w:rsidR="008D75CF" w:rsidRPr="008D75CF">
        <w:rPr>
          <w:lang w:val="fr-FR"/>
        </w:rPr>
        <w:t xml:space="preserve"> à participation publique majoritaire</w:t>
      </w:r>
      <w:r w:rsidR="008D75CF">
        <w:rPr>
          <w:lang w:val="fr-FR"/>
        </w:rPr>
        <w:t xml:space="preserve"> au sens de la loi 90-07, au même titre que PETROSEN</w:t>
      </w:r>
      <w:r w:rsidRPr="008D75CF">
        <w:rPr>
          <w:lang w:val="fr-FR"/>
        </w:rPr>
        <w:t xml:space="preserve">. </w:t>
      </w:r>
      <w:r w:rsidR="0036760E">
        <w:rPr>
          <w:lang w:val="fr-FR"/>
        </w:rPr>
        <w:t>Les statuts de MIFERSO</w:t>
      </w:r>
      <w:r w:rsidR="00813555">
        <w:rPr>
          <w:rStyle w:val="Appelnotedebasdep"/>
          <w:lang w:val="fr-FR"/>
        </w:rPr>
        <w:footnoteReference w:id="4"/>
      </w:r>
      <w:r w:rsidR="00813555">
        <w:rPr>
          <w:lang w:val="fr-FR"/>
        </w:rPr>
        <w:t xml:space="preserve"> renforcent la compréhension de l’</w:t>
      </w:r>
      <w:r w:rsidR="00EC5D74">
        <w:rPr>
          <w:lang w:val="fr-FR"/>
        </w:rPr>
        <w:t>organisation de la société.</w:t>
      </w:r>
      <w:r w:rsidR="00256BEC">
        <w:rPr>
          <w:lang w:val="fr-FR"/>
        </w:rPr>
        <w:t xml:space="preserve">       </w:t>
      </w:r>
      <w:r w:rsidR="00256BEC" w:rsidRPr="00256BEC">
        <w:rPr>
          <w:lang w:val="fr-FR"/>
        </w:rPr>
        <w:t>Sur la base des états financier</w:t>
      </w:r>
      <w:r w:rsidR="00256BEC">
        <w:rPr>
          <w:lang w:val="fr-FR"/>
        </w:rPr>
        <w:t>s 2014 de M</w:t>
      </w:r>
      <w:r w:rsidR="00EB780A">
        <w:rPr>
          <w:lang w:val="fr-FR"/>
        </w:rPr>
        <w:t>IFERSO</w:t>
      </w:r>
      <w:r w:rsidR="00256BEC">
        <w:rPr>
          <w:lang w:val="fr-FR"/>
        </w:rPr>
        <w:t xml:space="preserve">, l’entreprise </w:t>
      </w:r>
      <w:r w:rsidR="00256BEC" w:rsidRPr="00256BEC">
        <w:rPr>
          <w:lang w:val="fr-FR"/>
        </w:rPr>
        <w:t xml:space="preserve">n’avait aucun prêt, crédit-bail ou </w:t>
      </w:r>
      <w:r w:rsidR="005D75B8">
        <w:rPr>
          <w:lang w:val="fr-FR"/>
        </w:rPr>
        <w:t xml:space="preserve">crédit assimilé en cours, et </w:t>
      </w:r>
      <w:r w:rsidR="00256BEC" w:rsidRPr="00256BEC">
        <w:rPr>
          <w:lang w:val="fr-FR"/>
        </w:rPr>
        <w:t>le gouvernement n’avait jamais eu à fournir de prêts ou de garanties de prêt à M</w:t>
      </w:r>
      <w:r w:rsidR="00EB780A">
        <w:rPr>
          <w:lang w:val="fr-FR"/>
        </w:rPr>
        <w:t>IFERSO</w:t>
      </w:r>
      <w:r w:rsidR="009236F3">
        <w:rPr>
          <w:lang w:val="fr-FR"/>
        </w:rPr>
        <w:t>. Par ailleurs, par rapport aux indications du rapport initial de collecte : « </w:t>
      </w:r>
      <w:r w:rsidR="009236F3" w:rsidRPr="009236F3">
        <w:rPr>
          <w:lang w:val="fr-FR"/>
        </w:rPr>
        <w:t>Bien que le rapport laisse entendre que le gouvernement a droit à des di</w:t>
      </w:r>
      <w:r w:rsidR="00C26C2C">
        <w:rPr>
          <w:lang w:val="fr-FR"/>
        </w:rPr>
        <w:t>videndes de la part de M</w:t>
      </w:r>
      <w:r w:rsidR="00EB780A">
        <w:rPr>
          <w:lang w:val="fr-FR"/>
        </w:rPr>
        <w:t>IFERSO</w:t>
      </w:r>
      <w:r w:rsidR="00C26C2C">
        <w:rPr>
          <w:lang w:val="fr-FR"/>
        </w:rPr>
        <w:t xml:space="preserve">, </w:t>
      </w:r>
      <w:r w:rsidR="009236F3" w:rsidRPr="009236F3">
        <w:rPr>
          <w:lang w:val="fr-FR"/>
        </w:rPr>
        <w:t>il explique que cette dernière n’a jamais, à ce jour, versé de dividendes au gouvernement étant donné les difficultés de mise en exploitation des gisements de minerai de fer de Falémé (Rapport ITIE 2014, p. 35)</w:t>
      </w:r>
      <w:r w:rsidR="009236F3">
        <w:rPr>
          <w:lang w:val="fr-FR"/>
        </w:rPr>
        <w:t> »</w:t>
      </w:r>
      <w:r w:rsidR="00117CB2">
        <w:rPr>
          <w:lang w:val="fr-FR"/>
        </w:rPr>
        <w:t>, il est important de noter que M</w:t>
      </w:r>
      <w:r w:rsidR="00EB780A">
        <w:rPr>
          <w:lang w:val="fr-FR"/>
        </w:rPr>
        <w:t>IFERSO</w:t>
      </w:r>
      <w:r w:rsidR="00117CB2">
        <w:rPr>
          <w:lang w:val="fr-FR"/>
        </w:rPr>
        <w:t xml:space="preserve"> n’est pas encore en phase d’exploitation, et par conséquent, aucu</w:t>
      </w:r>
      <w:r w:rsidR="00563229">
        <w:rPr>
          <w:lang w:val="fr-FR"/>
        </w:rPr>
        <w:t>n dividende n’est généré</w:t>
      </w:r>
      <w:r w:rsidR="00E863F3">
        <w:rPr>
          <w:lang w:val="fr-FR"/>
        </w:rPr>
        <w:t xml:space="preserve"> par s</w:t>
      </w:r>
      <w:r w:rsidR="00117CB2">
        <w:rPr>
          <w:lang w:val="fr-FR"/>
        </w:rPr>
        <w:t>es activités</w:t>
      </w:r>
      <w:r w:rsidR="006A21EA">
        <w:rPr>
          <w:rStyle w:val="Appelnotedebasdep"/>
          <w:lang w:val="fr-FR"/>
        </w:rPr>
        <w:footnoteReference w:id="5"/>
      </w:r>
      <w:r w:rsidR="00117CB2">
        <w:rPr>
          <w:lang w:val="fr-FR"/>
        </w:rPr>
        <w:t xml:space="preserve">. </w:t>
      </w:r>
    </w:p>
    <w:p w:rsidR="004E6788" w:rsidRDefault="00D93BEB" w:rsidP="00425F1B">
      <w:pPr>
        <w:widowControl w:val="0"/>
        <w:suppressAutoHyphens/>
        <w:spacing w:before="120" w:after="240" w:line="260" w:lineRule="auto"/>
        <w:jc w:val="both"/>
        <w:rPr>
          <w:lang w:val="fr-FR"/>
        </w:rPr>
      </w:pPr>
      <w:r w:rsidRPr="00B92F82">
        <w:rPr>
          <w:b/>
          <w:u w:val="single"/>
          <w:lang w:val="fr-FR"/>
        </w:rPr>
        <w:t>Le GMP est d’avis que la législation en vigueur clarifie les relati</w:t>
      </w:r>
      <w:r w:rsidR="000B48EA" w:rsidRPr="00B92F82">
        <w:rPr>
          <w:b/>
          <w:u w:val="single"/>
          <w:lang w:val="fr-FR"/>
        </w:rPr>
        <w:t>ons statutaires et financières entre l’Etat et les entreprises d’Etat (MIFERSO et PETROSEN). Par conséquent, le GMP considère que le S</w:t>
      </w:r>
      <w:r w:rsidR="006A7158" w:rsidRPr="00B92F82">
        <w:rPr>
          <w:b/>
          <w:u w:val="single"/>
          <w:lang w:val="fr-FR"/>
        </w:rPr>
        <w:t xml:space="preserve">énégal a pleinement satisfait </w:t>
      </w:r>
      <w:r w:rsidR="00670F9A">
        <w:rPr>
          <w:b/>
          <w:u w:val="single"/>
          <w:lang w:val="fr-FR"/>
        </w:rPr>
        <w:t xml:space="preserve">à </w:t>
      </w:r>
      <w:r w:rsidR="000B48EA" w:rsidRPr="00B92F82">
        <w:rPr>
          <w:b/>
          <w:u w:val="single"/>
          <w:lang w:val="fr-FR"/>
        </w:rPr>
        <w:t>l’</w:t>
      </w:r>
      <w:r w:rsidR="00440FA9">
        <w:rPr>
          <w:b/>
          <w:u w:val="single"/>
          <w:lang w:val="fr-FR"/>
        </w:rPr>
        <w:t>E</w:t>
      </w:r>
      <w:r w:rsidR="000B48EA" w:rsidRPr="00B92F82">
        <w:rPr>
          <w:b/>
          <w:u w:val="single"/>
          <w:lang w:val="fr-FR"/>
        </w:rPr>
        <w:t>xigence</w:t>
      </w:r>
      <w:r w:rsidR="00DC3E38" w:rsidRPr="00B92F82">
        <w:rPr>
          <w:b/>
          <w:u w:val="single"/>
          <w:lang w:val="fr-FR"/>
        </w:rPr>
        <w:t xml:space="preserve"> 2.6</w:t>
      </w:r>
      <w:r w:rsidR="00163A6E">
        <w:rPr>
          <w:b/>
          <w:u w:val="single"/>
          <w:lang w:val="fr-FR"/>
        </w:rPr>
        <w:t xml:space="preserve"> de la Norme ITIE</w:t>
      </w:r>
      <w:r w:rsidR="000B48EA">
        <w:rPr>
          <w:lang w:val="fr-FR"/>
        </w:rPr>
        <w:t xml:space="preserve">. </w:t>
      </w:r>
    </w:p>
    <w:p w:rsidR="0088747D" w:rsidRDefault="0088747D" w:rsidP="00425F1B">
      <w:pPr>
        <w:widowControl w:val="0"/>
        <w:suppressAutoHyphens/>
        <w:spacing w:before="120" w:after="240" w:line="260" w:lineRule="auto"/>
        <w:jc w:val="both"/>
        <w:rPr>
          <w:lang w:val="fr-FR"/>
        </w:rPr>
      </w:pPr>
    </w:p>
    <w:p w:rsidR="0088747D" w:rsidRDefault="0088747D" w:rsidP="00425F1B">
      <w:pPr>
        <w:widowControl w:val="0"/>
        <w:suppressAutoHyphens/>
        <w:spacing w:before="120" w:after="240" w:line="260" w:lineRule="auto"/>
        <w:jc w:val="both"/>
        <w:rPr>
          <w:lang w:val="fr-FR"/>
        </w:rPr>
      </w:pPr>
    </w:p>
    <w:p w:rsidR="00A1204D" w:rsidRPr="00C151B2" w:rsidRDefault="00C151B2" w:rsidP="00C151B2">
      <w:pPr>
        <w:spacing w:after="0" w:line="240" w:lineRule="auto"/>
        <w:ind w:firstLine="720"/>
        <w:rPr>
          <w:rFonts w:cstheme="minorHAnsi"/>
          <w:b/>
          <w:color w:val="365F91" w:themeColor="accent1" w:themeShade="BF"/>
          <w:lang w:val="fr-FR"/>
        </w:rPr>
      </w:pPr>
      <w:r>
        <w:rPr>
          <w:rFonts w:cstheme="minorHAnsi"/>
          <w:b/>
          <w:color w:val="365F91" w:themeColor="accent1" w:themeShade="BF"/>
          <w:lang w:val="fr-FR"/>
        </w:rPr>
        <w:lastRenderedPageBreak/>
        <w:t xml:space="preserve">3.2  </w:t>
      </w:r>
      <w:r w:rsidR="00FC683E" w:rsidRPr="00C151B2">
        <w:rPr>
          <w:rFonts w:cstheme="minorHAnsi"/>
          <w:b/>
          <w:color w:val="365F91" w:themeColor="accent1" w:themeShade="BF"/>
          <w:lang w:val="fr-FR"/>
        </w:rPr>
        <w:t>EXIGENCE 3.2 DONNEES DE PRODUCTION</w:t>
      </w:r>
    </w:p>
    <w:p w:rsidR="00353646" w:rsidRPr="00506883" w:rsidRDefault="00632B36" w:rsidP="00353646">
      <w:pPr>
        <w:widowControl w:val="0"/>
        <w:suppressAutoHyphens/>
        <w:spacing w:before="120" w:after="240" w:line="260" w:lineRule="auto"/>
        <w:jc w:val="both"/>
        <w:rPr>
          <w:rFonts w:eastAsia="Calibri"/>
          <w:b/>
          <w:i/>
          <w:sz w:val="20"/>
          <w:lang w:val="fr-FR"/>
        </w:rPr>
      </w:pPr>
      <w:r w:rsidRPr="00506883">
        <w:rPr>
          <w:b/>
          <w:i/>
          <w:sz w:val="20"/>
          <w:lang w:val="fr-FR"/>
        </w:rPr>
        <w:t>«</w:t>
      </w:r>
      <w:r w:rsidR="00206D84">
        <w:rPr>
          <w:b/>
          <w:i/>
          <w:sz w:val="20"/>
          <w:lang w:val="fr-FR"/>
        </w:rPr>
        <w:t xml:space="preserve"> Conformément à l’Exigence 3.2, </w:t>
      </w:r>
      <w:r w:rsidRPr="00506883">
        <w:rPr>
          <w:b/>
          <w:i/>
          <w:sz w:val="20"/>
          <w:lang w:val="fr-FR"/>
        </w:rPr>
        <w:t>le Groupe multipartite devra divulguer les données de production pour l’exercice fiscal couvert par le Rapport ITIE, y compris les volumes de production totale et la valeur de la production par matière de base et, le cas échéant, par État/région. Ces données pourront comprendre des sources possibles des données de production et les informations sur la manière dont le volume et la valeur déclarés dans les</w:t>
      </w:r>
      <w:r w:rsidR="00D73FCB">
        <w:rPr>
          <w:b/>
          <w:i/>
          <w:sz w:val="20"/>
          <w:lang w:val="fr-FR"/>
        </w:rPr>
        <w:t xml:space="preserve"> Rapports ITIE ont été calculés</w:t>
      </w:r>
      <w:r w:rsidRPr="00506883">
        <w:rPr>
          <w:b/>
          <w:i/>
          <w:sz w:val="20"/>
          <w:lang w:val="fr-FR"/>
        </w:rPr>
        <w:t>»</w:t>
      </w:r>
      <w:r w:rsidR="0049649A" w:rsidRPr="00506883">
        <w:rPr>
          <w:b/>
          <w:i/>
          <w:sz w:val="20"/>
          <w:lang w:val="fr-FR"/>
        </w:rPr>
        <w:t xml:space="preserve">. </w:t>
      </w:r>
    </w:p>
    <w:p w:rsidR="00A1204D" w:rsidRPr="00353646" w:rsidRDefault="00A1204D" w:rsidP="00353646">
      <w:pPr>
        <w:widowControl w:val="0"/>
        <w:suppressAutoHyphens/>
        <w:spacing w:before="120" w:after="240" w:line="260" w:lineRule="auto"/>
        <w:jc w:val="both"/>
        <w:rPr>
          <w:rFonts w:eastAsia="Calibri"/>
          <w:b/>
          <w:i/>
          <w:lang w:val="fr-FR"/>
        </w:rPr>
      </w:pPr>
      <w:r w:rsidRPr="00A1204D">
        <w:rPr>
          <w:rFonts w:cstheme="minorHAnsi"/>
          <w:bCs/>
          <w:lang w:val="fr-FR"/>
        </w:rPr>
        <w:t>Les</w:t>
      </w:r>
      <w:r w:rsidR="00430FC5">
        <w:rPr>
          <w:rFonts w:cstheme="minorHAnsi"/>
          <w:bCs/>
          <w:lang w:val="fr-FR"/>
        </w:rPr>
        <w:t xml:space="preserve"> volumes de production divulgués</w:t>
      </w:r>
      <w:r w:rsidRPr="00A1204D">
        <w:rPr>
          <w:rFonts w:cstheme="minorHAnsi"/>
          <w:bCs/>
          <w:lang w:val="fr-FR"/>
        </w:rPr>
        <w:t xml:space="preserve"> dans les rapports ITIE proviennent de deux sources :</w:t>
      </w:r>
    </w:p>
    <w:p w:rsidR="00A1204D" w:rsidRPr="00373D00" w:rsidRDefault="00AC37D9" w:rsidP="00A1204D">
      <w:pPr>
        <w:numPr>
          <w:ilvl w:val="0"/>
          <w:numId w:val="17"/>
        </w:numPr>
        <w:spacing w:after="0" w:line="240" w:lineRule="auto"/>
        <w:jc w:val="both"/>
        <w:rPr>
          <w:rFonts w:cstheme="minorHAnsi"/>
          <w:bCs/>
          <w:i/>
        </w:rPr>
      </w:pPr>
      <w:proofErr w:type="spellStart"/>
      <w:r>
        <w:rPr>
          <w:rFonts w:cstheme="minorHAnsi"/>
          <w:bCs/>
          <w:i/>
        </w:rPr>
        <w:t>Concernant</w:t>
      </w:r>
      <w:proofErr w:type="spellEnd"/>
      <w:r w:rsidR="00A1204D" w:rsidRPr="00A1204D">
        <w:rPr>
          <w:rFonts w:cstheme="minorHAnsi"/>
          <w:bCs/>
          <w:i/>
        </w:rPr>
        <w:t xml:space="preserve"> les mines</w:t>
      </w:r>
    </w:p>
    <w:p w:rsidR="00A1204D" w:rsidRPr="00A1204D" w:rsidRDefault="00A1204D" w:rsidP="00A1204D">
      <w:pPr>
        <w:jc w:val="both"/>
        <w:rPr>
          <w:rFonts w:cstheme="minorHAnsi"/>
          <w:bCs/>
          <w:lang w:val="fr-FR"/>
        </w:rPr>
      </w:pPr>
      <w:r w:rsidRPr="00A1204D">
        <w:rPr>
          <w:rFonts w:cstheme="minorHAnsi"/>
          <w:bCs/>
          <w:lang w:val="fr-FR"/>
        </w:rPr>
        <w:t>a) Les sociétés minières procèdent à la déclaration de la redevance minière.</w:t>
      </w:r>
      <w:r w:rsidR="00991869">
        <w:rPr>
          <w:rFonts w:cstheme="minorHAnsi"/>
          <w:bCs/>
          <w:lang w:val="fr-FR"/>
        </w:rPr>
        <w:t xml:space="preserve"> </w:t>
      </w:r>
      <w:r w:rsidRPr="00A1204D">
        <w:rPr>
          <w:rFonts w:cstheme="minorHAnsi"/>
          <w:bCs/>
          <w:lang w:val="fr-FR"/>
        </w:rPr>
        <w:t>Cette déclaration contient la production vendue ainsi que les ventes à l’étranger et au S</w:t>
      </w:r>
      <w:r w:rsidR="00D73FCB">
        <w:rPr>
          <w:rFonts w:cstheme="minorHAnsi"/>
          <w:bCs/>
          <w:lang w:val="fr-FR"/>
        </w:rPr>
        <w:t xml:space="preserve">énégal, la valeur des ventes, </w:t>
      </w:r>
      <w:r w:rsidRPr="00A1204D">
        <w:rPr>
          <w:rFonts w:cstheme="minorHAnsi"/>
          <w:bCs/>
          <w:lang w:val="fr-FR"/>
        </w:rPr>
        <w:t>et parfois le stock disponible.</w:t>
      </w:r>
      <w:r w:rsidR="00AE476B">
        <w:rPr>
          <w:rFonts w:cstheme="minorHAnsi"/>
          <w:bCs/>
          <w:lang w:val="fr-FR"/>
        </w:rPr>
        <w:t xml:space="preserve"> A présent, l</w:t>
      </w:r>
      <w:r w:rsidRPr="00A1204D">
        <w:rPr>
          <w:rFonts w:cstheme="minorHAnsi"/>
          <w:bCs/>
          <w:lang w:val="fr-FR"/>
        </w:rPr>
        <w:t xml:space="preserve">es déclarations de 2018 contiennent </w:t>
      </w:r>
      <w:r w:rsidR="00D73FCB">
        <w:rPr>
          <w:rFonts w:cstheme="minorHAnsi"/>
          <w:bCs/>
          <w:lang w:val="fr-FR"/>
        </w:rPr>
        <w:t xml:space="preserve">systématiquement </w:t>
      </w:r>
      <w:r w:rsidRPr="00A1204D">
        <w:rPr>
          <w:rFonts w:cstheme="minorHAnsi"/>
          <w:bCs/>
          <w:lang w:val="fr-FR"/>
        </w:rPr>
        <w:t xml:space="preserve">la production stockée.  </w:t>
      </w:r>
    </w:p>
    <w:p w:rsidR="00A1204D" w:rsidRPr="00A1204D" w:rsidRDefault="00C73E3A" w:rsidP="00A1204D">
      <w:pPr>
        <w:jc w:val="both"/>
        <w:rPr>
          <w:rFonts w:cstheme="minorHAnsi"/>
          <w:bCs/>
          <w:lang w:val="fr-FR"/>
        </w:rPr>
      </w:pPr>
      <w:r>
        <w:rPr>
          <w:rFonts w:cstheme="minorHAnsi"/>
          <w:bCs/>
          <w:lang w:val="fr-FR"/>
        </w:rPr>
        <w:t>b) L</w:t>
      </w:r>
      <w:r w:rsidR="00A1204D" w:rsidRPr="00A1204D">
        <w:rPr>
          <w:rFonts w:cstheme="minorHAnsi"/>
          <w:bCs/>
          <w:lang w:val="fr-FR"/>
        </w:rPr>
        <w:t>’</w:t>
      </w:r>
      <w:r>
        <w:rPr>
          <w:rFonts w:cstheme="minorHAnsi"/>
          <w:bCs/>
          <w:lang w:val="fr-FR"/>
        </w:rPr>
        <w:t>A</w:t>
      </w:r>
      <w:r w:rsidR="00A1204D" w:rsidRPr="00A1204D">
        <w:rPr>
          <w:rFonts w:cstheme="minorHAnsi"/>
          <w:bCs/>
          <w:lang w:val="fr-FR"/>
        </w:rPr>
        <w:t xml:space="preserve">dministration </w:t>
      </w:r>
      <w:r>
        <w:rPr>
          <w:rFonts w:cstheme="minorHAnsi"/>
          <w:bCs/>
          <w:lang w:val="fr-FR"/>
        </w:rPr>
        <w:t xml:space="preserve">minière </w:t>
      </w:r>
      <w:r w:rsidR="00A1204D" w:rsidRPr="00A1204D">
        <w:rPr>
          <w:rFonts w:cstheme="minorHAnsi"/>
          <w:bCs/>
          <w:lang w:val="fr-FR"/>
        </w:rPr>
        <w:t xml:space="preserve">procède à la vérification de la déclaration en </w:t>
      </w:r>
      <w:r>
        <w:rPr>
          <w:rFonts w:cstheme="minorHAnsi"/>
          <w:bCs/>
          <w:lang w:val="fr-FR"/>
        </w:rPr>
        <w:t>identifi</w:t>
      </w:r>
      <w:r w:rsidR="00A1204D" w:rsidRPr="00A1204D">
        <w:rPr>
          <w:rFonts w:cstheme="minorHAnsi"/>
          <w:bCs/>
          <w:lang w:val="fr-FR"/>
        </w:rPr>
        <w:t xml:space="preserve">ant les détails de la production vendue, les </w:t>
      </w:r>
      <w:r>
        <w:rPr>
          <w:rFonts w:cstheme="minorHAnsi"/>
          <w:bCs/>
          <w:lang w:val="fr-FR"/>
        </w:rPr>
        <w:t xml:space="preserve">frais déductibles, </w:t>
      </w:r>
      <w:r w:rsidR="00A1204D" w:rsidRPr="00A1204D">
        <w:rPr>
          <w:rFonts w:cstheme="minorHAnsi"/>
          <w:bCs/>
          <w:lang w:val="fr-FR"/>
        </w:rPr>
        <w:t xml:space="preserve">et </w:t>
      </w:r>
      <w:r>
        <w:rPr>
          <w:rFonts w:cstheme="minorHAnsi"/>
          <w:bCs/>
          <w:lang w:val="fr-FR"/>
        </w:rPr>
        <w:t>le</w:t>
      </w:r>
      <w:r w:rsidR="00A1204D" w:rsidRPr="00A1204D">
        <w:rPr>
          <w:rFonts w:cstheme="minorHAnsi"/>
          <w:bCs/>
          <w:lang w:val="fr-FR"/>
        </w:rPr>
        <w:t xml:space="preserve"> calcul </w:t>
      </w:r>
      <w:r>
        <w:rPr>
          <w:rFonts w:cstheme="minorHAnsi"/>
          <w:bCs/>
          <w:lang w:val="fr-FR"/>
        </w:rPr>
        <w:t xml:space="preserve">de </w:t>
      </w:r>
      <w:r w:rsidR="00A1204D" w:rsidRPr="00A1204D">
        <w:rPr>
          <w:rFonts w:cstheme="minorHAnsi"/>
          <w:bCs/>
          <w:lang w:val="fr-FR"/>
        </w:rPr>
        <w:t>la redevance minière. Cette vérification est sanctionnée par un procès-verbal ou un compte rendu.</w:t>
      </w:r>
    </w:p>
    <w:p w:rsidR="00A1204D" w:rsidRPr="00A1204D" w:rsidRDefault="00A1204D" w:rsidP="00A1204D">
      <w:pPr>
        <w:jc w:val="both"/>
        <w:rPr>
          <w:rFonts w:cstheme="minorHAnsi"/>
          <w:bCs/>
          <w:lang w:val="fr-FR"/>
        </w:rPr>
      </w:pPr>
      <w:r w:rsidRPr="00A1204D">
        <w:rPr>
          <w:rFonts w:cstheme="minorHAnsi"/>
          <w:bCs/>
          <w:lang w:val="fr-FR"/>
        </w:rPr>
        <w:t xml:space="preserve">c) </w:t>
      </w:r>
      <w:r w:rsidR="00C73E3A">
        <w:rPr>
          <w:rFonts w:cstheme="minorHAnsi"/>
          <w:bCs/>
          <w:lang w:val="fr-FR"/>
        </w:rPr>
        <w:t>A</w:t>
      </w:r>
      <w:r w:rsidRPr="00A1204D">
        <w:rPr>
          <w:rFonts w:cstheme="minorHAnsi"/>
          <w:bCs/>
          <w:lang w:val="fr-FR"/>
        </w:rPr>
        <w:t xml:space="preserve"> l’issu</w:t>
      </w:r>
      <w:r w:rsidR="002D7D8B">
        <w:rPr>
          <w:rFonts w:cstheme="minorHAnsi"/>
          <w:bCs/>
          <w:lang w:val="fr-FR"/>
        </w:rPr>
        <w:t>e</w:t>
      </w:r>
      <w:r w:rsidRPr="00A1204D">
        <w:rPr>
          <w:rFonts w:cstheme="minorHAnsi"/>
          <w:bCs/>
          <w:lang w:val="fr-FR"/>
        </w:rPr>
        <w:t xml:space="preserve"> de la vérification, l’</w:t>
      </w:r>
      <w:r w:rsidR="00284737">
        <w:rPr>
          <w:rFonts w:cstheme="minorHAnsi"/>
          <w:bCs/>
          <w:lang w:val="fr-FR"/>
        </w:rPr>
        <w:t>A</w:t>
      </w:r>
      <w:r w:rsidRPr="00A1204D">
        <w:rPr>
          <w:rFonts w:cstheme="minorHAnsi"/>
          <w:bCs/>
          <w:lang w:val="fr-FR"/>
        </w:rPr>
        <w:t>dministration</w:t>
      </w:r>
      <w:r w:rsidR="00284737">
        <w:rPr>
          <w:rFonts w:cstheme="minorHAnsi"/>
          <w:bCs/>
          <w:lang w:val="fr-FR"/>
        </w:rPr>
        <w:t xml:space="preserve"> des Mines</w:t>
      </w:r>
      <w:r w:rsidRPr="00A1204D">
        <w:rPr>
          <w:rFonts w:cstheme="minorHAnsi"/>
          <w:bCs/>
          <w:lang w:val="fr-FR"/>
        </w:rPr>
        <w:t xml:space="preserve"> prépare un projet d’arrêté</w:t>
      </w:r>
      <w:r w:rsidR="000E7D60">
        <w:rPr>
          <w:rStyle w:val="Appelnotedebasdep"/>
          <w:bCs/>
          <w:lang w:val="fr-FR"/>
        </w:rPr>
        <w:footnoteReference w:id="6"/>
      </w:r>
      <w:r w:rsidRPr="00A1204D">
        <w:rPr>
          <w:rFonts w:cstheme="minorHAnsi"/>
          <w:bCs/>
          <w:lang w:val="fr-FR"/>
        </w:rPr>
        <w:t xml:space="preserve"> fixant la taxe ad-valorem due pour la société pour l’exercice concernée. Ce projet renseigne sur les ventes à l’étranger et les ventes au Sénégal en précisant :</w:t>
      </w:r>
    </w:p>
    <w:p w:rsidR="00A1204D" w:rsidRPr="00A1204D" w:rsidRDefault="00A1204D" w:rsidP="00A1204D">
      <w:pPr>
        <w:numPr>
          <w:ilvl w:val="0"/>
          <w:numId w:val="15"/>
        </w:numPr>
        <w:spacing w:after="0" w:line="240" w:lineRule="auto"/>
        <w:jc w:val="both"/>
        <w:rPr>
          <w:rFonts w:cstheme="minorHAnsi"/>
          <w:bCs/>
        </w:rPr>
      </w:pPr>
      <w:r w:rsidRPr="00A1204D">
        <w:rPr>
          <w:rFonts w:cstheme="minorHAnsi"/>
          <w:bCs/>
        </w:rPr>
        <w:t>la nature du produit ;</w:t>
      </w:r>
    </w:p>
    <w:p w:rsidR="00A1204D" w:rsidRPr="00A1204D" w:rsidRDefault="00A1204D" w:rsidP="00A1204D">
      <w:pPr>
        <w:numPr>
          <w:ilvl w:val="0"/>
          <w:numId w:val="15"/>
        </w:numPr>
        <w:spacing w:after="0" w:line="240" w:lineRule="auto"/>
        <w:jc w:val="both"/>
        <w:rPr>
          <w:rFonts w:cstheme="minorHAnsi"/>
          <w:bCs/>
        </w:rPr>
      </w:pPr>
      <w:r w:rsidRPr="00A1204D">
        <w:rPr>
          <w:rFonts w:cstheme="minorHAnsi"/>
          <w:bCs/>
        </w:rPr>
        <w:t xml:space="preserve">le tonnage </w:t>
      </w:r>
      <w:proofErr w:type="spellStart"/>
      <w:r w:rsidRPr="00A1204D">
        <w:rPr>
          <w:rFonts w:cstheme="minorHAnsi"/>
          <w:bCs/>
        </w:rPr>
        <w:t>vendu</w:t>
      </w:r>
      <w:proofErr w:type="spellEnd"/>
      <w:r w:rsidRPr="00A1204D">
        <w:rPr>
          <w:rFonts w:cstheme="minorHAnsi"/>
          <w:bCs/>
        </w:rPr>
        <w:t> ;</w:t>
      </w:r>
    </w:p>
    <w:p w:rsidR="00A1204D" w:rsidRPr="00A1204D" w:rsidRDefault="00A1204D" w:rsidP="00A1204D">
      <w:pPr>
        <w:numPr>
          <w:ilvl w:val="0"/>
          <w:numId w:val="15"/>
        </w:numPr>
        <w:spacing w:after="0" w:line="240" w:lineRule="auto"/>
        <w:jc w:val="both"/>
        <w:rPr>
          <w:rFonts w:cstheme="minorHAnsi"/>
          <w:bCs/>
        </w:rPr>
      </w:pPr>
      <w:r w:rsidRPr="00A1204D">
        <w:rPr>
          <w:rFonts w:cstheme="minorHAnsi"/>
          <w:bCs/>
        </w:rPr>
        <w:t xml:space="preserve">les </w:t>
      </w:r>
      <w:proofErr w:type="spellStart"/>
      <w:r w:rsidRPr="00A1204D">
        <w:rPr>
          <w:rFonts w:cstheme="minorHAnsi"/>
          <w:bCs/>
        </w:rPr>
        <w:t>recettes</w:t>
      </w:r>
      <w:proofErr w:type="spellEnd"/>
      <w:r w:rsidRPr="00A1204D">
        <w:rPr>
          <w:rFonts w:cstheme="minorHAnsi"/>
          <w:bCs/>
        </w:rPr>
        <w:t xml:space="preserve"> (F CFA) ;</w:t>
      </w:r>
    </w:p>
    <w:p w:rsidR="00A1204D" w:rsidRPr="00A1204D" w:rsidRDefault="00A1204D" w:rsidP="00A1204D">
      <w:pPr>
        <w:numPr>
          <w:ilvl w:val="0"/>
          <w:numId w:val="15"/>
        </w:numPr>
        <w:spacing w:after="0" w:line="240" w:lineRule="auto"/>
        <w:jc w:val="both"/>
        <w:rPr>
          <w:rFonts w:cstheme="minorHAnsi"/>
          <w:bCs/>
          <w:lang w:val="fr-FR"/>
        </w:rPr>
      </w:pPr>
      <w:r w:rsidRPr="00A1204D">
        <w:rPr>
          <w:rFonts w:cstheme="minorHAnsi"/>
          <w:bCs/>
          <w:lang w:val="fr-FR"/>
        </w:rPr>
        <w:t>le coût à la tonne (F CFA/T)</w:t>
      </w:r>
    </w:p>
    <w:p w:rsidR="00A1204D" w:rsidRPr="00A1204D" w:rsidRDefault="00A1204D" w:rsidP="00A1204D">
      <w:pPr>
        <w:numPr>
          <w:ilvl w:val="0"/>
          <w:numId w:val="15"/>
        </w:numPr>
        <w:spacing w:after="0" w:line="240" w:lineRule="auto"/>
        <w:jc w:val="both"/>
        <w:rPr>
          <w:rFonts w:cstheme="minorHAnsi"/>
          <w:bCs/>
        </w:rPr>
      </w:pPr>
      <w:r w:rsidRPr="00A1204D">
        <w:rPr>
          <w:rFonts w:cstheme="minorHAnsi"/>
          <w:bCs/>
        </w:rPr>
        <w:t xml:space="preserve">les </w:t>
      </w:r>
      <w:proofErr w:type="spellStart"/>
      <w:r w:rsidRPr="00A1204D">
        <w:rPr>
          <w:rFonts w:cstheme="minorHAnsi"/>
          <w:bCs/>
        </w:rPr>
        <w:t>frais</w:t>
      </w:r>
      <w:proofErr w:type="spellEnd"/>
      <w:r w:rsidRPr="00A1204D">
        <w:rPr>
          <w:rFonts w:cstheme="minorHAnsi"/>
          <w:bCs/>
        </w:rPr>
        <w:t xml:space="preserve"> </w:t>
      </w:r>
      <w:proofErr w:type="spellStart"/>
      <w:r w:rsidRPr="00A1204D">
        <w:rPr>
          <w:rFonts w:cstheme="minorHAnsi"/>
          <w:bCs/>
        </w:rPr>
        <w:t>déductibles</w:t>
      </w:r>
      <w:proofErr w:type="spellEnd"/>
      <w:r w:rsidRPr="00A1204D">
        <w:rPr>
          <w:rFonts w:cstheme="minorHAnsi"/>
          <w:bCs/>
        </w:rPr>
        <w:t> ;</w:t>
      </w:r>
    </w:p>
    <w:p w:rsidR="00A1204D" w:rsidRPr="00A1204D" w:rsidRDefault="00A1204D" w:rsidP="00A1204D">
      <w:pPr>
        <w:numPr>
          <w:ilvl w:val="0"/>
          <w:numId w:val="15"/>
        </w:numPr>
        <w:spacing w:after="0" w:line="240" w:lineRule="auto"/>
        <w:jc w:val="both"/>
        <w:rPr>
          <w:rFonts w:cstheme="minorHAnsi"/>
          <w:bCs/>
        </w:rPr>
      </w:pPr>
      <w:r w:rsidRPr="00A1204D">
        <w:rPr>
          <w:rFonts w:cstheme="minorHAnsi"/>
          <w:bCs/>
        </w:rPr>
        <w:t xml:space="preserve">la </w:t>
      </w:r>
      <w:proofErr w:type="spellStart"/>
      <w:r w:rsidRPr="00A1204D">
        <w:rPr>
          <w:rFonts w:cstheme="minorHAnsi"/>
          <w:bCs/>
        </w:rPr>
        <w:t>valeur</w:t>
      </w:r>
      <w:proofErr w:type="spellEnd"/>
      <w:r w:rsidRPr="00A1204D">
        <w:rPr>
          <w:rFonts w:cstheme="minorHAnsi"/>
          <w:bCs/>
        </w:rPr>
        <w:t xml:space="preserve"> taxable ;</w:t>
      </w:r>
    </w:p>
    <w:p w:rsidR="00A1204D" w:rsidRDefault="00A1204D" w:rsidP="00A1204D">
      <w:pPr>
        <w:numPr>
          <w:ilvl w:val="0"/>
          <w:numId w:val="15"/>
        </w:numPr>
        <w:spacing w:after="0" w:line="240" w:lineRule="auto"/>
        <w:jc w:val="both"/>
        <w:rPr>
          <w:rFonts w:cstheme="minorHAnsi"/>
          <w:bCs/>
        </w:rPr>
      </w:pPr>
      <w:proofErr w:type="gramStart"/>
      <w:r w:rsidRPr="00A1204D">
        <w:rPr>
          <w:rFonts w:cstheme="minorHAnsi"/>
          <w:bCs/>
        </w:rPr>
        <w:t>la</w:t>
      </w:r>
      <w:proofErr w:type="gramEnd"/>
      <w:r w:rsidRPr="00A1204D">
        <w:rPr>
          <w:rFonts w:cstheme="minorHAnsi"/>
          <w:bCs/>
        </w:rPr>
        <w:t xml:space="preserve"> </w:t>
      </w:r>
      <w:proofErr w:type="spellStart"/>
      <w:r w:rsidRPr="00A1204D">
        <w:rPr>
          <w:rFonts w:cstheme="minorHAnsi"/>
          <w:bCs/>
        </w:rPr>
        <w:t>taxe</w:t>
      </w:r>
      <w:proofErr w:type="spellEnd"/>
      <w:r w:rsidRPr="00A1204D">
        <w:rPr>
          <w:rFonts w:cstheme="minorHAnsi"/>
          <w:bCs/>
        </w:rPr>
        <w:t xml:space="preserve"> ad-valorem (F CFA).</w:t>
      </w:r>
    </w:p>
    <w:p w:rsidR="0038459B" w:rsidRPr="0038459B" w:rsidRDefault="0038459B" w:rsidP="0038459B">
      <w:pPr>
        <w:spacing w:after="0" w:line="240" w:lineRule="auto"/>
        <w:ind w:left="800"/>
        <w:jc w:val="both"/>
        <w:rPr>
          <w:rFonts w:cstheme="minorHAnsi"/>
          <w:bCs/>
        </w:rPr>
      </w:pPr>
    </w:p>
    <w:p w:rsidR="00A1204D" w:rsidRPr="002A0219" w:rsidRDefault="00AC37D9" w:rsidP="00A1204D">
      <w:pPr>
        <w:numPr>
          <w:ilvl w:val="0"/>
          <w:numId w:val="16"/>
        </w:numPr>
        <w:spacing w:after="0" w:line="240" w:lineRule="auto"/>
        <w:jc w:val="both"/>
        <w:rPr>
          <w:rFonts w:cstheme="minorHAnsi"/>
          <w:bCs/>
          <w:i/>
        </w:rPr>
      </w:pPr>
      <w:proofErr w:type="spellStart"/>
      <w:r>
        <w:rPr>
          <w:rFonts w:cstheme="minorHAnsi"/>
          <w:bCs/>
          <w:i/>
        </w:rPr>
        <w:t>Concernant</w:t>
      </w:r>
      <w:proofErr w:type="spellEnd"/>
      <w:r w:rsidR="00A1204D" w:rsidRPr="00A1204D">
        <w:rPr>
          <w:rFonts w:cstheme="minorHAnsi"/>
          <w:bCs/>
          <w:i/>
        </w:rPr>
        <w:t xml:space="preserve"> les </w:t>
      </w:r>
      <w:proofErr w:type="spellStart"/>
      <w:r w:rsidR="00A1204D" w:rsidRPr="00A1204D">
        <w:rPr>
          <w:rFonts w:cstheme="minorHAnsi"/>
          <w:bCs/>
          <w:i/>
        </w:rPr>
        <w:t>carrières</w:t>
      </w:r>
      <w:proofErr w:type="spellEnd"/>
    </w:p>
    <w:p w:rsidR="00A1204D" w:rsidRPr="00A1204D" w:rsidRDefault="00A1204D" w:rsidP="00A1204D">
      <w:pPr>
        <w:jc w:val="both"/>
        <w:rPr>
          <w:rFonts w:cstheme="minorHAnsi"/>
          <w:bCs/>
          <w:lang w:val="fr-FR"/>
        </w:rPr>
      </w:pPr>
      <w:r w:rsidRPr="00A1204D">
        <w:rPr>
          <w:rFonts w:cstheme="minorHAnsi"/>
          <w:bCs/>
          <w:lang w:val="fr-FR"/>
        </w:rPr>
        <w:t>L’</w:t>
      </w:r>
      <w:r w:rsidR="00E210FD">
        <w:rPr>
          <w:rFonts w:cstheme="minorHAnsi"/>
          <w:bCs/>
          <w:lang w:val="fr-FR"/>
        </w:rPr>
        <w:t>A</w:t>
      </w:r>
      <w:r w:rsidRPr="00A1204D">
        <w:rPr>
          <w:rFonts w:cstheme="minorHAnsi"/>
          <w:bCs/>
          <w:lang w:val="fr-FR"/>
        </w:rPr>
        <w:t>dministration minière dispose au niveau de chaque carrière d’agent</w:t>
      </w:r>
      <w:r w:rsidR="00BA7741">
        <w:rPr>
          <w:rFonts w:cstheme="minorHAnsi"/>
          <w:bCs/>
          <w:lang w:val="fr-FR"/>
        </w:rPr>
        <w:t>s</w:t>
      </w:r>
      <w:r w:rsidRPr="00A1204D">
        <w:rPr>
          <w:rFonts w:cstheme="minorHAnsi"/>
          <w:bCs/>
          <w:lang w:val="fr-FR"/>
        </w:rPr>
        <w:t xml:space="preserve"> appelé</w:t>
      </w:r>
      <w:r w:rsidR="00BA7741">
        <w:rPr>
          <w:rFonts w:cstheme="minorHAnsi"/>
          <w:bCs/>
          <w:lang w:val="fr-FR"/>
        </w:rPr>
        <w:t>s</w:t>
      </w:r>
      <w:r w:rsidRPr="00A1204D">
        <w:rPr>
          <w:rFonts w:cstheme="minorHAnsi"/>
          <w:bCs/>
          <w:lang w:val="fr-FR"/>
        </w:rPr>
        <w:t xml:space="preserve"> « pointeurs ». Ces derniers comptabilise</w:t>
      </w:r>
      <w:r w:rsidR="00BA7741">
        <w:rPr>
          <w:rFonts w:cstheme="minorHAnsi"/>
          <w:bCs/>
          <w:lang w:val="fr-FR"/>
        </w:rPr>
        <w:t>nt</w:t>
      </w:r>
      <w:r w:rsidR="00E210FD">
        <w:rPr>
          <w:rFonts w:cstheme="minorHAnsi"/>
          <w:bCs/>
          <w:lang w:val="fr-FR"/>
        </w:rPr>
        <w:t xml:space="preserve"> </w:t>
      </w:r>
      <w:proofErr w:type="spellStart"/>
      <w:r w:rsidR="00E210FD" w:rsidRPr="00A1204D">
        <w:rPr>
          <w:rFonts w:cstheme="minorHAnsi"/>
          <w:bCs/>
          <w:lang w:val="fr-FR"/>
        </w:rPr>
        <w:t>jour</w:t>
      </w:r>
      <w:r w:rsidR="00E210FD">
        <w:rPr>
          <w:rFonts w:cstheme="minorHAnsi"/>
          <w:bCs/>
          <w:lang w:val="fr-FR"/>
        </w:rPr>
        <w:t>nalièrement</w:t>
      </w:r>
      <w:proofErr w:type="spellEnd"/>
      <w:r w:rsidR="00E210FD">
        <w:rPr>
          <w:rFonts w:cstheme="minorHAnsi"/>
          <w:bCs/>
          <w:lang w:val="fr-FR"/>
        </w:rPr>
        <w:t xml:space="preserve"> </w:t>
      </w:r>
      <w:r w:rsidR="000B09EA">
        <w:rPr>
          <w:rFonts w:cstheme="minorHAnsi"/>
          <w:bCs/>
          <w:lang w:val="fr-FR"/>
        </w:rPr>
        <w:t xml:space="preserve">les </w:t>
      </w:r>
      <w:r w:rsidRPr="00A1204D">
        <w:rPr>
          <w:rFonts w:cstheme="minorHAnsi"/>
          <w:bCs/>
          <w:lang w:val="fr-FR"/>
        </w:rPr>
        <w:t xml:space="preserve">volumes </w:t>
      </w:r>
      <w:r w:rsidR="00BA7741">
        <w:rPr>
          <w:rFonts w:cstheme="minorHAnsi"/>
          <w:bCs/>
          <w:lang w:val="fr-FR"/>
        </w:rPr>
        <w:t xml:space="preserve">de matériaux extraits et vendus, </w:t>
      </w:r>
      <w:r w:rsidRPr="00A1204D">
        <w:rPr>
          <w:rFonts w:cstheme="minorHAnsi"/>
          <w:bCs/>
          <w:lang w:val="fr-FR"/>
        </w:rPr>
        <w:t>et font le rapprochement avec le propriétaire de la carrière dans le cadre de</w:t>
      </w:r>
      <w:r w:rsidR="00E210FD">
        <w:rPr>
          <w:rFonts w:cstheme="minorHAnsi"/>
          <w:bCs/>
          <w:lang w:val="fr-FR"/>
        </w:rPr>
        <w:t xml:space="preserve"> l’exploitation de</w:t>
      </w:r>
      <w:r w:rsidRPr="00A1204D">
        <w:rPr>
          <w:rFonts w:cstheme="minorHAnsi"/>
          <w:bCs/>
          <w:lang w:val="fr-FR"/>
        </w:rPr>
        <w:t xml:space="preserve"> la carrière privée. </w:t>
      </w:r>
    </w:p>
    <w:p w:rsidR="00A1204D" w:rsidRPr="00284737" w:rsidRDefault="00A1204D" w:rsidP="00A1204D">
      <w:pPr>
        <w:jc w:val="both"/>
        <w:rPr>
          <w:rFonts w:cstheme="minorHAnsi"/>
          <w:bCs/>
          <w:lang w:val="fr-FR"/>
        </w:rPr>
      </w:pPr>
      <w:r w:rsidRPr="00A1204D">
        <w:rPr>
          <w:rFonts w:cstheme="minorHAnsi"/>
          <w:bCs/>
          <w:lang w:val="fr-FR"/>
        </w:rPr>
        <w:t>Sur la base de la production vendue, l’agent calcul</w:t>
      </w:r>
      <w:r w:rsidR="00B048D0">
        <w:rPr>
          <w:rFonts w:cstheme="minorHAnsi"/>
          <w:bCs/>
          <w:lang w:val="fr-FR"/>
        </w:rPr>
        <w:t>e</w:t>
      </w:r>
      <w:r w:rsidRPr="00A1204D">
        <w:rPr>
          <w:rFonts w:cstheme="minorHAnsi"/>
          <w:bCs/>
          <w:lang w:val="fr-FR"/>
        </w:rPr>
        <w:t xml:space="preserve"> la taxe d’extraction tel</w:t>
      </w:r>
      <w:r w:rsidR="00C05FF6">
        <w:rPr>
          <w:rFonts w:cstheme="minorHAnsi"/>
          <w:bCs/>
          <w:lang w:val="fr-FR"/>
        </w:rPr>
        <w:t>le</w:t>
      </w:r>
      <w:r w:rsidRPr="00A1204D">
        <w:rPr>
          <w:rFonts w:cstheme="minorHAnsi"/>
          <w:bCs/>
          <w:lang w:val="fr-FR"/>
        </w:rPr>
        <w:t xml:space="preserve"> qu’indiquée dans la loi n°1988-</w:t>
      </w:r>
      <w:r w:rsidR="005B03EB" w:rsidRPr="005B03EB">
        <w:rPr>
          <w:rFonts w:cstheme="minorHAnsi"/>
          <w:bCs/>
          <w:lang w:val="fr-FR"/>
        </w:rPr>
        <w:t>06 DU 26 AOÛT 1988</w:t>
      </w:r>
      <w:r w:rsidR="005B03EB">
        <w:rPr>
          <w:rFonts w:cstheme="minorHAnsi"/>
          <w:bCs/>
          <w:lang w:val="fr-FR"/>
        </w:rPr>
        <w:t xml:space="preserve"> (</w:t>
      </w:r>
      <w:r w:rsidR="005B03EB" w:rsidRPr="005B03EB">
        <w:rPr>
          <w:rFonts w:cstheme="minorHAnsi"/>
          <w:bCs/>
          <w:lang w:val="fr-FR"/>
        </w:rPr>
        <w:t>DECRET N° 89-907 DU 5 AOÛT 1989</w:t>
      </w:r>
      <w:r w:rsidR="005B03EB">
        <w:rPr>
          <w:rFonts w:cstheme="minorHAnsi"/>
          <w:bCs/>
          <w:lang w:val="fr-FR"/>
        </w:rPr>
        <w:t>)</w:t>
      </w:r>
      <w:r w:rsidR="005B03EB">
        <w:rPr>
          <w:rStyle w:val="Appelnotedebasdep"/>
          <w:bCs/>
          <w:lang w:val="fr-FR"/>
        </w:rPr>
        <w:footnoteReference w:id="7"/>
      </w:r>
      <w:r w:rsidR="005B03EB">
        <w:rPr>
          <w:rFonts w:cstheme="minorHAnsi"/>
          <w:bCs/>
          <w:lang w:val="fr-FR"/>
        </w:rPr>
        <w:t>.</w:t>
      </w:r>
      <w:r w:rsidR="00901209">
        <w:rPr>
          <w:rFonts w:cstheme="minorHAnsi"/>
          <w:bCs/>
          <w:lang w:val="fr-FR"/>
        </w:rPr>
        <w:t xml:space="preserve"> </w:t>
      </w:r>
      <w:r w:rsidRPr="00A1204D">
        <w:rPr>
          <w:rFonts w:cstheme="minorHAnsi"/>
          <w:bCs/>
          <w:lang w:val="fr-FR"/>
        </w:rPr>
        <w:t xml:space="preserve">En dehors des carrières privées, </w:t>
      </w:r>
      <w:r w:rsidR="00C05FF6">
        <w:rPr>
          <w:rFonts w:cstheme="minorHAnsi"/>
          <w:bCs/>
          <w:lang w:val="fr-FR"/>
        </w:rPr>
        <w:t xml:space="preserve">le recouvrement </w:t>
      </w:r>
      <w:r w:rsidRPr="00A1204D">
        <w:rPr>
          <w:rFonts w:cstheme="minorHAnsi"/>
          <w:bCs/>
          <w:lang w:val="fr-FR"/>
        </w:rPr>
        <w:t xml:space="preserve">dans les autres carrières se fait </w:t>
      </w:r>
      <w:r w:rsidR="00C05FF6">
        <w:rPr>
          <w:rFonts w:cstheme="minorHAnsi"/>
          <w:bCs/>
          <w:lang w:val="fr-FR"/>
        </w:rPr>
        <w:t xml:space="preserve">directement </w:t>
      </w:r>
      <w:r w:rsidRPr="00A1204D">
        <w:rPr>
          <w:rFonts w:cstheme="minorHAnsi"/>
          <w:bCs/>
          <w:lang w:val="fr-FR"/>
        </w:rPr>
        <w:t>en fonction des ventes.</w:t>
      </w:r>
    </w:p>
    <w:p w:rsidR="00FC683E" w:rsidRDefault="00D928D3" w:rsidP="00FC683E">
      <w:pPr>
        <w:widowControl w:val="0"/>
        <w:suppressAutoHyphens/>
        <w:spacing w:before="120" w:after="240" w:line="260" w:lineRule="auto"/>
        <w:rPr>
          <w:lang w:val="fr-FR"/>
        </w:rPr>
      </w:pPr>
      <w:r>
        <w:rPr>
          <w:lang w:val="fr-FR"/>
        </w:rPr>
        <w:t xml:space="preserve">Par ailleurs, les quantités de production par produit de base sont publiées régulièrement par le Ministère des Mines sur son site </w:t>
      </w:r>
      <w:hyperlink r:id="rId13" w:history="1">
        <w:r w:rsidRPr="00171C31">
          <w:rPr>
            <w:rStyle w:val="Lienhypertexte"/>
            <w:lang w:val="fr-FR"/>
          </w:rPr>
          <w:t>http://www.dirmingeol.sn/pages_utiles/statistique_miniere.php</w:t>
        </w:r>
      </w:hyperlink>
      <w:r>
        <w:rPr>
          <w:lang w:val="fr-FR"/>
        </w:rPr>
        <w:t xml:space="preserve">. </w:t>
      </w:r>
    </w:p>
    <w:p w:rsidR="000463E2" w:rsidRDefault="00AD4E65" w:rsidP="00E90A38">
      <w:pPr>
        <w:widowControl w:val="0"/>
        <w:suppressAutoHyphens/>
        <w:spacing w:before="120" w:after="240" w:line="260" w:lineRule="auto"/>
        <w:jc w:val="both"/>
        <w:rPr>
          <w:lang w:val="fr-FR"/>
        </w:rPr>
      </w:pPr>
      <w:r>
        <w:rPr>
          <w:lang w:val="fr-FR"/>
        </w:rPr>
        <w:t xml:space="preserve">Enfin, </w:t>
      </w:r>
      <w:r w:rsidR="00901209">
        <w:rPr>
          <w:lang w:val="fr-FR"/>
        </w:rPr>
        <w:t>t</w:t>
      </w:r>
      <w:r w:rsidR="007A4705" w:rsidRPr="007A4705">
        <w:rPr>
          <w:lang w:val="fr-FR"/>
        </w:rPr>
        <w:t>oute</w:t>
      </w:r>
      <w:r w:rsidR="00901209">
        <w:rPr>
          <w:lang w:val="fr-FR"/>
        </w:rPr>
        <w:t>s</w:t>
      </w:r>
      <w:r w:rsidR="007A4705" w:rsidRPr="007A4705">
        <w:rPr>
          <w:lang w:val="fr-FR"/>
        </w:rPr>
        <w:t xml:space="preserve"> les d</w:t>
      </w:r>
      <w:r w:rsidR="00562E14">
        <w:rPr>
          <w:lang w:val="fr-FR"/>
        </w:rPr>
        <w:t xml:space="preserve">onnées </w:t>
      </w:r>
      <w:r w:rsidR="008E4A39">
        <w:rPr>
          <w:lang w:val="fr-FR"/>
        </w:rPr>
        <w:t xml:space="preserve">brutes </w:t>
      </w:r>
      <w:r w:rsidR="00677E47">
        <w:rPr>
          <w:lang w:val="fr-FR"/>
        </w:rPr>
        <w:t>de</w:t>
      </w:r>
      <w:r w:rsidR="00562E14">
        <w:rPr>
          <w:lang w:val="fr-FR"/>
        </w:rPr>
        <w:t xml:space="preserve"> production</w:t>
      </w:r>
      <w:r w:rsidR="00E20F36">
        <w:rPr>
          <w:lang w:val="fr-FR"/>
        </w:rPr>
        <w:t xml:space="preserve">, </w:t>
      </w:r>
      <w:r w:rsidR="007A4705" w:rsidRPr="007A4705">
        <w:rPr>
          <w:lang w:val="fr-FR"/>
        </w:rPr>
        <w:t xml:space="preserve">notamment </w:t>
      </w:r>
      <w:r w:rsidR="00E96EF1">
        <w:rPr>
          <w:lang w:val="fr-FR"/>
        </w:rPr>
        <w:t>celle</w:t>
      </w:r>
      <w:r w:rsidR="00280D6B">
        <w:rPr>
          <w:lang w:val="fr-FR"/>
        </w:rPr>
        <w:t>s</w:t>
      </w:r>
      <w:r w:rsidR="007A4705" w:rsidRPr="007A4705">
        <w:rPr>
          <w:lang w:val="fr-FR"/>
        </w:rPr>
        <w:t xml:space="preserve"> vendue</w:t>
      </w:r>
      <w:r w:rsidR="00280D6B">
        <w:rPr>
          <w:lang w:val="fr-FR"/>
        </w:rPr>
        <w:t>s</w:t>
      </w:r>
      <w:r w:rsidR="007A4705" w:rsidRPr="007A4705">
        <w:rPr>
          <w:lang w:val="fr-FR"/>
        </w:rPr>
        <w:t xml:space="preserve"> qui entre</w:t>
      </w:r>
      <w:r w:rsidR="00280D6B">
        <w:rPr>
          <w:lang w:val="fr-FR"/>
        </w:rPr>
        <w:t>nt</w:t>
      </w:r>
      <w:r w:rsidR="007A4705" w:rsidRPr="007A4705">
        <w:rPr>
          <w:lang w:val="fr-FR"/>
        </w:rPr>
        <w:t xml:space="preserve"> dans </w:t>
      </w:r>
      <w:r w:rsidR="00E20F36">
        <w:rPr>
          <w:lang w:val="fr-FR"/>
        </w:rPr>
        <w:t xml:space="preserve">le calcul de la taxe ad-valorem, </w:t>
      </w:r>
      <w:r w:rsidR="00353646">
        <w:rPr>
          <w:lang w:val="fr-FR"/>
        </w:rPr>
        <w:t>sont classées par</w:t>
      </w:r>
      <w:r w:rsidR="007A4705" w:rsidRPr="007A4705">
        <w:rPr>
          <w:lang w:val="fr-FR"/>
        </w:rPr>
        <w:t xml:space="preserve"> région et par projet</w:t>
      </w:r>
      <w:r w:rsidR="00353646">
        <w:rPr>
          <w:lang w:val="fr-FR"/>
        </w:rPr>
        <w:t xml:space="preserve"> pour les mines</w:t>
      </w:r>
      <w:r>
        <w:rPr>
          <w:lang w:val="fr-FR"/>
        </w:rPr>
        <w:t xml:space="preserve"> et les carrières privées</w:t>
      </w:r>
      <w:r w:rsidR="00353646">
        <w:rPr>
          <w:lang w:val="fr-FR"/>
        </w:rPr>
        <w:t xml:space="preserve">, </w:t>
      </w:r>
      <w:r w:rsidR="007D6719">
        <w:rPr>
          <w:lang w:val="fr-FR"/>
        </w:rPr>
        <w:t>ou par personne</w:t>
      </w:r>
      <w:r w:rsidR="00D56826">
        <w:rPr>
          <w:lang w:val="fr-FR"/>
        </w:rPr>
        <w:t xml:space="preserve"> </w:t>
      </w:r>
      <w:r w:rsidR="007A4705" w:rsidRPr="007A4705">
        <w:rPr>
          <w:lang w:val="fr-FR"/>
        </w:rPr>
        <w:t>pour les car</w:t>
      </w:r>
      <w:r w:rsidR="00901209">
        <w:rPr>
          <w:lang w:val="fr-FR"/>
        </w:rPr>
        <w:t>rières temporaires et publiques.</w:t>
      </w:r>
      <w:r w:rsidR="00353646">
        <w:rPr>
          <w:lang w:val="fr-FR"/>
        </w:rPr>
        <w:t xml:space="preserve"> </w:t>
      </w:r>
      <w:r w:rsidR="00901209">
        <w:rPr>
          <w:lang w:val="fr-FR"/>
        </w:rPr>
        <w:t xml:space="preserve"> </w:t>
      </w:r>
    </w:p>
    <w:p w:rsidR="00506883" w:rsidRPr="00FC683E" w:rsidRDefault="00506883" w:rsidP="00E90A38">
      <w:pPr>
        <w:widowControl w:val="0"/>
        <w:suppressAutoHyphens/>
        <w:spacing w:before="120" w:after="240" w:line="260" w:lineRule="auto"/>
        <w:jc w:val="both"/>
        <w:rPr>
          <w:lang w:val="fr-FR"/>
        </w:rPr>
      </w:pPr>
      <w:r w:rsidRPr="00B92F82">
        <w:rPr>
          <w:b/>
          <w:u w:val="single"/>
          <w:lang w:val="fr-FR"/>
        </w:rPr>
        <w:t xml:space="preserve">Au regard des informations disponibles, le Comité </w:t>
      </w:r>
      <w:r w:rsidR="00B92F82" w:rsidRPr="00B92F82">
        <w:rPr>
          <w:b/>
          <w:u w:val="single"/>
          <w:lang w:val="fr-FR"/>
        </w:rPr>
        <w:t xml:space="preserve">national </w:t>
      </w:r>
      <w:r w:rsidR="004D3420">
        <w:rPr>
          <w:b/>
          <w:u w:val="single"/>
          <w:lang w:val="fr-FR"/>
        </w:rPr>
        <w:t>considère</w:t>
      </w:r>
      <w:r w:rsidR="00B92F82" w:rsidRPr="00B92F82">
        <w:rPr>
          <w:b/>
          <w:u w:val="single"/>
          <w:lang w:val="fr-FR"/>
        </w:rPr>
        <w:t xml:space="preserve"> que le Sénégal a pleinement satisfait </w:t>
      </w:r>
      <w:r w:rsidR="00A82EFE">
        <w:rPr>
          <w:b/>
          <w:u w:val="single"/>
          <w:lang w:val="fr-FR"/>
        </w:rPr>
        <w:t xml:space="preserve">à </w:t>
      </w:r>
      <w:r w:rsidR="00B92F82" w:rsidRPr="00B92F82">
        <w:rPr>
          <w:b/>
          <w:u w:val="single"/>
          <w:lang w:val="fr-FR"/>
        </w:rPr>
        <w:t>l’</w:t>
      </w:r>
      <w:r w:rsidR="00440FA9">
        <w:rPr>
          <w:b/>
          <w:u w:val="single"/>
          <w:lang w:val="fr-FR"/>
        </w:rPr>
        <w:t>E</w:t>
      </w:r>
      <w:r w:rsidR="00B92F82" w:rsidRPr="00B92F82">
        <w:rPr>
          <w:b/>
          <w:u w:val="single"/>
          <w:lang w:val="fr-FR"/>
        </w:rPr>
        <w:t>xigence 3.2</w:t>
      </w:r>
      <w:r w:rsidR="00B92F82">
        <w:rPr>
          <w:lang w:val="fr-FR"/>
        </w:rPr>
        <w:t xml:space="preserve">. </w:t>
      </w:r>
    </w:p>
    <w:p w:rsidR="00766D41" w:rsidRPr="0010132C" w:rsidRDefault="00B6198A" w:rsidP="0010132C">
      <w:pPr>
        <w:pStyle w:val="Paragraphedeliste"/>
        <w:numPr>
          <w:ilvl w:val="0"/>
          <w:numId w:val="23"/>
        </w:numPr>
        <w:spacing w:after="0" w:line="240" w:lineRule="auto"/>
        <w:rPr>
          <w:rFonts w:cstheme="minorHAnsi"/>
          <w:b/>
          <w:color w:val="365F91" w:themeColor="accent1" w:themeShade="BF"/>
          <w:lang w:val="fr-FR"/>
        </w:rPr>
      </w:pPr>
      <w:r w:rsidRPr="0010132C">
        <w:rPr>
          <w:rFonts w:cstheme="minorHAnsi"/>
          <w:b/>
          <w:color w:val="365F91" w:themeColor="accent1" w:themeShade="BF"/>
          <w:lang w:val="fr-FR"/>
        </w:rPr>
        <w:lastRenderedPageBreak/>
        <w:t>PRECISIONS SUR LES RECOMMANDATIONS DU VALIDATEUR</w:t>
      </w:r>
    </w:p>
    <w:p w:rsidR="00823D46" w:rsidRPr="007E6544" w:rsidRDefault="00823D46" w:rsidP="007E6544">
      <w:pPr>
        <w:spacing w:after="0" w:line="240" w:lineRule="auto"/>
        <w:rPr>
          <w:rFonts w:cstheme="minorHAnsi"/>
          <w:b/>
          <w:color w:val="365F91" w:themeColor="accent1" w:themeShade="BF"/>
          <w:lang w:val="fr-FR"/>
        </w:rPr>
      </w:pPr>
    </w:p>
    <w:tbl>
      <w:tblPr>
        <w:tblStyle w:val="Grilledutableau"/>
        <w:tblpPr w:leftFromText="141" w:rightFromText="141" w:vertAnchor="text" w:tblpX="720" w:tblpY="1"/>
        <w:tblOverlap w:val="never"/>
        <w:tblW w:w="0" w:type="auto"/>
        <w:tblLook w:val="04A0" w:firstRow="1" w:lastRow="0" w:firstColumn="1" w:lastColumn="0" w:noHBand="0" w:noVBand="1"/>
      </w:tblPr>
      <w:tblGrid>
        <w:gridCol w:w="5171"/>
        <w:gridCol w:w="5125"/>
      </w:tblGrid>
      <w:tr w:rsidR="007E6544" w:rsidRPr="00FE7AC7" w:rsidTr="00A47DB5">
        <w:trPr>
          <w:tblHeader/>
        </w:trPr>
        <w:tc>
          <w:tcPr>
            <w:tcW w:w="5171" w:type="dxa"/>
          </w:tcPr>
          <w:p w:rsidR="007E6544" w:rsidRPr="00AE476B" w:rsidRDefault="008D224E" w:rsidP="00A47DB5">
            <w:pPr>
              <w:rPr>
                <w:rFonts w:cstheme="minorHAnsi"/>
                <w:b/>
                <w:lang w:val="fr-FR"/>
              </w:rPr>
            </w:pPr>
            <w:r>
              <w:rPr>
                <w:rFonts w:cstheme="minorHAnsi"/>
                <w:b/>
                <w:lang w:val="fr-FR"/>
              </w:rPr>
              <w:t>Recommandation</w:t>
            </w:r>
            <w:r w:rsidR="007E6544" w:rsidRPr="00AE476B">
              <w:rPr>
                <w:rFonts w:cstheme="minorHAnsi"/>
                <w:b/>
                <w:lang w:val="fr-FR"/>
              </w:rPr>
              <w:t>s du Validateur</w:t>
            </w:r>
          </w:p>
        </w:tc>
        <w:tc>
          <w:tcPr>
            <w:tcW w:w="5125" w:type="dxa"/>
          </w:tcPr>
          <w:p w:rsidR="007E6544" w:rsidRPr="00AE476B" w:rsidRDefault="007E6544" w:rsidP="00A47DB5">
            <w:pPr>
              <w:rPr>
                <w:rFonts w:cstheme="minorHAnsi"/>
                <w:b/>
                <w:lang w:val="fr-FR"/>
              </w:rPr>
            </w:pPr>
            <w:r w:rsidRPr="00AE476B">
              <w:rPr>
                <w:rFonts w:cstheme="minorHAnsi"/>
                <w:b/>
                <w:lang w:val="fr-FR"/>
              </w:rPr>
              <w:t>Précisions du Comité national</w:t>
            </w:r>
          </w:p>
        </w:tc>
      </w:tr>
      <w:tr w:rsidR="007E6544" w:rsidRPr="00E96EF1" w:rsidTr="00A47DB5">
        <w:tc>
          <w:tcPr>
            <w:tcW w:w="5171" w:type="dxa"/>
          </w:tcPr>
          <w:p w:rsidR="007E6544" w:rsidRPr="00DA0E1D" w:rsidRDefault="00DA0E1D" w:rsidP="00A47DB5">
            <w:pPr>
              <w:jc w:val="both"/>
              <w:rPr>
                <w:rFonts w:cstheme="minorHAnsi"/>
                <w:b/>
                <w:color w:val="FF0000"/>
                <w:lang w:val="fr-FR"/>
              </w:rPr>
            </w:pPr>
            <w:r w:rsidRPr="00DA0E1D">
              <w:rPr>
                <w:lang w:val="fr-FR"/>
              </w:rPr>
              <w:t xml:space="preserve">1. </w:t>
            </w:r>
            <w:r w:rsidR="007E6544" w:rsidRPr="00DA0E1D">
              <w:rPr>
                <w:lang w:val="fr-FR"/>
              </w:rPr>
              <w:t>Le Groupe multipartite pourra souhaiter examiner le décret portant création du Groupe multipartite de l’ITIE Sénégal (Décret n° 2013-881), afin de s’assurer que les règles de gouvernance de l’ITIE Sénégal correspondent aux pratiques effectives, particulièrement en ce qui concerne le quorum requis et les suppléants des membres du Groupe multipartite.</w:t>
            </w:r>
          </w:p>
        </w:tc>
        <w:tc>
          <w:tcPr>
            <w:tcW w:w="5125" w:type="dxa"/>
          </w:tcPr>
          <w:p w:rsidR="007E6544" w:rsidRPr="00593DD7" w:rsidRDefault="0036015B" w:rsidP="006321CD">
            <w:pPr>
              <w:jc w:val="both"/>
              <w:rPr>
                <w:rFonts w:cstheme="minorHAnsi"/>
                <w:b/>
                <w:color w:val="0070C0"/>
                <w:lang w:val="fr-FR"/>
              </w:rPr>
            </w:pPr>
            <w:r w:rsidRPr="00593DD7">
              <w:rPr>
                <w:rFonts w:cstheme="minorHAnsi"/>
                <w:color w:val="0070C0"/>
                <w:lang w:val="fr-FR"/>
              </w:rPr>
              <w:t xml:space="preserve">Le GMP institué par </w:t>
            </w:r>
            <w:r w:rsidR="00B30B43">
              <w:rPr>
                <w:rFonts w:cstheme="minorHAnsi"/>
                <w:color w:val="0070C0"/>
                <w:lang w:val="fr-FR"/>
              </w:rPr>
              <w:t xml:space="preserve">le </w:t>
            </w:r>
            <w:r w:rsidRPr="00593DD7">
              <w:rPr>
                <w:rFonts w:cstheme="minorHAnsi"/>
                <w:color w:val="0070C0"/>
                <w:lang w:val="fr-FR"/>
              </w:rPr>
              <w:t xml:space="preserve">Décret présidentiel 2013-881 du 20 juin 2013 </w:t>
            </w:r>
            <w:r w:rsidR="00B30B43">
              <w:rPr>
                <w:rFonts w:cstheme="minorHAnsi"/>
                <w:color w:val="0070C0"/>
                <w:lang w:val="fr-FR"/>
              </w:rPr>
              <w:t xml:space="preserve">qui </w:t>
            </w:r>
            <w:r w:rsidRPr="00593DD7">
              <w:rPr>
                <w:rFonts w:cstheme="minorHAnsi"/>
                <w:color w:val="0070C0"/>
                <w:lang w:val="fr-FR"/>
              </w:rPr>
              <w:t xml:space="preserve">précise les règles de délibération par la moitié de ses membres. Le règlement intérieur en son article 11 </w:t>
            </w:r>
            <w:r w:rsidR="00803CD8">
              <w:rPr>
                <w:rFonts w:cstheme="minorHAnsi"/>
                <w:color w:val="0070C0"/>
                <w:lang w:val="fr-FR"/>
              </w:rPr>
              <w:t>fix</w:t>
            </w:r>
            <w:r w:rsidRPr="00593DD7">
              <w:rPr>
                <w:rFonts w:cstheme="minorHAnsi"/>
                <w:color w:val="0070C0"/>
                <w:lang w:val="fr-FR"/>
              </w:rPr>
              <w:t>e aussi les règles de délibération. Jusqu’ici, le principe de la suppléance des mem</w:t>
            </w:r>
            <w:r w:rsidR="006321CD">
              <w:rPr>
                <w:rFonts w:cstheme="minorHAnsi"/>
                <w:color w:val="0070C0"/>
                <w:lang w:val="fr-FR"/>
              </w:rPr>
              <w:t xml:space="preserve">bres n’est pas encore appliqué. </w:t>
            </w:r>
            <w:r w:rsidRPr="00593DD7">
              <w:rPr>
                <w:rFonts w:cstheme="minorHAnsi"/>
                <w:color w:val="0070C0"/>
                <w:lang w:val="fr-FR"/>
              </w:rPr>
              <w:t xml:space="preserve">D’ailleurs, </w:t>
            </w:r>
            <w:r w:rsidR="0093763B" w:rsidRPr="00593DD7">
              <w:rPr>
                <w:rFonts w:cstheme="minorHAnsi"/>
                <w:color w:val="0070C0"/>
                <w:lang w:val="fr-FR"/>
              </w:rPr>
              <w:t xml:space="preserve">lors de </w:t>
            </w:r>
            <w:r w:rsidRPr="00593DD7">
              <w:rPr>
                <w:rFonts w:cstheme="minorHAnsi"/>
                <w:color w:val="0070C0"/>
                <w:lang w:val="fr-FR"/>
              </w:rPr>
              <w:t>la réunion du GMP du 26 janvier 2018, la question a été débattue et la révision du décret a été décidée. Le GMP est du même avis que le validateur.</w:t>
            </w:r>
            <w:r w:rsidR="006321CD">
              <w:rPr>
                <w:rFonts w:cstheme="minorHAnsi"/>
                <w:color w:val="0070C0"/>
                <w:lang w:val="fr-FR"/>
              </w:rPr>
              <w:t xml:space="preserve"> </w:t>
            </w:r>
          </w:p>
        </w:tc>
      </w:tr>
      <w:tr w:rsidR="007E6544" w:rsidRPr="00E96EF1" w:rsidTr="00A47DB5">
        <w:tc>
          <w:tcPr>
            <w:tcW w:w="5171" w:type="dxa"/>
          </w:tcPr>
          <w:p w:rsidR="007E6544" w:rsidRPr="006578B4" w:rsidRDefault="007E6544" w:rsidP="00A47DB5">
            <w:pPr>
              <w:pStyle w:val="Paragraphedeliste"/>
              <w:numPr>
                <w:ilvl w:val="0"/>
                <w:numId w:val="27"/>
              </w:numPr>
              <w:jc w:val="both"/>
              <w:rPr>
                <w:lang w:val="fr-FR"/>
              </w:rPr>
            </w:pPr>
            <w:r w:rsidRPr="006578B4">
              <w:rPr>
                <w:lang w:val="fr-FR"/>
              </w:rPr>
              <w:t>Le collège des entreprises pourra souhaiter améliorer, systématiser et formaliser la coordination entre les entreprises participant à la mise en œuvre de l’ITIE, au-delà de celles qui sont directement représentées au Groupe multipartite. Le collège des entreprises est également encouragé à formaliser les procédures de nomination et de remplacement des membres du Groupe multipartite (voir Exigence 1.4)</w:t>
            </w:r>
            <w:r w:rsidR="00503EF4">
              <w:rPr>
                <w:lang w:val="fr-FR"/>
              </w:rPr>
              <w:t xml:space="preserve">. </w:t>
            </w:r>
          </w:p>
        </w:tc>
        <w:tc>
          <w:tcPr>
            <w:tcW w:w="5125" w:type="dxa"/>
          </w:tcPr>
          <w:p w:rsidR="007E6544" w:rsidRPr="00593DD7" w:rsidRDefault="00053B8D" w:rsidP="00A47DB5">
            <w:pPr>
              <w:jc w:val="both"/>
              <w:rPr>
                <w:rFonts w:cstheme="minorHAnsi"/>
                <w:color w:val="0070C0"/>
                <w:lang w:val="fr-FR"/>
              </w:rPr>
            </w:pPr>
            <w:r w:rsidRPr="00593DD7">
              <w:rPr>
                <w:rFonts w:cstheme="minorHAnsi"/>
                <w:color w:val="0070C0"/>
                <w:lang w:val="fr-FR"/>
              </w:rPr>
              <w:t xml:space="preserve">La procédure est tout à fait formelle même si pour le secteur pétrolier, le GMP avait décidé de se baser sur le contexte (1 entreprise en exploitation : </w:t>
            </w:r>
            <w:proofErr w:type="spellStart"/>
            <w:r w:rsidRPr="00593DD7">
              <w:rPr>
                <w:rFonts w:cstheme="minorHAnsi"/>
                <w:color w:val="0070C0"/>
                <w:lang w:val="fr-FR"/>
              </w:rPr>
              <w:t>Fortesa</w:t>
            </w:r>
            <w:proofErr w:type="spellEnd"/>
            <w:r w:rsidRPr="00593DD7">
              <w:rPr>
                <w:rFonts w:cstheme="minorHAnsi"/>
                <w:color w:val="0070C0"/>
                <w:lang w:val="fr-FR"/>
              </w:rPr>
              <w:t xml:space="preserve"> et 1 entreprise en phase d’exp</w:t>
            </w:r>
            <w:r w:rsidR="00112047" w:rsidRPr="00593DD7">
              <w:rPr>
                <w:rFonts w:cstheme="minorHAnsi"/>
                <w:color w:val="0070C0"/>
                <w:lang w:val="fr-FR"/>
              </w:rPr>
              <w:t>loration avancée : Cairn Energy</w:t>
            </w:r>
            <w:r w:rsidR="00D954DF">
              <w:rPr>
                <w:rFonts w:cstheme="minorHAnsi"/>
                <w:color w:val="0070C0"/>
                <w:lang w:val="fr-FR"/>
              </w:rPr>
              <w:t xml:space="preserve"> </w:t>
            </w:r>
            <w:r w:rsidRPr="00593DD7">
              <w:rPr>
                <w:rFonts w:cstheme="minorHAnsi"/>
                <w:color w:val="0070C0"/>
                <w:lang w:val="fr-FR"/>
              </w:rPr>
              <w:t>Senegal)</w:t>
            </w:r>
            <w:r w:rsidR="00510763">
              <w:rPr>
                <w:rFonts w:cstheme="minorHAnsi"/>
                <w:color w:val="0070C0"/>
                <w:lang w:val="fr-FR"/>
              </w:rPr>
              <w:t xml:space="preserve">. Toutes </w:t>
            </w:r>
            <w:r w:rsidRPr="00593DD7">
              <w:rPr>
                <w:rFonts w:cstheme="minorHAnsi"/>
                <w:color w:val="0070C0"/>
                <w:lang w:val="fr-FR"/>
              </w:rPr>
              <w:t>les nominations sont formalisées et sanctionnées par des courriers signés par les responsables désign</w:t>
            </w:r>
            <w:r w:rsidR="00F069FE" w:rsidRPr="00593DD7">
              <w:rPr>
                <w:rFonts w:cstheme="minorHAnsi"/>
                <w:color w:val="0070C0"/>
                <w:lang w:val="fr-FR"/>
              </w:rPr>
              <w:t xml:space="preserve">és </w:t>
            </w:r>
            <w:r w:rsidRPr="00593DD7">
              <w:rPr>
                <w:rFonts w:cstheme="minorHAnsi"/>
                <w:color w:val="0070C0"/>
                <w:lang w:val="fr-FR"/>
              </w:rPr>
              <w:t>au niveau de chaque collège.</w:t>
            </w:r>
          </w:p>
        </w:tc>
      </w:tr>
      <w:tr w:rsidR="007E6544" w:rsidRPr="00503EF4" w:rsidTr="00A47DB5">
        <w:tc>
          <w:tcPr>
            <w:tcW w:w="5171" w:type="dxa"/>
          </w:tcPr>
          <w:p w:rsidR="007E6544" w:rsidRPr="00AC37D9" w:rsidRDefault="007E6544" w:rsidP="00A47DB5">
            <w:pPr>
              <w:pStyle w:val="Paragraphedeliste"/>
              <w:numPr>
                <w:ilvl w:val="0"/>
                <w:numId w:val="27"/>
              </w:numPr>
              <w:jc w:val="both"/>
              <w:rPr>
                <w:lang w:val="fr-FR"/>
              </w:rPr>
            </w:pPr>
            <w:r w:rsidRPr="00503EF4">
              <w:rPr>
                <w:lang w:val="fr-FR"/>
              </w:rPr>
              <w:t>Le Groupe multipartite pourra souhaiter poursuivre ses efforts de renforcement des capacités en direction de la société civile et de la presse, concernant l’utilisation des données ITIE et d’autres aspects tels que l’analyse des contrats</w:t>
            </w:r>
            <w:r w:rsidR="00503EF4">
              <w:rPr>
                <w:lang w:val="fr-FR"/>
              </w:rPr>
              <w:t xml:space="preserve">. </w:t>
            </w:r>
          </w:p>
        </w:tc>
        <w:tc>
          <w:tcPr>
            <w:tcW w:w="5125" w:type="dxa"/>
          </w:tcPr>
          <w:p w:rsidR="007E6544" w:rsidRPr="00593DD7" w:rsidRDefault="0059516B" w:rsidP="002840F2">
            <w:pPr>
              <w:jc w:val="both"/>
              <w:rPr>
                <w:color w:val="0070C0"/>
                <w:lang w:val="fr-FR"/>
              </w:rPr>
            </w:pPr>
            <w:r w:rsidRPr="00593DD7">
              <w:rPr>
                <w:color w:val="0070C0"/>
                <w:lang w:val="fr-FR"/>
              </w:rPr>
              <w:t>L</w:t>
            </w:r>
            <w:r w:rsidR="00053B8D" w:rsidRPr="00593DD7">
              <w:rPr>
                <w:color w:val="0070C0"/>
                <w:lang w:val="fr-FR"/>
              </w:rPr>
              <w:t>e Comité national va poursuivre ses efforts de renforc</w:t>
            </w:r>
            <w:r w:rsidR="002840F2">
              <w:rPr>
                <w:color w:val="0070C0"/>
                <w:lang w:val="fr-FR"/>
              </w:rPr>
              <w:t>ement des capacités à l’endroit</w:t>
            </w:r>
            <w:r w:rsidR="00053B8D" w:rsidRPr="00593DD7">
              <w:rPr>
                <w:color w:val="0070C0"/>
                <w:lang w:val="fr-FR"/>
              </w:rPr>
              <w:t xml:space="preserve"> de la société civile et de la presse comme l’illustre</w:t>
            </w:r>
            <w:r w:rsidR="002840F2">
              <w:rPr>
                <w:color w:val="0070C0"/>
                <w:lang w:val="fr-FR"/>
              </w:rPr>
              <w:t>nt</w:t>
            </w:r>
            <w:r w:rsidR="00C874BB">
              <w:rPr>
                <w:color w:val="0070C0"/>
                <w:lang w:val="fr-FR"/>
              </w:rPr>
              <w:t xml:space="preserve"> les activités prévues dans le P</w:t>
            </w:r>
            <w:r w:rsidR="00053B8D" w:rsidRPr="00593DD7">
              <w:rPr>
                <w:color w:val="0070C0"/>
                <w:lang w:val="fr-FR"/>
              </w:rPr>
              <w:t>lan</w:t>
            </w:r>
            <w:r w:rsidR="00C874BB">
              <w:rPr>
                <w:color w:val="0070C0"/>
                <w:lang w:val="fr-FR"/>
              </w:rPr>
              <w:t xml:space="preserve"> de Travail A</w:t>
            </w:r>
            <w:bookmarkStart w:id="0" w:name="_GoBack"/>
            <w:bookmarkEnd w:id="0"/>
            <w:r w:rsidR="00E41B56" w:rsidRPr="00593DD7">
              <w:rPr>
                <w:color w:val="0070C0"/>
                <w:lang w:val="fr-FR"/>
              </w:rPr>
              <w:t>nnuel 201</w:t>
            </w:r>
            <w:r w:rsidR="00053B8D" w:rsidRPr="00593DD7">
              <w:rPr>
                <w:color w:val="0070C0"/>
              </w:rPr>
              <w:footnoteReference w:id="8"/>
            </w:r>
            <w:r w:rsidRPr="00593DD7">
              <w:rPr>
                <w:rStyle w:val="Appelnotedebasdep"/>
                <w:color w:val="0070C0"/>
                <w:lang w:val="fr-FR"/>
              </w:rPr>
              <w:footnoteReference w:id="9"/>
            </w:r>
            <w:r w:rsidR="00053B8D" w:rsidRPr="00593DD7">
              <w:rPr>
                <w:color w:val="0070C0"/>
                <w:lang w:val="fr-FR"/>
              </w:rPr>
              <w:t>.</w:t>
            </w:r>
          </w:p>
        </w:tc>
      </w:tr>
      <w:tr w:rsidR="007E6544" w:rsidRPr="00E96EF1" w:rsidTr="00A47DB5">
        <w:tc>
          <w:tcPr>
            <w:tcW w:w="5171" w:type="dxa"/>
          </w:tcPr>
          <w:p w:rsidR="007E6544" w:rsidRPr="00D53675" w:rsidRDefault="007E6544" w:rsidP="00A47DB5">
            <w:pPr>
              <w:pStyle w:val="Paragraphedeliste"/>
              <w:numPr>
                <w:ilvl w:val="0"/>
                <w:numId w:val="28"/>
              </w:numPr>
              <w:jc w:val="both"/>
              <w:rPr>
                <w:lang w:val="fr-FR"/>
              </w:rPr>
            </w:pPr>
            <w:r w:rsidRPr="00D53675">
              <w:rPr>
                <w:lang w:val="fr-FR"/>
              </w:rPr>
              <w:t>Le Groupe multipartite est encouragé à</w:t>
            </w:r>
            <w:r w:rsidR="008D09E6" w:rsidRPr="00D53675">
              <w:rPr>
                <w:lang w:val="fr-FR"/>
              </w:rPr>
              <w:t xml:space="preserve"> souligner toute infraction non </w:t>
            </w:r>
            <w:r w:rsidRPr="00D53675">
              <w:rPr>
                <w:lang w:val="fr-FR"/>
              </w:rPr>
              <w:t>négligeable au cadre légal et réglementaire qui régit les octrois et les transferts de licences, dans l’octroi des licences pour les secteurs pétrolier, gazier et minier durant l’année ou les années considérées. Le gouvernement est encouragé à poursuivre ses efforts pour standardiser les critères techniques et financiers d’octroi des licences</w:t>
            </w:r>
            <w:r w:rsidR="00053B8D" w:rsidRPr="00D53675">
              <w:rPr>
                <w:lang w:val="fr-FR"/>
              </w:rPr>
              <w:t xml:space="preserve">. </w:t>
            </w:r>
          </w:p>
        </w:tc>
        <w:tc>
          <w:tcPr>
            <w:tcW w:w="5125" w:type="dxa"/>
          </w:tcPr>
          <w:p w:rsidR="007E6544" w:rsidRPr="00593DD7" w:rsidRDefault="00053B8D" w:rsidP="00A47DB5">
            <w:pPr>
              <w:rPr>
                <w:color w:val="0070C0"/>
                <w:lang w:val="fr-FR"/>
              </w:rPr>
            </w:pPr>
            <w:r w:rsidRPr="00593DD7">
              <w:rPr>
                <w:color w:val="0070C0"/>
                <w:lang w:val="fr-FR"/>
              </w:rPr>
              <w:t xml:space="preserve">Une étude sur les conditions d’octroi des licences pour les secteurs pétrolier, gazier et minier est en cours de finalisation. En outre, une des recommandations des Rapports ITIE 2015 et 2016 est de mettre sur pied un groupe de travail constitué de la DH, de la DMG et de PETROSEN afin de travailler sur la question. </w:t>
            </w:r>
          </w:p>
          <w:p w:rsidR="00F069FE" w:rsidRPr="00593DD7" w:rsidRDefault="00F069FE" w:rsidP="00A47DB5">
            <w:pPr>
              <w:rPr>
                <w:color w:val="0070C0"/>
                <w:lang w:val="fr-FR"/>
              </w:rPr>
            </w:pPr>
            <w:r w:rsidRPr="00593DD7">
              <w:rPr>
                <w:color w:val="0070C0"/>
                <w:lang w:val="fr-FR"/>
              </w:rPr>
              <w:t xml:space="preserve">D’ailleurs, une réunion a été tenue avec le Ministre du Pétrole dans ce sens. </w:t>
            </w:r>
          </w:p>
        </w:tc>
      </w:tr>
      <w:tr w:rsidR="007E6544" w:rsidRPr="00E96EF1" w:rsidTr="00A47DB5">
        <w:tc>
          <w:tcPr>
            <w:tcW w:w="5171" w:type="dxa"/>
          </w:tcPr>
          <w:p w:rsidR="007E6544" w:rsidRPr="00D53675" w:rsidRDefault="00D53675" w:rsidP="00A47DB5">
            <w:pPr>
              <w:jc w:val="both"/>
              <w:rPr>
                <w:lang w:val="fr-FR"/>
              </w:rPr>
            </w:pPr>
            <w:r>
              <w:rPr>
                <w:lang w:val="fr-FR"/>
              </w:rPr>
              <w:t xml:space="preserve">10. </w:t>
            </w:r>
            <w:r w:rsidR="007E6544" w:rsidRPr="00D53675">
              <w:rPr>
                <w:lang w:val="fr-FR"/>
              </w:rPr>
              <w:t xml:space="preserve">Le Groupe multipartite pourra souhaiter piloter le </w:t>
            </w:r>
            <w:r>
              <w:rPr>
                <w:lang w:val="fr-FR"/>
              </w:rPr>
              <w:t xml:space="preserve"> </w:t>
            </w:r>
            <w:r w:rsidR="007E6544" w:rsidRPr="00D53675">
              <w:rPr>
                <w:lang w:val="fr-FR"/>
              </w:rPr>
              <w:t xml:space="preserve">rapportage sur la propriété réelle dans le prochain Rapport ITIE pour renforcer la sensibilisation à la transparence de la propriété réelle et piloter les définitions et les seuils de la propriété réelle. En particulier, le Groupe multipartite pourra envisager l’application des différents types de contrôle pouvant être exercés sur une entreprise. Par ailleurs, l’ITIE Sénégal pourra souhaiter accroître ses activités de </w:t>
            </w:r>
            <w:r w:rsidR="007E6544" w:rsidRPr="00D53675">
              <w:rPr>
                <w:lang w:val="fr-FR"/>
              </w:rPr>
              <w:lastRenderedPageBreak/>
              <w:t>sensibilisation des entreprises aux objectifs visés par la transparence de la propriété réelle, et engager des discussions avec les organismes publics sur la façon de rendre obligatoires de telles divulgations</w:t>
            </w:r>
            <w:r>
              <w:rPr>
                <w:lang w:val="fr-FR"/>
              </w:rPr>
              <w:t>.</w:t>
            </w:r>
          </w:p>
        </w:tc>
        <w:tc>
          <w:tcPr>
            <w:tcW w:w="5125" w:type="dxa"/>
          </w:tcPr>
          <w:p w:rsidR="00253FE1" w:rsidRPr="00593DD7" w:rsidRDefault="00A822ED" w:rsidP="00A47DB5">
            <w:pPr>
              <w:jc w:val="both"/>
              <w:rPr>
                <w:color w:val="0070C0"/>
                <w:lang w:val="fr-FR"/>
              </w:rPr>
            </w:pPr>
            <w:r w:rsidRPr="00593DD7">
              <w:rPr>
                <w:color w:val="0070C0"/>
                <w:lang w:val="fr-FR"/>
              </w:rPr>
              <w:lastRenderedPageBreak/>
              <w:t xml:space="preserve">Le GMP a intégré les aspects </w:t>
            </w:r>
            <w:r w:rsidR="00D954DF">
              <w:rPr>
                <w:color w:val="0070C0"/>
                <w:lang w:val="fr-FR"/>
              </w:rPr>
              <w:t xml:space="preserve">évoqués </w:t>
            </w:r>
            <w:r w:rsidRPr="00593DD7">
              <w:rPr>
                <w:color w:val="0070C0"/>
                <w:lang w:val="fr-FR"/>
              </w:rPr>
              <w:t>dans les Rapports ITIE 2015 et 2016, et va poursuivre cette dynamique dans les futurs Rapports ITIE.</w:t>
            </w:r>
          </w:p>
          <w:p w:rsidR="00A5455A" w:rsidRPr="00593DD7" w:rsidRDefault="00A5455A" w:rsidP="00A47DB5">
            <w:pPr>
              <w:jc w:val="both"/>
              <w:rPr>
                <w:color w:val="0070C0"/>
                <w:lang w:val="fr-FR"/>
              </w:rPr>
            </w:pPr>
          </w:p>
          <w:p w:rsidR="00A822ED" w:rsidRPr="00593DD7" w:rsidRDefault="00A822ED" w:rsidP="00A47DB5">
            <w:pPr>
              <w:jc w:val="both"/>
              <w:rPr>
                <w:color w:val="0070C0"/>
                <w:lang w:val="fr-FR"/>
              </w:rPr>
            </w:pPr>
            <w:r w:rsidRPr="00593DD7">
              <w:rPr>
                <w:color w:val="0070C0"/>
                <w:lang w:val="fr-FR"/>
              </w:rPr>
              <w:t xml:space="preserve">En outre, un atelier de sensibilisation nationale sur la divulgation de la propriété réelle est prévu courant Mars 2018. </w:t>
            </w:r>
          </w:p>
          <w:p w:rsidR="00253FE1" w:rsidRPr="00593DD7" w:rsidRDefault="00253FE1" w:rsidP="00A47DB5">
            <w:pPr>
              <w:jc w:val="both"/>
              <w:rPr>
                <w:color w:val="0070C0"/>
                <w:lang w:val="fr-FR"/>
              </w:rPr>
            </w:pPr>
          </w:p>
          <w:p w:rsidR="00253FE1" w:rsidRPr="00593DD7" w:rsidRDefault="00A5455A" w:rsidP="00A47DB5">
            <w:pPr>
              <w:jc w:val="both"/>
              <w:rPr>
                <w:color w:val="0070C0"/>
                <w:lang w:val="fr-FR"/>
              </w:rPr>
            </w:pPr>
            <w:r w:rsidRPr="00593DD7">
              <w:rPr>
                <w:color w:val="0070C0"/>
                <w:lang w:val="fr-FR"/>
              </w:rPr>
              <w:t xml:space="preserve">Par ailleurs, le Gouvernement a adopté en conseil des </w:t>
            </w:r>
            <w:r w:rsidRPr="00593DD7">
              <w:rPr>
                <w:color w:val="0070C0"/>
                <w:lang w:val="fr-FR"/>
              </w:rPr>
              <w:lastRenderedPageBreak/>
              <w:t>ministres le 03 Janvier 2018, le projet de loi relative à la lutte contre le blanchiment des capitaux et le financement du terrorisme</w:t>
            </w:r>
            <w:r w:rsidRPr="00593DD7">
              <w:rPr>
                <w:rStyle w:val="Appelnotedebasdep"/>
                <w:color w:val="0070C0"/>
                <w:lang w:val="fr-FR"/>
              </w:rPr>
              <w:footnoteReference w:id="10"/>
            </w:r>
            <w:r w:rsidRPr="00593DD7">
              <w:rPr>
                <w:color w:val="0070C0"/>
                <w:lang w:val="fr-FR"/>
              </w:rPr>
              <w:t xml:space="preserve"> qui est une trans</w:t>
            </w:r>
            <w:r w:rsidR="004402A6" w:rsidRPr="00593DD7">
              <w:rPr>
                <w:color w:val="0070C0"/>
                <w:lang w:val="fr-FR"/>
              </w:rPr>
              <w:t>crip</w:t>
            </w:r>
            <w:r w:rsidRPr="00593DD7">
              <w:rPr>
                <w:color w:val="0070C0"/>
                <w:lang w:val="fr-FR"/>
              </w:rPr>
              <w:t xml:space="preserve">tion de la Directive de l’UEMOA ayant le même objet. Le Comité national a adopté les définitions et seuils de participation de la Directive pour les besoins des Rapports ITIE 2015 et 2016. </w:t>
            </w:r>
          </w:p>
          <w:p w:rsidR="00253FE1" w:rsidRPr="00593DD7" w:rsidRDefault="00253FE1" w:rsidP="00A47DB5">
            <w:pPr>
              <w:rPr>
                <w:color w:val="0070C0"/>
                <w:lang w:val="fr-FR"/>
              </w:rPr>
            </w:pPr>
          </w:p>
        </w:tc>
      </w:tr>
      <w:tr w:rsidR="007E6544" w:rsidRPr="00E96EF1" w:rsidTr="00A47DB5">
        <w:tc>
          <w:tcPr>
            <w:tcW w:w="5171" w:type="dxa"/>
          </w:tcPr>
          <w:p w:rsidR="007E6544" w:rsidRPr="00AC37D9" w:rsidRDefault="00D53675" w:rsidP="00A47DB5">
            <w:pPr>
              <w:jc w:val="both"/>
              <w:rPr>
                <w:lang w:val="fr-FR"/>
              </w:rPr>
            </w:pPr>
            <w:r>
              <w:rPr>
                <w:lang w:val="fr-FR"/>
              </w:rPr>
              <w:lastRenderedPageBreak/>
              <w:t xml:space="preserve">13. </w:t>
            </w:r>
            <w:r w:rsidR="007E6544" w:rsidRPr="008636A5">
              <w:rPr>
                <w:lang w:val="fr-FR"/>
              </w:rPr>
              <w:t>Le Groupe multipartite est encouragé à clarifier les différences relevées dans les chiffres des exportations entre les divulgations ITIE des entreprises et les données officielles du gouvernement</w:t>
            </w:r>
          </w:p>
        </w:tc>
        <w:tc>
          <w:tcPr>
            <w:tcW w:w="5125" w:type="dxa"/>
          </w:tcPr>
          <w:p w:rsidR="007E6544" w:rsidRPr="00593DD7" w:rsidRDefault="00053B8D" w:rsidP="00A47DB5">
            <w:pPr>
              <w:jc w:val="both"/>
              <w:rPr>
                <w:color w:val="0070C0"/>
                <w:lang w:val="fr-FR"/>
              </w:rPr>
            </w:pPr>
            <w:r w:rsidRPr="00593DD7">
              <w:rPr>
                <w:color w:val="0070C0"/>
                <w:lang w:val="fr-FR"/>
              </w:rPr>
              <w:t>Le Comité national travaille déjà sur la question avec les Douanes et la Direction des Mines et de la Géologie.</w:t>
            </w:r>
            <w:r w:rsidR="003D4D4C" w:rsidRPr="00593DD7">
              <w:rPr>
                <w:color w:val="0070C0"/>
                <w:lang w:val="fr-FR"/>
              </w:rPr>
              <w:t xml:space="preserve"> </w:t>
            </w:r>
          </w:p>
        </w:tc>
      </w:tr>
      <w:tr w:rsidR="00E57C1D" w:rsidRPr="00E96EF1" w:rsidTr="00A47DB5">
        <w:tc>
          <w:tcPr>
            <w:tcW w:w="5171" w:type="dxa"/>
          </w:tcPr>
          <w:p w:rsidR="00E57C1D" w:rsidRPr="00E57C1D" w:rsidRDefault="00D53675" w:rsidP="00A47DB5">
            <w:pPr>
              <w:widowControl w:val="0"/>
              <w:suppressAutoHyphens/>
              <w:spacing w:before="120" w:after="240" w:line="260" w:lineRule="auto"/>
              <w:jc w:val="both"/>
              <w:rPr>
                <w:lang w:val="fr-FR"/>
              </w:rPr>
            </w:pPr>
            <w:r>
              <w:rPr>
                <w:lang w:val="fr-FR"/>
              </w:rPr>
              <w:t xml:space="preserve">15. </w:t>
            </w:r>
            <w:r w:rsidR="00E57C1D" w:rsidRPr="00E57C1D">
              <w:rPr>
                <w:lang w:val="fr-FR"/>
              </w:rPr>
              <w:t>Le Groupe multipartite est encouragé à veiller à ce que les futurs Rapports ITIE fournissent pour tout accord de troc un niveau de détail et de transparence correspondant à la divulgation et à la réconciliation des autres paiements et flux de revenus.</w:t>
            </w:r>
          </w:p>
          <w:p w:rsidR="00E57C1D" w:rsidRPr="008636A5" w:rsidRDefault="00E57C1D" w:rsidP="00A47DB5">
            <w:pPr>
              <w:jc w:val="both"/>
              <w:rPr>
                <w:lang w:val="fr-FR"/>
              </w:rPr>
            </w:pPr>
          </w:p>
        </w:tc>
        <w:tc>
          <w:tcPr>
            <w:tcW w:w="5125" w:type="dxa"/>
          </w:tcPr>
          <w:p w:rsidR="00E57C1D" w:rsidRPr="00593DD7" w:rsidRDefault="00A5455A" w:rsidP="00A47DB5">
            <w:pPr>
              <w:rPr>
                <w:color w:val="0070C0"/>
                <w:lang w:val="fr-FR"/>
              </w:rPr>
            </w:pPr>
            <w:r w:rsidRPr="00593DD7">
              <w:rPr>
                <w:color w:val="0070C0"/>
                <w:lang w:val="fr-FR"/>
              </w:rPr>
              <w:t xml:space="preserve">Le GMP a déjà intégré les aspects ci-contre dans les Rapports ITIE </w:t>
            </w:r>
            <w:r w:rsidR="00C64C08" w:rsidRPr="00593DD7">
              <w:rPr>
                <w:color w:val="0070C0"/>
                <w:lang w:val="fr-FR"/>
              </w:rPr>
              <w:t>2014</w:t>
            </w:r>
            <w:r w:rsidR="00C64C08" w:rsidRPr="00593DD7">
              <w:rPr>
                <w:rStyle w:val="Appelnotedebasdep"/>
                <w:color w:val="0070C0"/>
                <w:lang w:val="fr-FR"/>
              </w:rPr>
              <w:footnoteReference w:id="11"/>
            </w:r>
            <w:r w:rsidR="00C64C08" w:rsidRPr="00593DD7">
              <w:rPr>
                <w:color w:val="0070C0"/>
                <w:lang w:val="fr-FR"/>
              </w:rPr>
              <w:t xml:space="preserve">, </w:t>
            </w:r>
            <w:r w:rsidRPr="00593DD7">
              <w:rPr>
                <w:color w:val="0070C0"/>
                <w:lang w:val="fr-FR"/>
              </w:rPr>
              <w:t>2015</w:t>
            </w:r>
            <w:r w:rsidR="00C64C08" w:rsidRPr="00593DD7">
              <w:rPr>
                <w:color w:val="0070C0"/>
                <w:lang w:val="fr-FR"/>
              </w:rPr>
              <w:t xml:space="preserve">  </w:t>
            </w:r>
            <w:r w:rsidRPr="00593DD7">
              <w:rPr>
                <w:color w:val="0070C0"/>
                <w:lang w:val="fr-FR"/>
              </w:rPr>
              <w:t>et 2016</w:t>
            </w:r>
            <w:r w:rsidR="00C64C08" w:rsidRPr="00593DD7">
              <w:rPr>
                <w:color w:val="0070C0"/>
                <w:lang w:val="fr-FR"/>
              </w:rPr>
              <w:t xml:space="preserve"> (page 44). </w:t>
            </w:r>
          </w:p>
        </w:tc>
      </w:tr>
      <w:tr w:rsidR="007E6544" w:rsidRPr="00E96EF1" w:rsidTr="00A47DB5">
        <w:tc>
          <w:tcPr>
            <w:tcW w:w="5171" w:type="dxa"/>
          </w:tcPr>
          <w:p w:rsidR="007E6544" w:rsidRPr="00AC37D9" w:rsidRDefault="00D53675" w:rsidP="00A47DB5">
            <w:pPr>
              <w:jc w:val="both"/>
              <w:rPr>
                <w:lang w:val="fr-FR"/>
              </w:rPr>
            </w:pPr>
            <w:r>
              <w:rPr>
                <w:lang w:val="fr-FR"/>
              </w:rPr>
              <w:t xml:space="preserve">16. </w:t>
            </w:r>
            <w:r w:rsidR="007E6544" w:rsidRPr="008636A5">
              <w:rPr>
                <w:lang w:val="fr-FR"/>
              </w:rPr>
              <w:t>Le Groupe multipartite pourra veiller à ce que les futurs Rapports ITIE contiennent des chiffres précis concernant le volume et la valeur des marchandises transportées dans le cadre d’accords de transport selon lesquels le gouvernement perçoit des revenus provenant du transport</w:t>
            </w:r>
            <w:r>
              <w:rPr>
                <w:lang w:val="fr-FR"/>
              </w:rPr>
              <w:t>.</w:t>
            </w:r>
          </w:p>
        </w:tc>
        <w:tc>
          <w:tcPr>
            <w:tcW w:w="5125" w:type="dxa"/>
          </w:tcPr>
          <w:p w:rsidR="007E6544" w:rsidRPr="00593DD7" w:rsidRDefault="00053B8D" w:rsidP="00A47DB5">
            <w:pPr>
              <w:jc w:val="both"/>
              <w:rPr>
                <w:color w:val="0070C0"/>
                <w:lang w:val="fr-FR"/>
              </w:rPr>
            </w:pPr>
            <w:r w:rsidRPr="00593DD7">
              <w:rPr>
                <w:color w:val="0070C0"/>
                <w:lang w:val="fr-FR"/>
              </w:rPr>
              <w:t xml:space="preserve">Le Comité national procède systématiquement dans les Rapports ITIE à la vérification et à la divulgation des paiements effectués au titre du transport des productions.  </w:t>
            </w:r>
          </w:p>
        </w:tc>
      </w:tr>
      <w:tr w:rsidR="000929B4" w:rsidRPr="00E96EF1" w:rsidTr="00A47DB5">
        <w:tc>
          <w:tcPr>
            <w:tcW w:w="5171" w:type="dxa"/>
          </w:tcPr>
          <w:p w:rsidR="000929B4" w:rsidRPr="008636A5" w:rsidRDefault="004B20A0" w:rsidP="00A47DB5">
            <w:pPr>
              <w:jc w:val="both"/>
              <w:rPr>
                <w:lang w:val="fr-FR"/>
              </w:rPr>
            </w:pPr>
            <w:r>
              <w:rPr>
                <w:lang w:val="fr-FR"/>
              </w:rPr>
              <w:t xml:space="preserve">17. </w:t>
            </w:r>
            <w:r w:rsidR="000929B4" w:rsidRPr="008636A5">
              <w:rPr>
                <w:lang w:val="fr-FR"/>
              </w:rPr>
              <w:t>Le Groupe multipartite pourra souhaiter progresser dans la mise en œuvre de la déclaration ITIE par projet, avant la date limite, pour tous les Rapports ITIE couvrant des exercices fiscaux se terminant le 31 décembre 2018 ou après cette date, comme convenu par le Conseil d’administration de l’ITIE lors de sa 36</w:t>
            </w:r>
            <w:r w:rsidR="000929B4" w:rsidRPr="00AC37D9">
              <w:rPr>
                <w:lang w:val="fr-FR"/>
              </w:rPr>
              <w:t>e</w:t>
            </w:r>
            <w:r w:rsidR="000929B4" w:rsidRPr="008636A5">
              <w:rPr>
                <w:lang w:val="fr-FR"/>
              </w:rPr>
              <w:t xml:space="preserve"> réunion à Bogota</w:t>
            </w:r>
            <w:r w:rsidR="00D53675">
              <w:rPr>
                <w:lang w:val="fr-FR"/>
              </w:rPr>
              <w:t xml:space="preserve">. </w:t>
            </w:r>
          </w:p>
        </w:tc>
        <w:tc>
          <w:tcPr>
            <w:tcW w:w="5125" w:type="dxa"/>
          </w:tcPr>
          <w:p w:rsidR="000929B4" w:rsidRPr="00593DD7" w:rsidRDefault="005E529D" w:rsidP="00A47DB5">
            <w:pPr>
              <w:rPr>
                <w:color w:val="0070C0"/>
                <w:lang w:val="fr-FR"/>
              </w:rPr>
            </w:pPr>
            <w:r w:rsidRPr="00593DD7">
              <w:rPr>
                <w:color w:val="0070C0"/>
                <w:lang w:val="fr-FR"/>
              </w:rPr>
              <w:t xml:space="preserve">Pas de commentaire. </w:t>
            </w:r>
          </w:p>
        </w:tc>
      </w:tr>
      <w:tr w:rsidR="000929B4" w:rsidRPr="00E96EF1" w:rsidTr="00A47DB5">
        <w:tc>
          <w:tcPr>
            <w:tcW w:w="5171" w:type="dxa"/>
          </w:tcPr>
          <w:p w:rsidR="000929B4" w:rsidRPr="008636A5" w:rsidRDefault="0093763B" w:rsidP="00A47DB5">
            <w:pPr>
              <w:jc w:val="both"/>
              <w:rPr>
                <w:lang w:val="fr-FR"/>
              </w:rPr>
            </w:pPr>
            <w:r>
              <w:rPr>
                <w:lang w:val="fr-FR"/>
              </w:rPr>
              <w:t xml:space="preserve">18. </w:t>
            </w:r>
            <w:r w:rsidR="000929B4" w:rsidRPr="008636A5">
              <w:rPr>
                <w:lang w:val="fr-FR"/>
              </w:rPr>
              <w:t>L’ITIE Sénégal est encouragée à redoubler d’efforts pour publier des Rapports ITIE plus à jour, de façon à rendre les données plus pertinentes et plus utiles au débat public</w:t>
            </w:r>
            <w:r w:rsidR="004B5C56">
              <w:rPr>
                <w:lang w:val="fr-FR"/>
              </w:rPr>
              <w:t xml:space="preserve">. </w:t>
            </w:r>
          </w:p>
        </w:tc>
        <w:tc>
          <w:tcPr>
            <w:tcW w:w="5125" w:type="dxa"/>
          </w:tcPr>
          <w:p w:rsidR="000929B4" w:rsidRPr="00593DD7" w:rsidRDefault="005E529D" w:rsidP="00A47DB5">
            <w:pPr>
              <w:rPr>
                <w:color w:val="0070C0"/>
                <w:lang w:val="fr-FR"/>
              </w:rPr>
            </w:pPr>
            <w:r w:rsidRPr="00593DD7">
              <w:rPr>
                <w:color w:val="0070C0"/>
                <w:lang w:val="fr-FR"/>
              </w:rPr>
              <w:t>Cette recommandation est déjà réalisée, les Rapports ITIE 2015 et 2016 sont accessibles sur le site du Comité national</w:t>
            </w:r>
            <w:r w:rsidRPr="00593DD7">
              <w:rPr>
                <w:rStyle w:val="Appelnotedebasdep"/>
                <w:color w:val="0070C0"/>
                <w:lang w:val="fr-FR"/>
              </w:rPr>
              <w:footnoteReference w:id="12"/>
            </w:r>
            <w:r w:rsidRPr="00593DD7">
              <w:rPr>
                <w:color w:val="0070C0"/>
                <w:lang w:val="fr-FR"/>
              </w:rPr>
              <w:t xml:space="preserve">. </w:t>
            </w:r>
          </w:p>
        </w:tc>
      </w:tr>
      <w:tr w:rsidR="007E6544" w:rsidRPr="00E96EF1" w:rsidTr="00A47DB5">
        <w:tc>
          <w:tcPr>
            <w:tcW w:w="5171" w:type="dxa"/>
          </w:tcPr>
          <w:p w:rsidR="007E6544" w:rsidRPr="00AC37D9" w:rsidRDefault="0093763B" w:rsidP="00A47DB5">
            <w:pPr>
              <w:jc w:val="both"/>
              <w:rPr>
                <w:lang w:val="fr-FR"/>
              </w:rPr>
            </w:pPr>
            <w:r>
              <w:rPr>
                <w:lang w:val="fr-FR"/>
              </w:rPr>
              <w:t xml:space="preserve">20. </w:t>
            </w:r>
            <w:r w:rsidR="007E6544" w:rsidRPr="008636A5">
              <w:rPr>
                <w:lang w:val="fr-FR"/>
              </w:rPr>
              <w:t>Compte tenu de la mise en œuvre des transferts infranationaux prévue à compter de 2017, le Groupe multipartite est encouragé à veiller à ce que les futurs Rapports ITIE fournissent la formule permettant de calculer les transferts à des entités de l’État infranationales, la valeur des transferts selon cette formule, ainsi que tout écart entre les transferts budgétés et exécutés durant l’année ou les années considérées</w:t>
            </w:r>
            <w:r w:rsidR="00D513F2">
              <w:rPr>
                <w:lang w:val="fr-FR"/>
              </w:rPr>
              <w:t xml:space="preserve">. </w:t>
            </w:r>
          </w:p>
        </w:tc>
        <w:tc>
          <w:tcPr>
            <w:tcW w:w="5125" w:type="dxa"/>
          </w:tcPr>
          <w:p w:rsidR="000B01D4" w:rsidRPr="00593DD7" w:rsidRDefault="007045A1" w:rsidP="00A47DB5">
            <w:pPr>
              <w:jc w:val="both"/>
              <w:rPr>
                <w:color w:val="0070C0"/>
                <w:lang w:val="fr-FR"/>
              </w:rPr>
            </w:pPr>
            <w:r>
              <w:rPr>
                <w:color w:val="0070C0"/>
                <w:lang w:val="fr-FR"/>
              </w:rPr>
              <w:t xml:space="preserve">Un arrêté portant transfert </w:t>
            </w:r>
            <w:r w:rsidR="000B01D4" w:rsidRPr="00593DD7">
              <w:rPr>
                <w:color w:val="0070C0"/>
                <w:lang w:val="fr-FR"/>
              </w:rPr>
              <w:t>des parts alloué</w:t>
            </w:r>
            <w:r>
              <w:rPr>
                <w:color w:val="0070C0"/>
                <w:lang w:val="fr-FR"/>
              </w:rPr>
              <w:t>e</w:t>
            </w:r>
            <w:r w:rsidR="000B01D4" w:rsidRPr="00593DD7">
              <w:rPr>
                <w:color w:val="0070C0"/>
                <w:lang w:val="fr-FR"/>
              </w:rPr>
              <w:t>s aux collectivités locales a été pris le 20 décembre 2017. (Voir l’arrêté en a</w:t>
            </w:r>
            <w:r w:rsidR="0075756A" w:rsidRPr="00593DD7">
              <w:rPr>
                <w:color w:val="0070C0"/>
                <w:lang w:val="fr-FR"/>
              </w:rPr>
              <w:t>nnexe</w:t>
            </w:r>
            <w:r w:rsidR="000B01D4" w:rsidRPr="00593DD7">
              <w:rPr>
                <w:color w:val="0070C0"/>
                <w:lang w:val="fr-FR"/>
              </w:rPr>
              <w:t xml:space="preserve">). </w:t>
            </w:r>
          </w:p>
          <w:p w:rsidR="0075756A" w:rsidRPr="00593DD7" w:rsidRDefault="0075756A" w:rsidP="00A47DB5">
            <w:pPr>
              <w:jc w:val="both"/>
              <w:rPr>
                <w:color w:val="0070C0"/>
                <w:lang w:val="fr-FR"/>
              </w:rPr>
            </w:pPr>
            <w:r w:rsidRPr="00593DD7">
              <w:rPr>
                <w:color w:val="0070C0"/>
                <w:lang w:val="fr-FR"/>
              </w:rPr>
              <w:t xml:space="preserve">Le Comité national a également déjà présenté les formules de calcul dans les Rapports ITIE 2015 et 2016.  </w:t>
            </w:r>
          </w:p>
          <w:p w:rsidR="007E6544" w:rsidRPr="00593DD7" w:rsidRDefault="007E6544" w:rsidP="00A47DB5">
            <w:pPr>
              <w:rPr>
                <w:color w:val="0070C0"/>
                <w:lang w:val="fr-FR"/>
              </w:rPr>
            </w:pPr>
          </w:p>
        </w:tc>
      </w:tr>
      <w:tr w:rsidR="000929B4" w:rsidRPr="00E96EF1" w:rsidTr="00A47DB5">
        <w:tc>
          <w:tcPr>
            <w:tcW w:w="5171" w:type="dxa"/>
          </w:tcPr>
          <w:p w:rsidR="000929B4" w:rsidRPr="000929B4" w:rsidRDefault="0093763B" w:rsidP="00A47DB5">
            <w:pPr>
              <w:widowControl w:val="0"/>
              <w:suppressAutoHyphens/>
              <w:spacing w:before="120" w:after="240" w:line="260" w:lineRule="auto"/>
              <w:jc w:val="both"/>
              <w:rPr>
                <w:lang w:val="fr-FR"/>
              </w:rPr>
            </w:pPr>
            <w:r>
              <w:rPr>
                <w:lang w:val="fr-FR"/>
              </w:rPr>
              <w:lastRenderedPageBreak/>
              <w:t xml:space="preserve">25. </w:t>
            </w:r>
            <w:r w:rsidR="000929B4" w:rsidRPr="000929B4">
              <w:rPr>
                <w:lang w:val="fr-FR"/>
              </w:rPr>
              <w:t xml:space="preserve">Le Groupe multipartite pourra souhaiter formaliser les mécanismes gouvernementaux permettant le suivi des recommandations issues des précédents Rapports ITIE et de la Validation, afin d’assurer la durabilité et l’efficacité continue des canaux de suivi. </w:t>
            </w:r>
          </w:p>
          <w:p w:rsidR="000929B4" w:rsidRPr="008636A5" w:rsidRDefault="000929B4" w:rsidP="00A47DB5">
            <w:pPr>
              <w:jc w:val="both"/>
              <w:rPr>
                <w:lang w:val="fr-FR"/>
              </w:rPr>
            </w:pPr>
          </w:p>
        </w:tc>
        <w:tc>
          <w:tcPr>
            <w:tcW w:w="5125" w:type="dxa"/>
          </w:tcPr>
          <w:p w:rsidR="000929B4" w:rsidRPr="00593DD7" w:rsidRDefault="0075756A" w:rsidP="00A47DB5">
            <w:pPr>
              <w:jc w:val="both"/>
              <w:rPr>
                <w:color w:val="0070C0"/>
                <w:lang w:val="fr-FR"/>
              </w:rPr>
            </w:pPr>
            <w:r w:rsidRPr="00593DD7">
              <w:rPr>
                <w:color w:val="0070C0"/>
                <w:lang w:val="fr-FR"/>
              </w:rPr>
              <w:t xml:space="preserve">Le suivi des recommandations bénéficie d’une prise en compte de la part des plus hautes autorités  de l’Etat. D’ailleurs le Chef de l’Etat vient de </w:t>
            </w:r>
            <w:r w:rsidR="002A2802" w:rsidRPr="00593DD7">
              <w:rPr>
                <w:color w:val="0070C0"/>
                <w:lang w:val="fr-FR"/>
              </w:rPr>
              <w:t>renouveler</w:t>
            </w:r>
            <w:r w:rsidRPr="00593DD7">
              <w:rPr>
                <w:color w:val="0070C0"/>
                <w:lang w:val="fr-FR"/>
              </w:rPr>
              <w:t xml:space="preserve"> son engagement à poursuivre la mise en œuvre des recommandations en ces termes : « Appréciant par ailleurs, l’état de mise en œuvre du processus de l’ITIE, le Chef de l’Etat réaffirme sa volonté d’asseoir la transparence totale dans la gestion de nos ressources naturelles,… Dès lors le Président de la République demande au Gouvernement de mettre en place, un groupe de travail constitué des représentants des ministères et structures de l’Etat pressentis pour la matérialisation des recommandations, afin d’impulser les réformes nécessaires à la transformation qualitative de la gouvernance du secteur. » (Extrait du communiqué du conseil des ministres du 17 Janvier 2018)</w:t>
            </w:r>
            <w:r w:rsidRPr="00593DD7">
              <w:rPr>
                <w:rStyle w:val="Appelnotedebasdep"/>
                <w:color w:val="0070C0"/>
                <w:lang w:val="fr-FR"/>
              </w:rPr>
              <w:footnoteReference w:id="13"/>
            </w:r>
            <w:r w:rsidRPr="00593DD7">
              <w:rPr>
                <w:color w:val="0070C0"/>
                <w:lang w:val="fr-FR"/>
              </w:rPr>
              <w:t xml:space="preserve">. </w:t>
            </w:r>
          </w:p>
          <w:p w:rsidR="0075756A" w:rsidRPr="00593DD7" w:rsidRDefault="0075756A" w:rsidP="00A47DB5">
            <w:pPr>
              <w:jc w:val="both"/>
              <w:rPr>
                <w:color w:val="0070C0"/>
                <w:lang w:val="fr-FR"/>
              </w:rPr>
            </w:pPr>
            <w:r w:rsidRPr="00593DD7">
              <w:rPr>
                <w:color w:val="0070C0"/>
                <w:lang w:val="fr-FR"/>
              </w:rPr>
              <w:t>Par ailleurs,</w:t>
            </w:r>
            <w:r w:rsidR="007179DA">
              <w:rPr>
                <w:color w:val="0070C0"/>
                <w:lang w:val="fr-FR"/>
              </w:rPr>
              <w:t xml:space="preserve"> </w:t>
            </w:r>
            <w:r w:rsidRPr="00593DD7">
              <w:rPr>
                <w:color w:val="0070C0"/>
                <w:lang w:val="fr-FR"/>
              </w:rPr>
              <w:t xml:space="preserve">le Comité national dispose d’une commission Renforcement de capacités – Suivi des recommandations qui est en charge du Plan de suivi des recommandations. </w:t>
            </w:r>
          </w:p>
        </w:tc>
      </w:tr>
      <w:tr w:rsidR="007E6544" w:rsidRPr="00E96EF1" w:rsidTr="00A47DB5">
        <w:tc>
          <w:tcPr>
            <w:tcW w:w="5171" w:type="dxa"/>
          </w:tcPr>
          <w:p w:rsidR="007E6544" w:rsidRDefault="0093763B" w:rsidP="00A47DB5">
            <w:pPr>
              <w:jc w:val="both"/>
              <w:rPr>
                <w:rFonts w:cstheme="minorHAnsi"/>
                <w:b/>
                <w:color w:val="FF0000"/>
                <w:lang w:val="fr-FR"/>
              </w:rPr>
            </w:pPr>
            <w:r>
              <w:rPr>
                <w:lang w:val="fr-FR"/>
              </w:rPr>
              <w:t>26.</w:t>
            </w:r>
            <w:r w:rsidR="0075756A">
              <w:rPr>
                <w:lang w:val="fr-FR"/>
              </w:rPr>
              <w:t xml:space="preserve"> Le </w:t>
            </w:r>
            <w:r w:rsidR="00BE4233">
              <w:rPr>
                <w:lang w:val="fr-FR"/>
              </w:rPr>
              <w:t xml:space="preserve">Groupe multipartite </w:t>
            </w:r>
            <w:r w:rsidR="007E6544" w:rsidRPr="008636A5">
              <w:rPr>
                <w:lang w:val="fr-FR"/>
              </w:rPr>
              <w:t>pourra souhaiter entreprendre une évaluation d’impact exhaustive en vue de recenser les effets tangibles de l’ITIE sur les communautés locales et les autres parties prenantes, pour déterminer dans quelle mesure l’ITIE a contribué à améliorer la gestion des finances publiques et la gouvernance des secteurs minier, pétrolier et gazier</w:t>
            </w:r>
            <w:r w:rsidR="004B5C56">
              <w:rPr>
                <w:lang w:val="fr-FR"/>
              </w:rPr>
              <w:t>.</w:t>
            </w:r>
          </w:p>
        </w:tc>
        <w:tc>
          <w:tcPr>
            <w:tcW w:w="5125" w:type="dxa"/>
          </w:tcPr>
          <w:p w:rsidR="007E6544" w:rsidRPr="00593DD7" w:rsidRDefault="00D513F2" w:rsidP="00A47DB5">
            <w:pPr>
              <w:jc w:val="both"/>
              <w:rPr>
                <w:color w:val="0070C0"/>
                <w:lang w:val="fr-FR"/>
              </w:rPr>
            </w:pPr>
            <w:r w:rsidRPr="00593DD7">
              <w:rPr>
                <w:color w:val="0070C0"/>
                <w:lang w:val="fr-FR"/>
              </w:rPr>
              <w:t>Le Comité national a déjà inscrit dans ses activités pour 2018 une étude d’impact de la mise en œuvre de l’ITIE au Sénégal.</w:t>
            </w:r>
            <w:r w:rsidR="00F0642E" w:rsidRPr="00593DD7">
              <w:rPr>
                <w:color w:val="0070C0"/>
                <w:lang w:val="fr-FR"/>
              </w:rPr>
              <w:t xml:space="preserve"> </w:t>
            </w:r>
            <w:r w:rsidRPr="00593DD7">
              <w:rPr>
                <w:color w:val="0070C0"/>
                <w:lang w:val="fr-FR"/>
              </w:rPr>
              <w:t xml:space="preserve"> </w:t>
            </w:r>
          </w:p>
        </w:tc>
      </w:tr>
    </w:tbl>
    <w:p w:rsidR="0010132C" w:rsidRDefault="00A47DB5" w:rsidP="00FE7AC7">
      <w:pPr>
        <w:spacing w:after="0" w:line="240" w:lineRule="auto"/>
        <w:rPr>
          <w:rFonts w:eastAsia="Calibri" w:cstheme="minorHAnsi"/>
          <w:i/>
          <w:color w:val="365F91" w:themeColor="accent1" w:themeShade="BF"/>
          <w:lang w:val="fr-FR"/>
        </w:rPr>
      </w:pPr>
      <w:r>
        <w:rPr>
          <w:rFonts w:eastAsia="Calibri" w:cstheme="minorHAnsi"/>
          <w:i/>
          <w:color w:val="365F91" w:themeColor="accent1" w:themeShade="BF"/>
          <w:lang w:val="fr-FR"/>
        </w:rPr>
        <w:br w:type="textWrapping" w:clear="all"/>
      </w:r>
    </w:p>
    <w:p w:rsidR="00F0642E" w:rsidRDefault="00F0642E" w:rsidP="00FE7AC7">
      <w:pPr>
        <w:spacing w:after="0" w:line="240" w:lineRule="auto"/>
        <w:rPr>
          <w:rFonts w:eastAsia="Calibri" w:cstheme="minorHAnsi"/>
          <w:i/>
          <w:color w:val="365F91" w:themeColor="accent1" w:themeShade="BF"/>
          <w:lang w:val="fr-FR"/>
        </w:rPr>
      </w:pPr>
    </w:p>
    <w:p w:rsidR="00F0642E" w:rsidRDefault="00F0642E"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9D6986" w:rsidRDefault="009D6986" w:rsidP="00FE7AC7">
      <w:pPr>
        <w:spacing w:after="0" w:line="240" w:lineRule="auto"/>
        <w:rPr>
          <w:rFonts w:eastAsia="Calibri" w:cstheme="minorHAnsi"/>
          <w:i/>
          <w:color w:val="365F91" w:themeColor="accent1" w:themeShade="BF"/>
          <w:lang w:val="fr-FR"/>
        </w:rPr>
      </w:pPr>
    </w:p>
    <w:p w:rsidR="0010132C" w:rsidRDefault="0010132C" w:rsidP="00FE7AC7">
      <w:pPr>
        <w:spacing w:after="0" w:line="240" w:lineRule="auto"/>
        <w:rPr>
          <w:rFonts w:eastAsia="Calibri" w:cstheme="minorHAnsi"/>
          <w:i/>
          <w:color w:val="365F91" w:themeColor="accent1" w:themeShade="BF"/>
          <w:lang w:val="fr-FR"/>
        </w:rPr>
      </w:pPr>
    </w:p>
    <w:p w:rsidR="00FE7AC7" w:rsidRPr="00A758A7" w:rsidRDefault="00FE7AC7" w:rsidP="00FE7AC7">
      <w:pPr>
        <w:spacing w:after="0" w:line="240" w:lineRule="auto"/>
        <w:rPr>
          <w:rFonts w:eastAsia="Calibri" w:cstheme="minorHAnsi"/>
          <w:i/>
          <w:color w:val="365F91" w:themeColor="accent1" w:themeShade="BF"/>
          <w:lang w:val="fr-FR"/>
        </w:rPr>
      </w:pPr>
      <w:r w:rsidRPr="00A758A7">
        <w:rPr>
          <w:rFonts w:eastAsia="Calibri" w:cstheme="minorHAnsi"/>
          <w:i/>
          <w:color w:val="365F91" w:themeColor="accent1" w:themeShade="BF"/>
          <w:lang w:val="fr-FR"/>
        </w:rPr>
        <w:lastRenderedPageBreak/>
        <w:t>Figure</w:t>
      </w:r>
      <w:r>
        <w:rPr>
          <w:rFonts w:eastAsia="Calibri" w:cstheme="minorHAnsi"/>
          <w:i/>
          <w:color w:val="365F91" w:themeColor="accent1" w:themeShade="BF"/>
          <w:lang w:val="fr-FR"/>
        </w:rPr>
        <w:t> </w:t>
      </w:r>
      <w:r w:rsidRPr="00A758A7">
        <w:rPr>
          <w:rFonts w:eastAsia="Calibri" w:cstheme="minorHAnsi"/>
          <w:i/>
          <w:color w:val="365F91" w:themeColor="accent1" w:themeShade="BF"/>
          <w:lang w:val="fr-FR"/>
        </w:rPr>
        <w:t xml:space="preserve">1 – Évaluation du </w:t>
      </w:r>
      <w:r w:rsidR="009F3147">
        <w:rPr>
          <w:rFonts w:eastAsia="Calibri" w:cstheme="minorHAnsi"/>
          <w:i/>
          <w:color w:val="365F91" w:themeColor="accent1" w:themeShade="BF"/>
          <w:lang w:val="fr-FR"/>
        </w:rPr>
        <w:t>Comité national</w:t>
      </w:r>
    </w:p>
    <w:p w:rsidR="00FE7AC7" w:rsidRPr="00A758A7" w:rsidRDefault="00FE7AC7" w:rsidP="00F12713">
      <w:pPr>
        <w:spacing w:after="0" w:line="240" w:lineRule="auto"/>
        <w:ind w:left="720" w:hanging="720"/>
        <w:rPr>
          <w:rFonts w:cstheme="minorHAnsi"/>
          <w:b/>
          <w:color w:val="FF0000"/>
          <w:lang w:val="fr-FR"/>
        </w:rPr>
      </w:pPr>
    </w:p>
    <w:tbl>
      <w:tblPr>
        <w:tblW w:w="11389" w:type="dxa"/>
        <w:tblInd w:w="-15" w:type="dxa"/>
        <w:tblLayout w:type="fixed"/>
        <w:tblLook w:val="04A0" w:firstRow="1" w:lastRow="0" w:firstColumn="1" w:lastColumn="0" w:noHBand="0" w:noVBand="1"/>
      </w:tblPr>
      <w:tblGrid>
        <w:gridCol w:w="1684"/>
        <w:gridCol w:w="3026"/>
        <w:gridCol w:w="492"/>
        <w:gridCol w:w="492"/>
        <w:gridCol w:w="492"/>
        <w:gridCol w:w="425"/>
        <w:gridCol w:w="284"/>
        <w:gridCol w:w="4494"/>
      </w:tblGrid>
      <w:tr w:rsidR="00FE7AC7" w:rsidRPr="00A758A7" w:rsidTr="00A1204D">
        <w:trPr>
          <w:trHeight w:val="142"/>
          <w:tblHeader/>
        </w:trPr>
        <w:tc>
          <w:tcPr>
            <w:tcW w:w="4710" w:type="dxa"/>
            <w:gridSpan w:val="2"/>
            <w:tcBorders>
              <w:top w:val="single" w:sz="12" w:space="0" w:color="auto"/>
              <w:left w:val="single" w:sz="12" w:space="0" w:color="auto"/>
              <w:bottom w:val="single" w:sz="4" w:space="0" w:color="auto"/>
              <w:right w:val="single" w:sz="4" w:space="0" w:color="auto"/>
            </w:tcBorders>
            <w:shd w:val="clear" w:color="000000" w:fill="366092"/>
            <w:noWrap/>
            <w:vAlign w:val="bottom"/>
          </w:tcPr>
          <w:p w:rsidR="00FE7AC7" w:rsidRPr="00A758A7" w:rsidRDefault="00FE7AC7" w:rsidP="00A1204D">
            <w:pPr>
              <w:spacing w:after="0" w:line="240" w:lineRule="auto"/>
              <w:rPr>
                <w:rFonts w:ascii="Calibri" w:hAnsi="Calibri" w:cs="Times New Roman"/>
                <w:b/>
                <w:bCs/>
                <w:color w:val="FFFFFF"/>
                <w:lang w:val="fr-FR" w:eastAsia="en-GB"/>
              </w:rPr>
            </w:pPr>
            <w:r>
              <w:rPr>
                <w:rFonts w:ascii="Calibri" w:hAnsi="Calibri" w:cs="Times New Roman"/>
                <w:b/>
                <w:bCs/>
                <w:color w:val="FFFFFF"/>
                <w:lang w:val="fr-FR" w:eastAsia="en-GB"/>
              </w:rPr>
              <w:t>Exigences ITIE</w:t>
            </w:r>
          </w:p>
        </w:tc>
        <w:tc>
          <w:tcPr>
            <w:tcW w:w="2185" w:type="dxa"/>
            <w:gridSpan w:val="5"/>
            <w:tcBorders>
              <w:top w:val="single" w:sz="12" w:space="0" w:color="auto"/>
              <w:left w:val="single" w:sz="4" w:space="0" w:color="auto"/>
              <w:bottom w:val="single" w:sz="4" w:space="0" w:color="auto"/>
              <w:right w:val="single" w:sz="12" w:space="0" w:color="auto"/>
            </w:tcBorders>
            <w:shd w:val="clear" w:color="000000" w:fill="366092"/>
            <w:vAlign w:val="center"/>
          </w:tcPr>
          <w:p w:rsidR="00FE7AC7" w:rsidRPr="00A758A7" w:rsidRDefault="00FE7AC7" w:rsidP="00A1204D">
            <w:pPr>
              <w:spacing w:after="0" w:line="240" w:lineRule="auto"/>
              <w:jc w:val="center"/>
              <w:rPr>
                <w:rFonts w:ascii="Calibri" w:hAnsi="Calibri" w:cs="Times New Roman"/>
                <w:b/>
                <w:bCs/>
                <w:color w:val="FFFFFF"/>
                <w:lang w:val="fr-FR" w:eastAsia="en-GB"/>
              </w:rPr>
            </w:pPr>
            <w:r w:rsidRPr="00A758A7">
              <w:rPr>
                <w:rFonts w:ascii="Calibri" w:hAnsi="Calibri"/>
                <w:b/>
                <w:bCs/>
                <w:color w:val="FFFFFF"/>
                <w:lang w:val="fr-FR"/>
              </w:rPr>
              <w:t>NIVEAU DE PROGRÈS</w:t>
            </w:r>
          </w:p>
        </w:tc>
        <w:tc>
          <w:tcPr>
            <w:tcW w:w="4494" w:type="dxa"/>
            <w:vMerge w:val="restart"/>
            <w:tcBorders>
              <w:top w:val="single" w:sz="12" w:space="0" w:color="auto"/>
              <w:left w:val="single" w:sz="4" w:space="0" w:color="auto"/>
              <w:right w:val="single" w:sz="12" w:space="0" w:color="auto"/>
            </w:tcBorders>
            <w:shd w:val="clear" w:color="000000" w:fill="366092"/>
          </w:tcPr>
          <w:p w:rsidR="00FE7AC7" w:rsidRPr="0049649A" w:rsidRDefault="00FE7AC7" w:rsidP="00A1204D">
            <w:pPr>
              <w:spacing w:after="0" w:line="240" w:lineRule="auto"/>
              <w:jc w:val="center"/>
              <w:rPr>
                <w:rFonts w:ascii="Calibri" w:hAnsi="Calibri"/>
                <w:b/>
                <w:bCs/>
                <w:color w:val="FFFFFF" w:themeColor="background1"/>
                <w:lang w:val="fr-FR"/>
              </w:rPr>
            </w:pPr>
            <w:r w:rsidRPr="0049649A">
              <w:rPr>
                <w:rFonts w:ascii="Calibri" w:hAnsi="Calibri"/>
                <w:b/>
                <w:bCs/>
                <w:color w:val="FFFFFF" w:themeColor="background1"/>
                <w:lang w:val="fr-FR"/>
              </w:rPr>
              <w:t>Commentaires du Comité National</w:t>
            </w:r>
          </w:p>
        </w:tc>
      </w:tr>
      <w:tr w:rsidR="00FE7AC7" w:rsidRPr="00A758A7" w:rsidTr="00A1204D">
        <w:trPr>
          <w:trHeight w:val="1372"/>
          <w:tblHeader/>
        </w:trPr>
        <w:tc>
          <w:tcPr>
            <w:tcW w:w="4710" w:type="dxa"/>
            <w:gridSpan w:val="2"/>
            <w:tcBorders>
              <w:top w:val="single" w:sz="4" w:space="0" w:color="auto"/>
              <w:left w:val="single" w:sz="12" w:space="0" w:color="auto"/>
              <w:bottom w:val="nil"/>
              <w:right w:val="single" w:sz="8" w:space="0" w:color="auto"/>
            </w:tcBorders>
            <w:shd w:val="clear" w:color="000000" w:fill="F2F2F2"/>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p w:rsidR="00FE7AC7" w:rsidRPr="00A758A7" w:rsidRDefault="00FE7AC7" w:rsidP="00A1204D">
            <w:pPr>
              <w:spacing w:after="0" w:line="240" w:lineRule="auto"/>
              <w:rPr>
                <w:rFonts w:ascii="Calibri" w:hAnsi="Calibri" w:cs="Times New Roman"/>
                <w:b/>
                <w:bCs/>
                <w:color w:val="FFFFFF"/>
                <w:lang w:val="fr-FR" w:eastAsia="en-GB"/>
              </w:rPr>
            </w:pPr>
            <w:r w:rsidRPr="00A758A7">
              <w:rPr>
                <w:rFonts w:ascii="Calibri" w:hAnsi="Calibri" w:cs="Times New Roman"/>
                <w:b/>
                <w:bCs/>
                <w:color w:val="FFFFFF"/>
                <w:lang w:val="fr-FR" w:eastAsia="en-GB"/>
              </w:rPr>
              <w:t> </w:t>
            </w:r>
          </w:p>
        </w:tc>
        <w:tc>
          <w:tcPr>
            <w:tcW w:w="492" w:type="dxa"/>
            <w:tcBorders>
              <w:top w:val="single" w:sz="4" w:space="0" w:color="auto"/>
              <w:left w:val="single" w:sz="4" w:space="0" w:color="000000" w:themeColor="text1"/>
              <w:right w:val="single" w:sz="12" w:space="0" w:color="auto"/>
            </w:tcBorders>
            <w:shd w:val="clear" w:color="000000" w:fill="F2F2F2"/>
            <w:textDirection w:val="btLr"/>
          </w:tcPr>
          <w:p w:rsidR="00FE7AC7" w:rsidRPr="00A758A7" w:rsidRDefault="00FE7AC7" w:rsidP="00A1204D">
            <w:pPr>
              <w:spacing w:after="0" w:line="240" w:lineRule="auto"/>
              <w:rPr>
                <w:rFonts w:ascii="Calibri" w:hAnsi="Calibri" w:cs="Times New Roman"/>
                <w:bCs/>
                <w:color w:val="000000"/>
                <w:lang w:val="fr-FR"/>
              </w:rPr>
            </w:pPr>
            <w:r w:rsidRPr="00A758A7">
              <w:rPr>
                <w:rFonts w:ascii="Calibri" w:hAnsi="Calibri"/>
                <w:bCs/>
                <w:color w:val="000000"/>
                <w:lang w:val="fr-FR"/>
              </w:rPr>
              <w:t>Aucun</w:t>
            </w:r>
          </w:p>
        </w:tc>
        <w:tc>
          <w:tcPr>
            <w:tcW w:w="492" w:type="dxa"/>
            <w:tcBorders>
              <w:top w:val="single" w:sz="4" w:space="0" w:color="auto"/>
              <w:left w:val="single" w:sz="4" w:space="0" w:color="000000" w:themeColor="text1"/>
              <w:right w:val="single" w:sz="12" w:space="0" w:color="auto"/>
            </w:tcBorders>
            <w:shd w:val="clear" w:color="000000" w:fill="F2F2F2"/>
            <w:textDirection w:val="btLr"/>
          </w:tcPr>
          <w:p w:rsidR="00FE7AC7" w:rsidRPr="00A758A7" w:rsidRDefault="00FE7AC7" w:rsidP="00A1204D">
            <w:pPr>
              <w:spacing w:after="0" w:line="240" w:lineRule="auto"/>
              <w:rPr>
                <w:rFonts w:ascii="Calibri" w:hAnsi="Calibri" w:cs="Times New Roman"/>
                <w:bCs/>
                <w:color w:val="000000"/>
                <w:lang w:val="fr-FR"/>
              </w:rPr>
            </w:pPr>
            <w:r w:rsidRPr="00A758A7">
              <w:rPr>
                <w:rFonts w:ascii="Calibri" w:hAnsi="Calibri"/>
                <w:bCs/>
                <w:color w:val="000000"/>
                <w:lang w:val="fr-FR"/>
              </w:rPr>
              <w:t>Insuffisant</w:t>
            </w:r>
          </w:p>
        </w:tc>
        <w:tc>
          <w:tcPr>
            <w:tcW w:w="492" w:type="dxa"/>
            <w:tcBorders>
              <w:top w:val="single" w:sz="4" w:space="0" w:color="auto"/>
              <w:left w:val="single" w:sz="4" w:space="0" w:color="000000" w:themeColor="text1"/>
              <w:right w:val="single" w:sz="12" w:space="0" w:color="auto"/>
            </w:tcBorders>
            <w:shd w:val="clear" w:color="000000" w:fill="F2F2F2"/>
            <w:textDirection w:val="btLr"/>
          </w:tcPr>
          <w:p w:rsidR="00FE7AC7" w:rsidRPr="00A758A7" w:rsidRDefault="00FE7AC7" w:rsidP="00A1204D">
            <w:pPr>
              <w:spacing w:after="0" w:line="240" w:lineRule="auto"/>
              <w:rPr>
                <w:rFonts w:ascii="Calibri" w:hAnsi="Calibri" w:cs="Times New Roman"/>
                <w:bCs/>
                <w:color w:val="000000"/>
                <w:lang w:val="fr-FR"/>
              </w:rPr>
            </w:pPr>
            <w:r w:rsidRPr="00A758A7">
              <w:rPr>
                <w:rFonts w:ascii="Calibri" w:hAnsi="Calibri"/>
                <w:bCs/>
                <w:color w:val="000000"/>
                <w:lang w:val="fr-FR"/>
              </w:rPr>
              <w:t>Significatif</w:t>
            </w:r>
          </w:p>
        </w:tc>
        <w:tc>
          <w:tcPr>
            <w:tcW w:w="425" w:type="dxa"/>
            <w:tcBorders>
              <w:top w:val="single" w:sz="4" w:space="0" w:color="auto"/>
              <w:left w:val="single" w:sz="4" w:space="0" w:color="000000" w:themeColor="text1"/>
              <w:right w:val="single" w:sz="12" w:space="0" w:color="auto"/>
            </w:tcBorders>
            <w:shd w:val="clear" w:color="000000" w:fill="F2F2F2"/>
            <w:textDirection w:val="btLr"/>
          </w:tcPr>
          <w:p w:rsidR="00FE7AC7" w:rsidRPr="00A758A7" w:rsidRDefault="00FE7AC7" w:rsidP="00A1204D">
            <w:pPr>
              <w:spacing w:after="0" w:line="240" w:lineRule="auto"/>
              <w:rPr>
                <w:rFonts w:ascii="Calibri" w:hAnsi="Calibri" w:cs="Times New Roman"/>
                <w:bCs/>
                <w:color w:val="000000"/>
                <w:lang w:val="fr-FR"/>
              </w:rPr>
            </w:pPr>
            <w:r w:rsidRPr="00A758A7">
              <w:rPr>
                <w:rFonts w:ascii="Calibri" w:hAnsi="Calibri"/>
                <w:bCs/>
                <w:color w:val="000000"/>
                <w:lang w:val="fr-FR"/>
              </w:rPr>
              <w:t>Satisfaisant</w:t>
            </w:r>
          </w:p>
        </w:tc>
        <w:tc>
          <w:tcPr>
            <w:tcW w:w="284" w:type="dxa"/>
            <w:tcBorders>
              <w:top w:val="single" w:sz="4" w:space="0" w:color="auto"/>
              <w:left w:val="single" w:sz="4" w:space="0" w:color="000000" w:themeColor="text1"/>
              <w:right w:val="single" w:sz="4" w:space="0" w:color="auto"/>
            </w:tcBorders>
            <w:shd w:val="clear" w:color="000000" w:fill="F2F2F2"/>
            <w:textDirection w:val="btLr"/>
            <w:vAlign w:val="center"/>
          </w:tcPr>
          <w:p w:rsidR="00FE7AC7" w:rsidRPr="00A758A7" w:rsidRDefault="00FE7AC7" w:rsidP="00A1204D">
            <w:pPr>
              <w:spacing w:after="0" w:line="240" w:lineRule="auto"/>
              <w:rPr>
                <w:rFonts w:ascii="Calibri" w:hAnsi="Calibri" w:cs="Times New Roman"/>
                <w:bCs/>
                <w:color w:val="000000"/>
                <w:lang w:val="fr-FR"/>
              </w:rPr>
            </w:pPr>
            <w:r w:rsidRPr="00A758A7">
              <w:rPr>
                <w:rFonts w:ascii="Calibri" w:hAnsi="Calibri"/>
                <w:bCs/>
                <w:color w:val="000000"/>
                <w:lang w:val="fr-FR"/>
              </w:rPr>
              <w:t>Dépassé</w:t>
            </w:r>
          </w:p>
        </w:tc>
        <w:tc>
          <w:tcPr>
            <w:tcW w:w="4494" w:type="dxa"/>
            <w:vMerge/>
            <w:tcBorders>
              <w:left w:val="single" w:sz="4" w:space="0" w:color="auto"/>
              <w:right w:val="single" w:sz="12" w:space="0" w:color="auto"/>
            </w:tcBorders>
            <w:shd w:val="clear" w:color="000000" w:fill="F2F2F2"/>
            <w:textDirection w:val="btLr"/>
          </w:tcPr>
          <w:p w:rsidR="00FE7AC7" w:rsidRPr="00A758A7" w:rsidRDefault="00FE7AC7" w:rsidP="00A1204D">
            <w:pPr>
              <w:spacing w:after="0" w:line="240" w:lineRule="auto"/>
              <w:rPr>
                <w:rFonts w:ascii="Calibri" w:hAnsi="Calibri"/>
                <w:bCs/>
                <w:color w:val="000000"/>
                <w:lang w:val="fr-FR"/>
              </w:rPr>
            </w:pPr>
          </w:p>
        </w:tc>
      </w:tr>
      <w:tr w:rsidR="00FE7AC7" w:rsidRPr="00A758A7" w:rsidTr="00A1204D">
        <w:trPr>
          <w:trHeight w:val="306"/>
          <w:tblHeader/>
        </w:trPr>
        <w:tc>
          <w:tcPr>
            <w:tcW w:w="1684" w:type="dxa"/>
            <w:tcBorders>
              <w:left w:val="single" w:sz="12" w:space="0" w:color="auto"/>
              <w:bottom w:val="single" w:sz="12" w:space="0" w:color="000000" w:themeColor="text1"/>
            </w:tcBorders>
            <w:shd w:val="clear" w:color="000000" w:fill="F2F2F2"/>
            <w:noWrap/>
            <w:vAlign w:val="bottom"/>
            <w:hideMark/>
          </w:tcPr>
          <w:p w:rsidR="00FE7AC7" w:rsidRPr="00A758A7" w:rsidRDefault="00FE7AC7" w:rsidP="00A1204D">
            <w:pPr>
              <w:spacing w:after="0" w:line="240" w:lineRule="auto"/>
              <w:rPr>
                <w:rFonts w:ascii="Calibri" w:hAnsi="Calibri" w:cs="Times New Roman"/>
                <w:b/>
                <w:bCs/>
                <w:color w:val="000000"/>
                <w:lang w:val="fr-FR"/>
              </w:rPr>
            </w:pPr>
            <w:r w:rsidRPr="00A758A7">
              <w:rPr>
                <w:rFonts w:ascii="Calibri" w:hAnsi="Calibri"/>
                <w:b/>
                <w:bCs/>
                <w:color w:val="000000"/>
                <w:lang w:val="fr-FR"/>
              </w:rPr>
              <w:t>Catégories</w:t>
            </w:r>
          </w:p>
        </w:tc>
        <w:tc>
          <w:tcPr>
            <w:tcW w:w="3026" w:type="dxa"/>
            <w:tcBorders>
              <w:bottom w:val="single" w:sz="12" w:space="0" w:color="000000" w:themeColor="text1"/>
              <w:right w:val="single" w:sz="8" w:space="0" w:color="auto"/>
            </w:tcBorders>
            <w:shd w:val="clear" w:color="000000" w:fill="F2F2F2"/>
            <w:noWrap/>
            <w:vAlign w:val="center"/>
            <w:hideMark/>
          </w:tcPr>
          <w:p w:rsidR="00FE7AC7" w:rsidRPr="00A758A7" w:rsidRDefault="00FE7AC7" w:rsidP="00A1204D">
            <w:pPr>
              <w:spacing w:after="0" w:line="240" w:lineRule="auto"/>
              <w:rPr>
                <w:rFonts w:ascii="Calibri" w:hAnsi="Calibri" w:cs="Times New Roman"/>
                <w:b/>
                <w:bCs/>
                <w:color w:val="000000"/>
                <w:lang w:val="fr-FR"/>
              </w:rPr>
            </w:pPr>
            <w:r w:rsidRPr="00A758A7">
              <w:rPr>
                <w:rFonts w:ascii="Calibri" w:hAnsi="Calibri"/>
                <w:b/>
                <w:bCs/>
                <w:color w:val="000000"/>
                <w:lang w:val="fr-FR"/>
              </w:rPr>
              <w:t>Exigences</w:t>
            </w:r>
          </w:p>
        </w:tc>
        <w:tc>
          <w:tcPr>
            <w:tcW w:w="492" w:type="dxa"/>
            <w:tcBorders>
              <w:left w:val="single" w:sz="4" w:space="0" w:color="000000" w:themeColor="text1"/>
              <w:bottom w:val="single" w:sz="12" w:space="0" w:color="auto"/>
              <w:right w:val="single" w:sz="12" w:space="0" w:color="auto"/>
            </w:tcBorders>
            <w:shd w:val="clear" w:color="000000" w:fill="C00000"/>
          </w:tcPr>
          <w:p w:rsidR="00FE7AC7" w:rsidRPr="00A758A7" w:rsidRDefault="00FE7AC7" w:rsidP="00A1204D">
            <w:pPr>
              <w:spacing w:after="0" w:line="240" w:lineRule="auto"/>
              <w:rPr>
                <w:rFonts w:ascii="Calibri" w:hAnsi="Calibri" w:cs="Times New Roman"/>
                <w:b/>
                <w:bCs/>
                <w:color w:val="C00000"/>
                <w:lang w:val="fr-FR" w:eastAsia="en-GB"/>
              </w:rPr>
            </w:pPr>
          </w:p>
        </w:tc>
        <w:tc>
          <w:tcPr>
            <w:tcW w:w="492" w:type="dxa"/>
            <w:tcBorders>
              <w:left w:val="single" w:sz="4" w:space="0" w:color="000000" w:themeColor="text1"/>
              <w:bottom w:val="single" w:sz="12" w:space="0" w:color="auto"/>
              <w:right w:val="single" w:sz="12" w:space="0" w:color="auto"/>
            </w:tcBorders>
            <w:shd w:val="clear" w:color="000000" w:fill="FAC433"/>
          </w:tcPr>
          <w:p w:rsidR="00FE7AC7" w:rsidRPr="00A758A7" w:rsidRDefault="00FE7AC7" w:rsidP="00A1204D">
            <w:pPr>
              <w:spacing w:after="0" w:line="240" w:lineRule="auto"/>
              <w:rPr>
                <w:rFonts w:ascii="Calibri" w:hAnsi="Calibri" w:cs="Times New Roman"/>
                <w:b/>
                <w:bCs/>
                <w:color w:val="C00000"/>
                <w:lang w:val="fr-FR" w:eastAsia="en-GB"/>
              </w:rPr>
            </w:pPr>
          </w:p>
        </w:tc>
        <w:tc>
          <w:tcPr>
            <w:tcW w:w="492" w:type="dxa"/>
            <w:tcBorders>
              <w:left w:val="single" w:sz="4" w:space="0" w:color="000000" w:themeColor="text1"/>
              <w:bottom w:val="single" w:sz="12" w:space="0" w:color="auto"/>
              <w:right w:val="single" w:sz="12" w:space="0" w:color="auto"/>
            </w:tcBorders>
            <w:shd w:val="clear" w:color="000000" w:fill="84AE43"/>
            <w:vAlign w:val="bottom"/>
          </w:tcPr>
          <w:p w:rsidR="00FE7AC7" w:rsidRPr="00A758A7" w:rsidRDefault="00FE7AC7" w:rsidP="00A1204D">
            <w:pPr>
              <w:spacing w:after="0" w:line="240" w:lineRule="auto"/>
              <w:rPr>
                <w:rFonts w:ascii="Calibri" w:hAnsi="Calibri" w:cs="Times New Roman"/>
                <w:b/>
                <w:bCs/>
                <w:color w:val="000000"/>
                <w:lang w:val="fr-FR" w:eastAsia="en-GB"/>
              </w:rPr>
            </w:pPr>
            <w:r w:rsidRPr="00A758A7">
              <w:rPr>
                <w:rFonts w:ascii="Calibri" w:hAnsi="Calibri" w:cs="Times New Roman"/>
                <w:color w:val="000000"/>
                <w:lang w:val="fr-FR" w:eastAsia="en-GB"/>
              </w:rPr>
              <w:t> </w:t>
            </w:r>
          </w:p>
        </w:tc>
        <w:tc>
          <w:tcPr>
            <w:tcW w:w="425" w:type="dxa"/>
            <w:tcBorders>
              <w:left w:val="single" w:sz="4" w:space="0" w:color="000000" w:themeColor="text1"/>
              <w:bottom w:val="single" w:sz="12" w:space="0" w:color="auto"/>
              <w:right w:val="single" w:sz="12" w:space="0" w:color="auto"/>
            </w:tcBorders>
            <w:shd w:val="clear" w:color="000000" w:fill="2D8B2A"/>
            <w:vAlign w:val="bottom"/>
          </w:tcPr>
          <w:p w:rsidR="00FE7AC7" w:rsidRPr="00A758A7" w:rsidRDefault="00FE7AC7" w:rsidP="00A1204D">
            <w:pPr>
              <w:spacing w:after="0" w:line="240" w:lineRule="auto"/>
              <w:rPr>
                <w:rFonts w:ascii="Calibri" w:hAnsi="Calibri" w:cs="Times New Roman"/>
                <w:b/>
                <w:bCs/>
                <w:color w:val="000000"/>
                <w:lang w:val="fr-FR" w:eastAsia="en-GB"/>
              </w:rPr>
            </w:pPr>
            <w:r w:rsidRPr="00A758A7">
              <w:rPr>
                <w:rFonts w:ascii="Calibri" w:hAnsi="Calibri" w:cs="Times New Roman"/>
                <w:color w:val="000000"/>
                <w:lang w:val="fr-FR" w:eastAsia="en-GB"/>
              </w:rPr>
              <w:t> </w:t>
            </w:r>
          </w:p>
        </w:tc>
        <w:tc>
          <w:tcPr>
            <w:tcW w:w="284" w:type="dxa"/>
            <w:tcBorders>
              <w:left w:val="single" w:sz="4" w:space="0" w:color="000000" w:themeColor="text1"/>
              <w:bottom w:val="single" w:sz="12" w:space="0" w:color="auto"/>
              <w:right w:val="single" w:sz="4" w:space="0" w:color="auto"/>
            </w:tcBorders>
            <w:shd w:val="clear" w:color="000000" w:fill="0076AF"/>
            <w:vAlign w:val="center"/>
          </w:tcPr>
          <w:p w:rsidR="00FE7AC7" w:rsidRPr="00A758A7" w:rsidRDefault="00FE7AC7" w:rsidP="00A1204D">
            <w:pPr>
              <w:spacing w:after="0" w:line="240" w:lineRule="auto"/>
              <w:rPr>
                <w:rFonts w:ascii="Calibri" w:hAnsi="Calibri" w:cs="Times New Roman"/>
                <w:b/>
                <w:bCs/>
                <w:color w:val="000000"/>
                <w:lang w:val="fr-FR" w:eastAsia="en-GB"/>
              </w:rPr>
            </w:pPr>
            <w:r w:rsidRPr="00A758A7">
              <w:rPr>
                <w:rFonts w:ascii="Calibri" w:hAnsi="Calibri" w:cs="Times New Roman"/>
                <w:color w:val="000000"/>
                <w:lang w:val="fr-FR" w:eastAsia="en-GB"/>
              </w:rPr>
              <w:t> </w:t>
            </w:r>
          </w:p>
        </w:tc>
        <w:tc>
          <w:tcPr>
            <w:tcW w:w="4494" w:type="dxa"/>
            <w:vMerge/>
            <w:tcBorders>
              <w:left w:val="single" w:sz="4" w:space="0" w:color="auto"/>
              <w:bottom w:val="single" w:sz="12" w:space="0" w:color="auto"/>
              <w:right w:val="single" w:sz="12" w:space="0" w:color="auto"/>
            </w:tcBorders>
            <w:shd w:val="clear" w:color="000000" w:fill="0076AF"/>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A758A7" w:rsidTr="00A1204D">
        <w:trPr>
          <w:trHeight w:val="53"/>
        </w:trPr>
        <w:tc>
          <w:tcPr>
            <w:tcW w:w="1684" w:type="dxa"/>
            <w:vMerge w:val="restart"/>
            <w:tcBorders>
              <w:top w:val="single" w:sz="12" w:space="0" w:color="000000" w:themeColor="text1"/>
              <w:left w:val="single" w:sz="12" w:space="0" w:color="auto"/>
              <w:bottom w:val="single" w:sz="8" w:space="0" w:color="000000"/>
              <w:right w:val="single" w:sz="2" w:space="0" w:color="A6A6A6" w:themeColor="background1" w:themeShade="A6"/>
            </w:tcBorders>
            <w:shd w:val="clear" w:color="000000" w:fill="BFBFBF"/>
            <w:noWrap/>
            <w:vAlign w:val="center"/>
            <w:hideMark/>
          </w:tcPr>
          <w:p w:rsidR="00FE7AC7" w:rsidRPr="00A758A7" w:rsidRDefault="00FE7AC7" w:rsidP="00A1204D">
            <w:pPr>
              <w:spacing w:after="0" w:line="240" w:lineRule="auto"/>
              <w:rPr>
                <w:rFonts w:ascii="Calibri" w:hAnsi="Calibri" w:cs="Times New Roman"/>
                <w:b/>
                <w:bCs/>
                <w:color w:val="000000"/>
                <w:lang w:val="fr-FR"/>
              </w:rPr>
            </w:pPr>
            <w:r w:rsidRPr="00A758A7">
              <w:rPr>
                <w:rFonts w:ascii="Calibri" w:hAnsi="Calibri"/>
                <w:b/>
                <w:bCs/>
                <w:color w:val="000000"/>
                <w:lang w:val="fr-FR"/>
              </w:rPr>
              <w:t>Suivi par le Groupe multipartite</w:t>
            </w:r>
          </w:p>
        </w:tc>
        <w:tc>
          <w:tcPr>
            <w:tcW w:w="302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rsidR="00FE7AC7" w:rsidRPr="00A758A7" w:rsidRDefault="00FE7AC7" w:rsidP="00A1204D">
            <w:pPr>
              <w:spacing w:after="0" w:line="240" w:lineRule="auto"/>
              <w:rPr>
                <w:rFonts w:ascii="Calibri" w:hAnsi="Calibri" w:cs="Times New Roman"/>
                <w:color w:val="000000"/>
                <w:lang w:val="fr-FR"/>
              </w:rPr>
            </w:pPr>
            <w:r w:rsidRPr="00A758A7">
              <w:rPr>
                <w:rFonts w:ascii="Calibri" w:hAnsi="Calibri"/>
                <w:color w:val="000000"/>
                <w:lang w:val="fr-FR"/>
              </w:rPr>
              <w:t>Engagement de l’État (1.1)</w:t>
            </w:r>
          </w:p>
        </w:tc>
        <w:tc>
          <w:tcPr>
            <w:tcW w:w="492"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12" w:space="0" w:color="auto"/>
              <w:left w:val="single" w:sz="2" w:space="0" w:color="A6A6A6" w:themeColor="background1" w:themeShade="A6"/>
              <w:bottom w:val="single" w:sz="2" w:space="0" w:color="A6A6A6" w:themeColor="background1" w:themeShade="A6"/>
              <w:right w:val="single" w:sz="12" w:space="0" w:color="auto"/>
            </w:tcBorders>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A758A7" w:rsidTr="00A1204D">
        <w:trPr>
          <w:trHeight w:val="281"/>
        </w:trPr>
        <w:tc>
          <w:tcPr>
            <w:tcW w:w="1684"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Engagement des entreprises (1.2)</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E96EF1" w:rsidTr="00A1204D">
        <w:trPr>
          <w:trHeight w:val="53"/>
        </w:trPr>
        <w:tc>
          <w:tcPr>
            <w:tcW w:w="1684"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Engagement de la société civile (1.3)</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A758A7" w:rsidTr="00A1204D">
        <w:trPr>
          <w:trHeight w:val="258"/>
        </w:trPr>
        <w:tc>
          <w:tcPr>
            <w:tcW w:w="1684"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Gouvernance du Groupe multipartite (1.4)</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A758A7" w:rsidTr="00A1204D">
        <w:trPr>
          <w:trHeight w:val="53"/>
        </w:trPr>
        <w:tc>
          <w:tcPr>
            <w:tcW w:w="1684" w:type="dxa"/>
            <w:vMerge/>
            <w:tcBorders>
              <w:top w:val="single" w:sz="8" w:space="0" w:color="auto"/>
              <w:left w:val="single" w:sz="12" w:space="0" w:color="auto"/>
              <w:bottom w:val="single" w:sz="12" w:space="0" w:color="000000" w:themeColor="text1"/>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Plan de travail (1.5)</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A758A7" w:rsidTr="00A1204D">
        <w:trPr>
          <w:trHeight w:val="53"/>
        </w:trPr>
        <w:tc>
          <w:tcPr>
            <w:tcW w:w="1684"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rsidR="00FE7AC7" w:rsidRPr="00A758A7" w:rsidRDefault="00FE7AC7" w:rsidP="00A1204D">
            <w:pPr>
              <w:spacing w:after="0" w:line="240" w:lineRule="auto"/>
              <w:rPr>
                <w:rFonts w:ascii="Calibri" w:hAnsi="Calibri" w:cs="Times New Roman"/>
                <w:b/>
                <w:bCs/>
                <w:color w:val="000000"/>
                <w:lang w:val="fr-FR"/>
              </w:rPr>
            </w:pPr>
            <w:r w:rsidRPr="00A758A7">
              <w:rPr>
                <w:rFonts w:ascii="Calibri" w:hAnsi="Calibri"/>
                <w:b/>
                <w:bCs/>
                <w:color w:val="000000"/>
                <w:lang w:val="fr-FR"/>
              </w:rPr>
              <w:t>Licences et contrats</w:t>
            </w:r>
          </w:p>
        </w:tc>
        <w:tc>
          <w:tcPr>
            <w:tcW w:w="302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rPr>
            </w:pPr>
            <w:r w:rsidRPr="00A758A7">
              <w:rPr>
                <w:rFonts w:ascii="Calibri" w:hAnsi="Calibri"/>
                <w:color w:val="000000"/>
                <w:lang w:val="fr-FR"/>
              </w:rPr>
              <w:t>Cadre légal (2.1)</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A758A7" w:rsidTr="00A1204D">
        <w:trPr>
          <w:trHeight w:val="53"/>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Octrois de licences (2.2)</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A758A7" w:rsidTr="00A1204D">
        <w:trPr>
          <w:trHeight w:val="53"/>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Registre des licences (2.3)</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E96EF1" w:rsidTr="00A1204D">
        <w:trPr>
          <w:trHeight w:val="53"/>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Politique sur la divulgation des contrats (2.4)</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0076AF"/>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A758A7" w:rsidTr="00A1204D">
        <w:trPr>
          <w:trHeight w:val="53"/>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Propriété réelle (2.5)</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tcPr>
          <w:p w:rsidR="00FE7AC7" w:rsidRPr="00A758A7" w:rsidRDefault="00FE7AC7" w:rsidP="00A1204D">
            <w:pPr>
              <w:spacing w:after="0" w:line="240" w:lineRule="auto"/>
              <w:rPr>
                <w:rFonts w:ascii="Calibri" w:hAnsi="Calibri" w:cs="Times New Roman"/>
                <w:color w:val="000000"/>
                <w:lang w:val="fr-FR" w:eastAsia="en-GB"/>
              </w:rPr>
            </w:pPr>
          </w:p>
        </w:tc>
      </w:tr>
      <w:tr w:rsidR="00FE7AC7" w:rsidRPr="00E96EF1" w:rsidTr="00A1204D">
        <w:trPr>
          <w:trHeight w:val="260"/>
        </w:trPr>
        <w:tc>
          <w:tcPr>
            <w:tcW w:w="1684"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Participation de l’État (2.6)</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84AE43"/>
            <w:noWrap/>
            <w:vAlign w:val="bottom"/>
            <w:hideMark/>
          </w:tcPr>
          <w:p w:rsidR="00FE7AC7" w:rsidRPr="00A758A7" w:rsidRDefault="00535709" w:rsidP="00A1204D">
            <w:pPr>
              <w:spacing w:after="0" w:line="240" w:lineRule="auto"/>
              <w:rPr>
                <w:rFonts w:ascii="Calibri" w:hAnsi="Calibri" w:cs="Times New Roman"/>
                <w:color w:val="000000"/>
                <w:lang w:val="fr-FR" w:eastAsia="en-GB"/>
              </w:rPr>
            </w:pPr>
            <w:r>
              <w:rPr>
                <w:rFonts w:ascii="Calibri" w:hAnsi="Calibri" w:cs="Times New Roman"/>
                <w:noProof/>
                <w:color w:val="000000"/>
                <w:lang w:val="fr-FR"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margin-left:7.9pt;margin-top:-3.85pt;width:24pt;height:9.6pt;z-index:251661312;mso-position-horizontal-relative:text;mso-position-vertical-relative:text" fillcolor="red"/>
              </w:pict>
            </w:r>
            <w:r w:rsidR="00FE7AC7"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tcPr>
          <w:p w:rsidR="00FE7AC7" w:rsidRPr="00775D82" w:rsidRDefault="00775D82" w:rsidP="00775D82">
            <w:pPr>
              <w:rPr>
                <w:rFonts w:cstheme="minorHAnsi"/>
                <w:color w:val="002060"/>
                <w:sz w:val="20"/>
                <w:szCs w:val="20"/>
                <w:lang w:val="fr-FR"/>
              </w:rPr>
            </w:pPr>
            <w:r w:rsidRPr="00775D82">
              <w:rPr>
                <w:rFonts w:cstheme="minorHAnsi"/>
                <w:color w:val="002060"/>
                <w:sz w:val="20"/>
                <w:szCs w:val="20"/>
                <w:lang w:val="fr-FR"/>
              </w:rPr>
              <w:t>Voir section 3.1 pour les réponses du GMP</w:t>
            </w:r>
          </w:p>
        </w:tc>
      </w:tr>
      <w:tr w:rsidR="00FE7AC7" w:rsidRPr="00A758A7" w:rsidTr="00A1204D">
        <w:trPr>
          <w:trHeight w:val="234"/>
        </w:trPr>
        <w:tc>
          <w:tcPr>
            <w:tcW w:w="1684"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rsidR="00FE7AC7" w:rsidRPr="00A758A7" w:rsidRDefault="00FE7AC7" w:rsidP="00A1204D">
            <w:pPr>
              <w:spacing w:after="0" w:line="240" w:lineRule="auto"/>
              <w:rPr>
                <w:rFonts w:ascii="Calibri" w:hAnsi="Calibri" w:cs="Times New Roman"/>
                <w:b/>
                <w:bCs/>
                <w:color w:val="000000"/>
                <w:lang w:val="fr-FR"/>
              </w:rPr>
            </w:pPr>
            <w:r w:rsidRPr="00A758A7">
              <w:rPr>
                <w:rFonts w:ascii="Calibri" w:hAnsi="Calibri"/>
                <w:b/>
                <w:bCs/>
                <w:color w:val="000000"/>
                <w:lang w:val="fr-FR"/>
              </w:rPr>
              <w:t>Suivi de la production</w:t>
            </w:r>
          </w:p>
        </w:tc>
        <w:tc>
          <w:tcPr>
            <w:tcW w:w="302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rPr>
            </w:pPr>
            <w:r w:rsidRPr="00A758A7">
              <w:rPr>
                <w:rFonts w:ascii="Calibri" w:hAnsi="Calibri"/>
                <w:color w:val="000000"/>
                <w:lang w:val="fr-FR"/>
              </w:rPr>
              <w:t>Données sur la prospection (3.1)</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E96EF1" w:rsidTr="00A1204D">
        <w:trPr>
          <w:trHeight w:val="300"/>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Données de production (3.2)</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3"/>
            <w:noWrap/>
            <w:vAlign w:val="bottom"/>
            <w:hideMark/>
          </w:tcPr>
          <w:p w:rsidR="00FE7AC7" w:rsidRPr="00A758A7" w:rsidRDefault="00535709" w:rsidP="00A1204D">
            <w:pPr>
              <w:spacing w:after="0" w:line="240" w:lineRule="auto"/>
              <w:rPr>
                <w:rFonts w:ascii="Calibri" w:hAnsi="Calibri" w:cs="Times New Roman"/>
                <w:color w:val="000000"/>
                <w:lang w:val="fr-FR" w:eastAsia="en-GB"/>
              </w:rPr>
            </w:pPr>
            <w:r>
              <w:rPr>
                <w:rFonts w:ascii="Calibri" w:hAnsi="Calibri" w:cs="Times New Roman"/>
                <w:noProof/>
                <w:color w:val="000000"/>
                <w:lang w:val="fr-FR" w:eastAsia="fr-FR"/>
              </w:rPr>
              <w:pict>
                <v:shape id="_x0000_s1033" type="#_x0000_t13" style="position:absolute;margin-left:8.15pt;margin-top:.2pt;width:24pt;height:9.6pt;z-index:251662336;mso-position-horizontal-relative:text;mso-position-vertical-relative:text" fillcolor="red"/>
              </w:pict>
            </w:r>
            <w:r w:rsidR="00FE7AC7"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775D82" w:rsidP="00775D82">
            <w:pPr>
              <w:spacing w:after="0" w:line="240" w:lineRule="auto"/>
              <w:jc w:val="both"/>
              <w:rPr>
                <w:rFonts w:cstheme="minorHAnsi"/>
                <w:color w:val="000000"/>
                <w:sz w:val="20"/>
                <w:szCs w:val="20"/>
                <w:lang w:val="fr-FR" w:eastAsia="en-GB"/>
              </w:rPr>
            </w:pPr>
            <w:r>
              <w:rPr>
                <w:rFonts w:cstheme="minorHAnsi"/>
                <w:color w:val="002060"/>
                <w:sz w:val="20"/>
                <w:szCs w:val="20"/>
                <w:lang w:val="fr-FR"/>
              </w:rPr>
              <w:t>Voir section 3.2 pour les réponses du GMP</w:t>
            </w:r>
          </w:p>
        </w:tc>
      </w:tr>
      <w:tr w:rsidR="00FE7AC7" w:rsidRPr="00A758A7" w:rsidTr="00A1204D">
        <w:trPr>
          <w:trHeight w:val="300"/>
        </w:trPr>
        <w:tc>
          <w:tcPr>
            <w:tcW w:w="1684"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Données d’exportation (3.3)</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285"/>
        </w:trPr>
        <w:tc>
          <w:tcPr>
            <w:tcW w:w="1684"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rsidR="00FE7AC7" w:rsidRPr="00A758A7" w:rsidRDefault="00FE7AC7" w:rsidP="00A1204D">
            <w:pPr>
              <w:spacing w:after="0" w:line="240" w:lineRule="auto"/>
              <w:rPr>
                <w:rFonts w:ascii="Calibri" w:hAnsi="Calibri" w:cs="Times New Roman"/>
                <w:b/>
                <w:bCs/>
                <w:color w:val="000000"/>
                <w:lang w:val="fr-FR"/>
              </w:rPr>
            </w:pPr>
            <w:r w:rsidRPr="00A758A7">
              <w:rPr>
                <w:rFonts w:ascii="Calibri" w:hAnsi="Calibri"/>
                <w:b/>
                <w:bCs/>
                <w:color w:val="000000"/>
                <w:lang w:val="fr-FR"/>
              </w:rPr>
              <w:t>Collecte des revenus</w:t>
            </w:r>
          </w:p>
        </w:tc>
        <w:tc>
          <w:tcPr>
            <w:tcW w:w="302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rPr>
            </w:pPr>
            <w:r w:rsidRPr="00A758A7">
              <w:rPr>
                <w:rFonts w:ascii="Calibri" w:hAnsi="Calibri"/>
                <w:color w:val="000000"/>
                <w:lang w:val="fr-FR"/>
              </w:rPr>
              <w:t>Exhaustivité (4.1)</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53"/>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Revenus perçus en nature (4.2)</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77"/>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Accords de troc (4.3)</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53"/>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Revenus provenant du transport (4.4)</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center"/>
            <w:hideMark/>
          </w:tcPr>
          <w:p w:rsidR="00FE7AC7" w:rsidRPr="00A758A7" w:rsidRDefault="00FE7AC7" w:rsidP="00A1204D">
            <w:pPr>
              <w:spacing w:after="0" w:line="240" w:lineRule="auto"/>
              <w:jc w:val="center"/>
              <w:rPr>
                <w:rFonts w:ascii="Calibri" w:hAnsi="Calibri" w:cs="Times New Roman"/>
                <w:color w:val="00B050"/>
                <w:lang w:val="fr-FR" w:eastAsia="en-GB"/>
              </w:rPr>
            </w:pPr>
            <w:r w:rsidRPr="00A758A7">
              <w:rPr>
                <w:rFonts w:ascii="Calibri" w:hAnsi="Calibri" w:cs="Times New Roman"/>
                <w:color w:val="00B05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center"/>
            <w:hideMark/>
          </w:tcPr>
          <w:p w:rsidR="00FE7AC7" w:rsidRPr="00A758A7" w:rsidRDefault="00FE7AC7" w:rsidP="00A1204D">
            <w:pPr>
              <w:spacing w:after="0" w:line="240" w:lineRule="auto"/>
              <w:jc w:val="center"/>
              <w:rPr>
                <w:rFonts w:ascii="Calibri" w:hAnsi="Calibri" w:cs="Times New Roman"/>
                <w:color w:val="00B050"/>
                <w:lang w:val="fr-FR" w:eastAsia="en-GB"/>
              </w:rPr>
            </w:pPr>
            <w:r w:rsidRPr="00A758A7">
              <w:rPr>
                <w:rFonts w:ascii="Calibri" w:hAnsi="Calibri" w:cs="Times New Roman"/>
                <w:color w:val="00B05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center"/>
            <w:hideMark/>
          </w:tcPr>
          <w:p w:rsidR="00FE7AC7" w:rsidRPr="00A758A7" w:rsidRDefault="00FE7AC7" w:rsidP="00A1204D">
            <w:pPr>
              <w:spacing w:after="0" w:line="240" w:lineRule="auto"/>
              <w:jc w:val="center"/>
              <w:rPr>
                <w:rFonts w:ascii="Calibri" w:hAnsi="Calibri" w:cs="Times New Roman"/>
                <w:color w:val="00B050"/>
                <w:lang w:val="fr-FR" w:eastAsia="en-GB"/>
              </w:rPr>
            </w:pPr>
            <w:r w:rsidRPr="00A758A7">
              <w:rPr>
                <w:rFonts w:ascii="Calibri" w:hAnsi="Calibri" w:cs="Times New Roman"/>
                <w:color w:val="00B05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jc w:val="center"/>
              <w:rPr>
                <w:rFonts w:cstheme="minorHAnsi"/>
                <w:color w:val="00B050"/>
                <w:sz w:val="20"/>
                <w:szCs w:val="20"/>
                <w:lang w:val="fr-FR" w:eastAsia="en-GB"/>
              </w:rPr>
            </w:pPr>
          </w:p>
        </w:tc>
      </w:tr>
      <w:tr w:rsidR="00FE7AC7" w:rsidRPr="00E96EF1" w:rsidTr="00A1204D">
        <w:trPr>
          <w:trHeight w:val="53"/>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Transactions liées aux entreprises d’État (4.5)</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center"/>
            <w:hideMark/>
          </w:tcPr>
          <w:p w:rsidR="00FE7AC7" w:rsidRPr="00A758A7" w:rsidRDefault="00FE7AC7" w:rsidP="00A1204D">
            <w:pPr>
              <w:spacing w:after="0" w:line="240" w:lineRule="auto"/>
              <w:jc w:val="center"/>
              <w:rPr>
                <w:rFonts w:ascii="Calibri" w:hAnsi="Calibri" w:cs="Times New Roman"/>
                <w:color w:val="00B050"/>
                <w:lang w:val="fr-FR" w:eastAsia="en-GB"/>
              </w:rPr>
            </w:pPr>
            <w:r w:rsidRPr="00A758A7">
              <w:rPr>
                <w:rFonts w:ascii="Calibri" w:hAnsi="Calibri" w:cs="Times New Roman"/>
                <w:color w:val="00B05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281"/>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Paiements directs infranationaux (4.6)</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53"/>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Niveau de désagrégation (4.7)</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56"/>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Ponctualité des données (4.8)</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300"/>
        </w:trPr>
        <w:tc>
          <w:tcPr>
            <w:tcW w:w="1684"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Qualité des données (4.9)</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300"/>
        </w:trPr>
        <w:tc>
          <w:tcPr>
            <w:tcW w:w="1684"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rsidR="00FE7AC7" w:rsidRPr="00A758A7" w:rsidRDefault="00FE7AC7" w:rsidP="00A1204D">
            <w:pPr>
              <w:spacing w:after="0" w:line="240" w:lineRule="auto"/>
              <w:rPr>
                <w:rFonts w:ascii="Calibri" w:hAnsi="Calibri" w:cs="Times New Roman"/>
                <w:b/>
                <w:bCs/>
                <w:color w:val="000000"/>
                <w:lang w:val="fr-FR"/>
              </w:rPr>
            </w:pPr>
            <w:r w:rsidRPr="00A758A7">
              <w:rPr>
                <w:rFonts w:ascii="Calibri" w:hAnsi="Calibri"/>
                <w:b/>
                <w:bCs/>
                <w:color w:val="000000"/>
                <w:lang w:val="fr-FR"/>
              </w:rPr>
              <w:t>Attribution des revenus</w:t>
            </w:r>
          </w:p>
        </w:tc>
        <w:tc>
          <w:tcPr>
            <w:tcW w:w="302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rsidR="00FE7AC7" w:rsidRPr="00A758A7" w:rsidRDefault="00FE7AC7" w:rsidP="00A1204D">
            <w:pPr>
              <w:spacing w:after="0" w:line="240" w:lineRule="auto"/>
              <w:rPr>
                <w:rFonts w:ascii="Calibri" w:hAnsi="Calibri" w:cs="Times New Roman"/>
                <w:color w:val="000000"/>
                <w:lang w:val="fr-FR"/>
              </w:rPr>
            </w:pPr>
            <w:r w:rsidRPr="00A758A7">
              <w:rPr>
                <w:rFonts w:ascii="Calibri" w:hAnsi="Calibri"/>
                <w:color w:val="000000"/>
                <w:lang w:val="fr-FR"/>
              </w:rPr>
              <w:t>Répartition des revenus (5.1)</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300"/>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Transferts infranationaux (5.2)</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tcPr>
          <w:p w:rsidR="00FE7AC7" w:rsidRPr="002E0B7B" w:rsidRDefault="00FE7AC7" w:rsidP="00A1204D">
            <w:pPr>
              <w:spacing w:after="0" w:line="240" w:lineRule="auto"/>
              <w:rPr>
                <w:rFonts w:cstheme="minorHAnsi"/>
                <w:color w:val="000000"/>
                <w:sz w:val="20"/>
                <w:szCs w:val="20"/>
                <w:lang w:val="fr-FR" w:eastAsia="en-GB"/>
              </w:rPr>
            </w:pPr>
          </w:p>
        </w:tc>
      </w:tr>
      <w:tr w:rsidR="00FE7AC7" w:rsidRPr="00E96EF1" w:rsidTr="00A1204D">
        <w:trPr>
          <w:trHeight w:val="300"/>
        </w:trPr>
        <w:tc>
          <w:tcPr>
            <w:tcW w:w="1684"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Gestion des revenus et des dépenses (5.3)</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000000" w:fill="D9D9D9"/>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49649A">
        <w:trPr>
          <w:trHeight w:val="276"/>
        </w:trPr>
        <w:tc>
          <w:tcPr>
            <w:tcW w:w="1684"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rsidR="00FE7AC7" w:rsidRPr="00A758A7" w:rsidRDefault="00FE7AC7" w:rsidP="00A1204D">
            <w:pPr>
              <w:spacing w:after="0" w:line="240" w:lineRule="auto"/>
              <w:rPr>
                <w:rFonts w:ascii="Calibri" w:hAnsi="Calibri" w:cs="Times New Roman"/>
                <w:b/>
                <w:bCs/>
                <w:color w:val="000000"/>
                <w:lang w:val="fr-FR"/>
              </w:rPr>
            </w:pPr>
            <w:r w:rsidRPr="00A758A7">
              <w:rPr>
                <w:rFonts w:ascii="Calibri" w:hAnsi="Calibri"/>
                <w:b/>
                <w:bCs/>
                <w:color w:val="000000"/>
                <w:lang w:val="fr-FR"/>
              </w:rPr>
              <w:t>Contribution économique et sociale</w:t>
            </w:r>
          </w:p>
        </w:tc>
        <w:tc>
          <w:tcPr>
            <w:tcW w:w="3026" w:type="dxa"/>
            <w:tcBorders>
              <w:top w:val="single" w:sz="12" w:space="0" w:color="000000" w:themeColor="text1"/>
              <w:left w:val="single" w:sz="2" w:space="0" w:color="A6A6A6" w:themeColor="background1" w:themeShade="A6"/>
              <w:right w:val="single" w:sz="2" w:space="0" w:color="A6A6A6" w:themeColor="background1" w:themeShade="A6"/>
            </w:tcBorders>
            <w:shd w:val="clear" w:color="000000" w:fill="FFFFFF"/>
            <w:vAlign w:val="center"/>
            <w:hideMark/>
          </w:tcPr>
          <w:p w:rsidR="00FE7AC7" w:rsidRPr="00A758A7" w:rsidRDefault="00FE7AC7" w:rsidP="00A1204D">
            <w:pPr>
              <w:spacing w:after="0" w:line="240" w:lineRule="auto"/>
              <w:rPr>
                <w:rFonts w:ascii="Calibri" w:hAnsi="Calibri" w:cs="Times New Roman"/>
                <w:color w:val="000000"/>
                <w:lang w:val="fr-FR"/>
              </w:rPr>
            </w:pPr>
            <w:r w:rsidRPr="00A758A7">
              <w:rPr>
                <w:rFonts w:ascii="Calibri" w:hAnsi="Calibri"/>
                <w:color w:val="000000"/>
                <w:lang w:val="fr-FR"/>
              </w:rPr>
              <w:t>Dépenses sociales obligatoires (6.1)</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auto"/>
            <w:noWrap/>
            <w:vAlign w:val="bottom"/>
            <w:hideMark/>
          </w:tcPr>
          <w:p w:rsidR="00FE7AC7" w:rsidRPr="00A758A7" w:rsidRDefault="00FE7AC7" w:rsidP="00A1204D">
            <w:pPr>
              <w:spacing w:after="0"/>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p>
        </w:tc>
        <w:tc>
          <w:tcPr>
            <w:tcW w:w="28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0076AF"/>
            <w:noWrap/>
            <w:vAlign w:val="bottom"/>
            <w:hideMark/>
          </w:tcPr>
          <w:p w:rsidR="00FE7AC7" w:rsidRPr="00A758A7" w:rsidRDefault="00FE7AC7" w:rsidP="00A1204D">
            <w:pPr>
              <w:spacing w:after="0" w:line="240" w:lineRule="auto"/>
              <w:rPr>
                <w:rFonts w:ascii="Calibri" w:hAnsi="Calibri" w:cs="Times New Roman"/>
                <w:color w:val="000000"/>
                <w:lang w:val="fr-FR" w:eastAsia="en-GB"/>
              </w:rPr>
            </w:pPr>
          </w:p>
        </w:tc>
        <w:tc>
          <w:tcPr>
            <w:tcW w:w="4494"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E96EF1" w:rsidTr="00A1204D">
        <w:trPr>
          <w:trHeight w:val="300"/>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Dépenses quasi fiscales des entreprises d’État (6.2)</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300"/>
        </w:trPr>
        <w:tc>
          <w:tcPr>
            <w:tcW w:w="1684"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FFFFFF"/>
            <w:vAlign w:val="center"/>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Contribution économique (6.3)</w:t>
            </w:r>
          </w:p>
        </w:tc>
        <w:tc>
          <w:tcPr>
            <w:tcW w:w="492"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12" w:space="0" w:color="auto"/>
              <w:right w:val="single" w:sz="12" w:space="0" w:color="auto"/>
            </w:tcBorders>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49649A">
        <w:trPr>
          <w:trHeight w:val="300"/>
        </w:trPr>
        <w:tc>
          <w:tcPr>
            <w:tcW w:w="1684" w:type="dxa"/>
            <w:vMerge w:val="restart"/>
            <w:tcBorders>
              <w:top w:val="single" w:sz="12" w:space="0" w:color="auto"/>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rsidR="00FE7AC7" w:rsidRPr="00A758A7" w:rsidRDefault="00FE7AC7" w:rsidP="00A1204D">
            <w:pPr>
              <w:spacing w:after="0" w:line="240" w:lineRule="auto"/>
              <w:rPr>
                <w:rFonts w:ascii="Calibri" w:hAnsi="Calibri" w:cs="Times New Roman"/>
                <w:b/>
                <w:bCs/>
                <w:color w:val="000000"/>
                <w:lang w:val="fr-FR"/>
              </w:rPr>
            </w:pPr>
            <w:r w:rsidRPr="00A758A7">
              <w:rPr>
                <w:rFonts w:ascii="Calibri" w:hAnsi="Calibri"/>
                <w:b/>
                <w:bCs/>
                <w:color w:val="000000"/>
                <w:lang w:val="fr-FR"/>
              </w:rPr>
              <w:lastRenderedPageBreak/>
              <w:t>Résultats et impact</w:t>
            </w:r>
          </w:p>
        </w:tc>
        <w:tc>
          <w:tcPr>
            <w:tcW w:w="3026"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rPr>
            </w:pPr>
            <w:r w:rsidRPr="00A758A7">
              <w:rPr>
                <w:rFonts w:ascii="Calibri" w:hAnsi="Calibri"/>
                <w:color w:val="000000"/>
                <w:lang w:val="fr-FR"/>
              </w:rPr>
              <w:t>Débat public (7.1)</w:t>
            </w:r>
          </w:p>
        </w:tc>
        <w:tc>
          <w:tcPr>
            <w:tcW w:w="492"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0076AF"/>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A1204D">
        <w:trPr>
          <w:trHeight w:val="282"/>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Accessibilité des données (7.2)</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tcPr>
          <w:p w:rsidR="00FE7AC7" w:rsidRPr="002E0B7B" w:rsidRDefault="00FE7AC7" w:rsidP="00A1204D">
            <w:pPr>
              <w:spacing w:after="0" w:line="240" w:lineRule="auto"/>
              <w:rPr>
                <w:rFonts w:cstheme="minorHAnsi"/>
                <w:color w:val="000000"/>
                <w:sz w:val="20"/>
                <w:szCs w:val="20"/>
                <w:lang w:val="fr-FR" w:eastAsia="en-GB"/>
              </w:rPr>
            </w:pPr>
          </w:p>
        </w:tc>
      </w:tr>
      <w:tr w:rsidR="00FE7AC7" w:rsidRPr="00A758A7" w:rsidTr="0049649A">
        <w:trPr>
          <w:trHeight w:val="300"/>
        </w:trPr>
        <w:tc>
          <w:tcPr>
            <w:tcW w:w="1684"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bookmarkStart w:id="1" w:name="_Hlk501613451"/>
          </w:p>
        </w:tc>
        <w:tc>
          <w:tcPr>
            <w:tcW w:w="302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Suivi des recommandations (7.3)</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0076AF"/>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rsidR="00FE7AC7" w:rsidRPr="002E0B7B" w:rsidRDefault="00FE7AC7" w:rsidP="00A1204D">
            <w:pPr>
              <w:spacing w:after="0" w:line="240" w:lineRule="auto"/>
              <w:rPr>
                <w:rFonts w:cstheme="minorHAnsi"/>
                <w:color w:val="000000"/>
                <w:sz w:val="20"/>
                <w:szCs w:val="20"/>
                <w:lang w:val="fr-FR" w:eastAsia="en-GB"/>
              </w:rPr>
            </w:pPr>
          </w:p>
        </w:tc>
      </w:tr>
      <w:bookmarkEnd w:id="1"/>
      <w:tr w:rsidR="00FE7AC7" w:rsidRPr="00E96EF1" w:rsidTr="00A1204D">
        <w:trPr>
          <w:trHeight w:val="300"/>
        </w:trPr>
        <w:tc>
          <w:tcPr>
            <w:tcW w:w="1684"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rsidR="00FE7AC7" w:rsidRPr="00A758A7" w:rsidRDefault="00FE7AC7" w:rsidP="00A1204D">
            <w:pPr>
              <w:spacing w:after="0" w:line="240" w:lineRule="auto"/>
              <w:rPr>
                <w:rFonts w:ascii="Calibri" w:hAnsi="Calibri" w:cs="Times New Roman"/>
                <w:b/>
                <w:bCs/>
                <w:color w:val="000000"/>
                <w:lang w:val="fr-FR" w:eastAsia="en-GB"/>
              </w:rPr>
            </w:pPr>
          </w:p>
        </w:tc>
        <w:tc>
          <w:tcPr>
            <w:tcW w:w="3026"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olor w:val="000000"/>
                <w:lang w:val="fr-FR"/>
              </w:rPr>
              <w:t>Résultats et impact de la mise en œuvre (7.4)</w:t>
            </w:r>
          </w:p>
        </w:tc>
        <w:tc>
          <w:tcPr>
            <w:tcW w:w="492"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rsidR="00FE7AC7" w:rsidRPr="00A758A7" w:rsidRDefault="00FE7AC7" w:rsidP="00A1204D">
            <w:pPr>
              <w:spacing w:after="0" w:line="240" w:lineRule="auto"/>
              <w:rPr>
                <w:rFonts w:ascii="Calibri" w:hAnsi="Calibri" w:cs="Times New Roman"/>
                <w:color w:val="000000"/>
                <w:lang w:val="fr-FR" w:eastAsia="en-GB"/>
              </w:rPr>
            </w:pPr>
          </w:p>
        </w:tc>
        <w:tc>
          <w:tcPr>
            <w:tcW w:w="492"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92"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2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2D8B2A"/>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284"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rsidR="00FE7AC7" w:rsidRPr="00A758A7" w:rsidRDefault="00FE7AC7" w:rsidP="00A1204D">
            <w:pPr>
              <w:spacing w:after="0" w:line="240" w:lineRule="auto"/>
              <w:rPr>
                <w:rFonts w:ascii="Calibri" w:hAnsi="Calibri" w:cs="Times New Roman"/>
                <w:color w:val="000000"/>
                <w:lang w:val="fr-FR" w:eastAsia="en-GB"/>
              </w:rPr>
            </w:pPr>
            <w:r w:rsidRPr="00A758A7">
              <w:rPr>
                <w:rFonts w:ascii="Calibri" w:hAnsi="Calibri" w:cs="Times New Roman"/>
                <w:color w:val="000000"/>
                <w:lang w:val="fr-FR" w:eastAsia="en-GB"/>
              </w:rPr>
              <w:t> </w:t>
            </w:r>
          </w:p>
        </w:tc>
        <w:tc>
          <w:tcPr>
            <w:tcW w:w="4494" w:type="dxa"/>
            <w:tcBorders>
              <w:top w:val="single" w:sz="2" w:space="0" w:color="A6A6A6" w:themeColor="background1" w:themeShade="A6"/>
              <w:left w:val="single" w:sz="2" w:space="0" w:color="A6A6A6" w:themeColor="background1" w:themeShade="A6"/>
              <w:bottom w:val="single" w:sz="12" w:space="0" w:color="auto"/>
              <w:right w:val="single" w:sz="12" w:space="0" w:color="auto"/>
            </w:tcBorders>
          </w:tcPr>
          <w:p w:rsidR="00FE7AC7" w:rsidRPr="002E0B7B" w:rsidRDefault="00FE7AC7" w:rsidP="00A1204D">
            <w:pPr>
              <w:spacing w:after="0" w:line="240" w:lineRule="auto"/>
              <w:rPr>
                <w:rFonts w:cstheme="minorHAnsi"/>
                <w:color w:val="000000"/>
                <w:sz w:val="20"/>
                <w:szCs w:val="20"/>
                <w:lang w:val="fr-FR" w:eastAsia="en-GB"/>
              </w:rPr>
            </w:pPr>
          </w:p>
        </w:tc>
      </w:tr>
    </w:tbl>
    <w:p w:rsidR="00FE7AC7" w:rsidRDefault="00FE7AC7" w:rsidP="007E6544">
      <w:pPr>
        <w:widowControl w:val="0"/>
        <w:suppressAutoHyphens/>
        <w:spacing w:before="120" w:after="240" w:line="260" w:lineRule="auto"/>
        <w:rPr>
          <w:lang w:val="fr-FR"/>
        </w:rPr>
      </w:pPr>
    </w:p>
    <w:p w:rsidR="00F0642E" w:rsidRDefault="00F0642E" w:rsidP="007E6544">
      <w:pPr>
        <w:widowControl w:val="0"/>
        <w:suppressAutoHyphens/>
        <w:spacing w:before="120" w:after="240" w:line="260" w:lineRule="auto"/>
        <w:rPr>
          <w:lang w:val="fr-FR"/>
        </w:rPr>
      </w:pPr>
    </w:p>
    <w:tbl>
      <w:tblPr>
        <w:tblW w:w="9896" w:type="dxa"/>
        <w:tblLook w:val="04A0" w:firstRow="1" w:lastRow="0" w:firstColumn="1" w:lastColumn="0" w:noHBand="0" w:noVBand="1"/>
      </w:tblPr>
      <w:tblGrid>
        <w:gridCol w:w="1050"/>
        <w:gridCol w:w="8846"/>
      </w:tblGrid>
      <w:tr w:rsidR="00FE7AC7" w:rsidRPr="00E96EF1" w:rsidTr="00A1204D">
        <w:trPr>
          <w:trHeight w:val="380"/>
        </w:trPr>
        <w:tc>
          <w:tcPr>
            <w:tcW w:w="9896" w:type="dxa"/>
            <w:gridSpan w:val="2"/>
            <w:tcBorders>
              <w:top w:val="nil"/>
              <w:left w:val="nil"/>
              <w:bottom w:val="nil"/>
              <w:right w:val="nil"/>
            </w:tcBorders>
            <w:shd w:val="clear" w:color="auto" w:fill="auto"/>
            <w:noWrap/>
            <w:vAlign w:val="bottom"/>
            <w:hideMark/>
          </w:tcPr>
          <w:p w:rsidR="00FE7AC7" w:rsidRPr="00A758A7" w:rsidRDefault="00FE7AC7" w:rsidP="00A1204D">
            <w:pPr>
              <w:spacing w:after="0" w:line="240" w:lineRule="auto"/>
              <w:rPr>
                <w:rFonts w:cs="Times New Roman"/>
                <w:i/>
                <w:color w:val="000000"/>
                <w:lang w:val="fr-FR"/>
              </w:rPr>
            </w:pPr>
            <w:r w:rsidRPr="00A758A7">
              <w:rPr>
                <w:i/>
                <w:color w:val="000000"/>
                <w:lang w:val="fr-FR"/>
              </w:rPr>
              <w:t>Légende de la fiche d’évaluation</w:t>
            </w:r>
          </w:p>
        </w:tc>
      </w:tr>
      <w:tr w:rsidR="00FE7AC7" w:rsidRPr="00E96EF1" w:rsidTr="00A1204D">
        <w:trPr>
          <w:trHeight w:val="160"/>
        </w:trPr>
        <w:tc>
          <w:tcPr>
            <w:tcW w:w="1050" w:type="dxa"/>
            <w:tcBorders>
              <w:top w:val="nil"/>
              <w:left w:val="nil"/>
              <w:bottom w:val="nil"/>
              <w:right w:val="nil"/>
            </w:tcBorders>
            <w:shd w:val="clear" w:color="auto" w:fill="auto"/>
            <w:noWrap/>
            <w:vAlign w:val="bottom"/>
            <w:hideMark/>
          </w:tcPr>
          <w:p w:rsidR="00FE7AC7" w:rsidRPr="00A758A7" w:rsidRDefault="00FE7AC7" w:rsidP="00A1204D">
            <w:pPr>
              <w:spacing w:after="0" w:line="240" w:lineRule="auto"/>
              <w:rPr>
                <w:rFonts w:cs="Times New Roman"/>
                <w:lang w:val="fr-FR"/>
              </w:rPr>
            </w:pPr>
          </w:p>
        </w:tc>
        <w:tc>
          <w:tcPr>
            <w:tcW w:w="8846" w:type="dxa"/>
            <w:tcBorders>
              <w:top w:val="nil"/>
              <w:left w:val="nil"/>
              <w:bottom w:val="nil"/>
              <w:right w:val="nil"/>
            </w:tcBorders>
            <w:shd w:val="clear" w:color="auto" w:fill="auto"/>
            <w:noWrap/>
            <w:vAlign w:val="bottom"/>
            <w:hideMark/>
          </w:tcPr>
          <w:p w:rsidR="00FE7AC7" w:rsidRPr="00A758A7" w:rsidRDefault="00FE7AC7" w:rsidP="00A1204D">
            <w:pPr>
              <w:spacing w:after="0" w:line="240" w:lineRule="auto"/>
              <w:rPr>
                <w:rFonts w:cs="Times New Roman"/>
                <w:lang w:val="fr-FR"/>
              </w:rPr>
            </w:pPr>
          </w:p>
        </w:tc>
      </w:tr>
      <w:tr w:rsidR="00FE7AC7" w:rsidRPr="00A758A7" w:rsidTr="00A1204D">
        <w:trPr>
          <w:trHeight w:val="600"/>
        </w:trPr>
        <w:tc>
          <w:tcPr>
            <w:tcW w:w="1050" w:type="dxa"/>
            <w:tcBorders>
              <w:top w:val="nil"/>
              <w:left w:val="nil"/>
              <w:bottom w:val="nil"/>
              <w:right w:val="nil"/>
            </w:tcBorders>
            <w:shd w:val="clear" w:color="000000" w:fill="C00000"/>
            <w:noWrap/>
            <w:vAlign w:val="bottom"/>
            <w:hideMark/>
          </w:tcPr>
          <w:p w:rsidR="00FE7AC7" w:rsidRPr="00A758A7" w:rsidRDefault="00FE7AC7" w:rsidP="00A1204D">
            <w:pPr>
              <w:spacing w:after="0" w:line="240" w:lineRule="auto"/>
              <w:rPr>
                <w:rFonts w:cs="Times New Roman"/>
                <w:color w:val="000000"/>
                <w:lang w:val="fr-FR"/>
              </w:rPr>
            </w:pPr>
            <w:r w:rsidRPr="00A758A7">
              <w:rPr>
                <w:rFonts w:cs="Times New Roman"/>
                <w:color w:val="000000"/>
                <w:lang w:val="fr-FR"/>
              </w:rPr>
              <w:t> </w:t>
            </w:r>
          </w:p>
        </w:tc>
        <w:tc>
          <w:tcPr>
            <w:tcW w:w="8846" w:type="dxa"/>
            <w:tcBorders>
              <w:top w:val="nil"/>
              <w:left w:val="nil"/>
              <w:bottom w:val="single" w:sz="4" w:space="0" w:color="A6A6A6"/>
              <w:right w:val="nil"/>
            </w:tcBorders>
            <w:shd w:val="clear" w:color="auto" w:fill="auto"/>
            <w:hideMark/>
          </w:tcPr>
          <w:p w:rsidR="00FE7AC7" w:rsidRPr="00A758A7" w:rsidRDefault="00FE7AC7" w:rsidP="00A1204D">
            <w:pPr>
              <w:spacing w:after="0" w:line="240" w:lineRule="auto"/>
              <w:rPr>
                <w:rFonts w:cs="Times New Roman"/>
                <w:color w:val="000000"/>
                <w:lang w:val="fr-FR"/>
              </w:rPr>
            </w:pPr>
            <w:r w:rsidRPr="00A758A7">
              <w:rPr>
                <w:color w:val="000000"/>
                <w:lang w:val="fr-FR"/>
              </w:rPr>
              <w:t>Le pays n’a fait aucun progrès dans la satisfaction de l’Exigence concernée. L’objectif général de cette dernière n’est aucunement rempli.</w:t>
            </w:r>
          </w:p>
        </w:tc>
      </w:tr>
      <w:tr w:rsidR="00FE7AC7" w:rsidRPr="00E96EF1" w:rsidTr="00A1204D">
        <w:trPr>
          <w:trHeight w:val="600"/>
        </w:trPr>
        <w:tc>
          <w:tcPr>
            <w:tcW w:w="1050" w:type="dxa"/>
            <w:tcBorders>
              <w:top w:val="nil"/>
              <w:left w:val="nil"/>
              <w:bottom w:val="nil"/>
              <w:right w:val="nil"/>
            </w:tcBorders>
            <w:shd w:val="clear" w:color="000000" w:fill="FAA725"/>
            <w:noWrap/>
            <w:vAlign w:val="bottom"/>
            <w:hideMark/>
          </w:tcPr>
          <w:p w:rsidR="00FE7AC7" w:rsidRPr="00A758A7" w:rsidRDefault="00FE7AC7" w:rsidP="00A1204D">
            <w:pPr>
              <w:spacing w:after="0" w:line="240" w:lineRule="auto"/>
              <w:rPr>
                <w:rFonts w:cs="Times New Roman"/>
                <w:color w:val="000000"/>
                <w:lang w:val="fr-FR"/>
              </w:rPr>
            </w:pPr>
            <w:r w:rsidRPr="00A758A7">
              <w:rPr>
                <w:rFonts w:cs="Times New Roman"/>
                <w:color w:val="000000"/>
                <w:lang w:val="fr-FR"/>
              </w:rPr>
              <w:t> </w:t>
            </w:r>
          </w:p>
        </w:tc>
        <w:tc>
          <w:tcPr>
            <w:tcW w:w="8846" w:type="dxa"/>
            <w:tcBorders>
              <w:top w:val="nil"/>
              <w:left w:val="nil"/>
              <w:bottom w:val="single" w:sz="4" w:space="0" w:color="A6A6A6"/>
              <w:right w:val="nil"/>
            </w:tcBorders>
            <w:shd w:val="clear" w:color="auto" w:fill="auto"/>
            <w:hideMark/>
          </w:tcPr>
          <w:p w:rsidR="00FE7AC7" w:rsidRPr="00A758A7" w:rsidRDefault="00FE7AC7" w:rsidP="00A1204D">
            <w:pPr>
              <w:spacing w:after="0" w:line="240" w:lineRule="auto"/>
              <w:rPr>
                <w:rFonts w:cs="Times New Roman"/>
                <w:color w:val="000000"/>
                <w:lang w:val="fr-FR"/>
              </w:rPr>
            </w:pPr>
            <w:r w:rsidRPr="00A758A7">
              <w:rPr>
                <w:color w:val="000000"/>
                <w:lang w:val="fr-FR"/>
              </w:rPr>
              <w:t xml:space="preserve">Le pays n’a pas fait de progrès suffisants dans la satisfaction de l’Exigence concernée. Des aspects importants de l’Exigence n’ont pas été mis en œuvre et l’objectif général de </w:t>
            </w:r>
            <w:proofErr w:type="gramStart"/>
            <w:r w:rsidRPr="00A758A7">
              <w:rPr>
                <w:color w:val="000000"/>
                <w:lang w:val="fr-FR"/>
              </w:rPr>
              <w:t>cette dernière</w:t>
            </w:r>
            <w:proofErr w:type="gramEnd"/>
            <w:r w:rsidRPr="00A758A7">
              <w:rPr>
                <w:color w:val="000000"/>
                <w:lang w:val="fr-FR"/>
              </w:rPr>
              <w:t xml:space="preserve"> est loin d’être rempli</w:t>
            </w:r>
            <w:r w:rsidR="00032A1C">
              <w:rPr>
                <w:color w:val="000000"/>
                <w:lang w:val="fr-FR"/>
              </w:rPr>
              <w:t>e</w:t>
            </w:r>
            <w:r w:rsidRPr="00A758A7">
              <w:rPr>
                <w:color w:val="000000"/>
                <w:lang w:val="fr-FR"/>
              </w:rPr>
              <w:t>.</w:t>
            </w:r>
          </w:p>
        </w:tc>
      </w:tr>
      <w:tr w:rsidR="00FE7AC7" w:rsidRPr="00E96EF1" w:rsidTr="00A1204D">
        <w:trPr>
          <w:trHeight w:val="612"/>
        </w:trPr>
        <w:tc>
          <w:tcPr>
            <w:tcW w:w="1050" w:type="dxa"/>
            <w:tcBorders>
              <w:top w:val="nil"/>
              <w:left w:val="nil"/>
              <w:bottom w:val="nil"/>
              <w:right w:val="nil"/>
            </w:tcBorders>
            <w:shd w:val="clear" w:color="000000" w:fill="84AE42"/>
            <w:noWrap/>
            <w:vAlign w:val="bottom"/>
            <w:hideMark/>
          </w:tcPr>
          <w:p w:rsidR="00FE7AC7" w:rsidRPr="00A758A7" w:rsidRDefault="00FE7AC7" w:rsidP="00A1204D">
            <w:pPr>
              <w:spacing w:after="0" w:line="240" w:lineRule="auto"/>
              <w:rPr>
                <w:rFonts w:cs="Times New Roman"/>
                <w:color w:val="000000"/>
                <w:lang w:val="fr-FR"/>
              </w:rPr>
            </w:pPr>
            <w:r w:rsidRPr="00A758A7">
              <w:rPr>
                <w:rFonts w:cs="Times New Roman"/>
                <w:color w:val="000000"/>
                <w:lang w:val="fr-FR"/>
              </w:rPr>
              <w:t> </w:t>
            </w:r>
          </w:p>
        </w:tc>
        <w:tc>
          <w:tcPr>
            <w:tcW w:w="8846" w:type="dxa"/>
            <w:tcBorders>
              <w:top w:val="nil"/>
              <w:left w:val="nil"/>
              <w:bottom w:val="single" w:sz="4" w:space="0" w:color="A6A6A6"/>
              <w:right w:val="nil"/>
            </w:tcBorders>
            <w:shd w:val="clear" w:color="auto" w:fill="auto"/>
            <w:hideMark/>
          </w:tcPr>
          <w:p w:rsidR="00FE7AC7" w:rsidRPr="00A758A7" w:rsidRDefault="00FE7AC7" w:rsidP="00A1204D">
            <w:pPr>
              <w:spacing w:after="0" w:line="240" w:lineRule="auto"/>
              <w:rPr>
                <w:rFonts w:cs="Times New Roman"/>
                <w:color w:val="000000"/>
                <w:lang w:val="fr-FR"/>
              </w:rPr>
            </w:pPr>
            <w:r w:rsidRPr="00A758A7">
              <w:rPr>
                <w:color w:val="000000"/>
                <w:lang w:val="fr-FR"/>
              </w:rPr>
              <w:t xml:space="preserve">Le pays a fait des progrès dans la satisfaction de l’Exigence concernée. Des aspects importants de l’Exigence ont été mis en œuvre et l’objectif général de </w:t>
            </w:r>
            <w:proofErr w:type="gramStart"/>
            <w:r w:rsidRPr="00A758A7">
              <w:rPr>
                <w:color w:val="000000"/>
                <w:lang w:val="fr-FR"/>
              </w:rPr>
              <w:t>cette dernière</w:t>
            </w:r>
            <w:proofErr w:type="gramEnd"/>
            <w:r w:rsidRPr="00A758A7">
              <w:rPr>
                <w:color w:val="000000"/>
                <w:lang w:val="fr-FR"/>
              </w:rPr>
              <w:t xml:space="preserve"> est rempli</w:t>
            </w:r>
            <w:r w:rsidR="00032A1C">
              <w:rPr>
                <w:color w:val="000000"/>
                <w:lang w:val="fr-FR"/>
              </w:rPr>
              <w:t>e</w:t>
            </w:r>
            <w:r w:rsidRPr="00A758A7">
              <w:rPr>
                <w:color w:val="000000"/>
                <w:lang w:val="fr-FR"/>
              </w:rPr>
              <w:t>.</w:t>
            </w:r>
          </w:p>
        </w:tc>
      </w:tr>
      <w:tr w:rsidR="00FE7AC7" w:rsidRPr="00E96EF1" w:rsidTr="00A1204D">
        <w:trPr>
          <w:trHeight w:val="580"/>
        </w:trPr>
        <w:tc>
          <w:tcPr>
            <w:tcW w:w="1050" w:type="dxa"/>
            <w:tcBorders>
              <w:top w:val="nil"/>
              <w:left w:val="nil"/>
              <w:bottom w:val="nil"/>
              <w:right w:val="nil"/>
            </w:tcBorders>
            <w:shd w:val="clear" w:color="000000" w:fill="227020"/>
            <w:noWrap/>
            <w:vAlign w:val="bottom"/>
            <w:hideMark/>
          </w:tcPr>
          <w:p w:rsidR="00FE7AC7" w:rsidRPr="00A758A7" w:rsidRDefault="00FE7AC7" w:rsidP="00A1204D">
            <w:pPr>
              <w:spacing w:after="0" w:line="240" w:lineRule="auto"/>
              <w:rPr>
                <w:rFonts w:cs="Times New Roman"/>
                <w:color w:val="000000"/>
                <w:lang w:val="fr-FR"/>
              </w:rPr>
            </w:pPr>
            <w:r w:rsidRPr="00A758A7">
              <w:rPr>
                <w:rFonts w:cs="Times New Roman"/>
                <w:color w:val="000000"/>
                <w:lang w:val="fr-FR"/>
              </w:rPr>
              <w:t> </w:t>
            </w:r>
          </w:p>
        </w:tc>
        <w:tc>
          <w:tcPr>
            <w:tcW w:w="8846" w:type="dxa"/>
            <w:tcBorders>
              <w:top w:val="nil"/>
              <w:left w:val="nil"/>
              <w:bottom w:val="single" w:sz="4" w:space="0" w:color="A6A6A6"/>
              <w:right w:val="nil"/>
            </w:tcBorders>
            <w:shd w:val="clear" w:color="auto" w:fill="auto"/>
            <w:hideMark/>
          </w:tcPr>
          <w:p w:rsidR="00FE7AC7" w:rsidRPr="00A758A7" w:rsidRDefault="00FE7AC7" w:rsidP="00A1204D">
            <w:pPr>
              <w:spacing w:after="0" w:line="240" w:lineRule="auto"/>
              <w:rPr>
                <w:rFonts w:cs="Times New Roman"/>
                <w:color w:val="000000"/>
                <w:lang w:val="fr-FR"/>
              </w:rPr>
            </w:pPr>
            <w:r w:rsidRPr="00A758A7">
              <w:rPr>
                <w:color w:val="000000"/>
                <w:lang w:val="fr-FR"/>
              </w:rPr>
              <w:t>Le pays est conforme à l’Exigence ITIE concernée.</w:t>
            </w:r>
          </w:p>
        </w:tc>
      </w:tr>
      <w:tr w:rsidR="00FE7AC7" w:rsidRPr="00E96EF1" w:rsidTr="00A1204D">
        <w:trPr>
          <w:trHeight w:val="600"/>
        </w:trPr>
        <w:tc>
          <w:tcPr>
            <w:tcW w:w="1050" w:type="dxa"/>
            <w:tcBorders>
              <w:top w:val="nil"/>
              <w:left w:val="nil"/>
              <w:bottom w:val="nil"/>
              <w:right w:val="nil"/>
            </w:tcBorders>
            <w:shd w:val="clear" w:color="000000" w:fill="0076AF"/>
            <w:noWrap/>
            <w:vAlign w:val="bottom"/>
            <w:hideMark/>
          </w:tcPr>
          <w:p w:rsidR="00FE7AC7" w:rsidRPr="00A758A7" w:rsidRDefault="00FE7AC7" w:rsidP="00A1204D">
            <w:pPr>
              <w:spacing w:after="0" w:line="240" w:lineRule="auto"/>
              <w:rPr>
                <w:rFonts w:cs="Times New Roman"/>
                <w:color w:val="000000"/>
                <w:lang w:val="fr-FR"/>
              </w:rPr>
            </w:pPr>
            <w:r w:rsidRPr="00A758A7">
              <w:rPr>
                <w:rFonts w:cs="Times New Roman"/>
                <w:color w:val="000000"/>
                <w:lang w:val="fr-FR"/>
              </w:rPr>
              <w:t> </w:t>
            </w:r>
          </w:p>
        </w:tc>
        <w:tc>
          <w:tcPr>
            <w:tcW w:w="8846" w:type="dxa"/>
            <w:tcBorders>
              <w:top w:val="nil"/>
              <w:left w:val="nil"/>
              <w:bottom w:val="single" w:sz="4" w:space="0" w:color="A6A6A6"/>
              <w:right w:val="nil"/>
            </w:tcBorders>
            <w:shd w:val="clear" w:color="auto" w:fill="auto"/>
            <w:hideMark/>
          </w:tcPr>
          <w:p w:rsidR="00FE7AC7" w:rsidRPr="00A758A7" w:rsidRDefault="00FE7AC7" w:rsidP="00A1204D">
            <w:pPr>
              <w:spacing w:after="0" w:line="240" w:lineRule="auto"/>
              <w:rPr>
                <w:rFonts w:cs="Times New Roman"/>
                <w:color w:val="000000"/>
                <w:lang w:val="fr-FR"/>
              </w:rPr>
            </w:pPr>
            <w:r w:rsidRPr="00A758A7">
              <w:rPr>
                <w:color w:val="000000"/>
                <w:lang w:val="fr-FR"/>
              </w:rPr>
              <w:t>Le pays a été au-delà de l’Exigence concernée.</w:t>
            </w:r>
          </w:p>
        </w:tc>
      </w:tr>
      <w:tr w:rsidR="00FE7AC7" w:rsidRPr="00E96EF1" w:rsidTr="00A1204D">
        <w:trPr>
          <w:trHeight w:val="600"/>
        </w:trPr>
        <w:tc>
          <w:tcPr>
            <w:tcW w:w="1050" w:type="dxa"/>
            <w:tcBorders>
              <w:top w:val="nil"/>
              <w:left w:val="nil"/>
              <w:bottom w:val="nil"/>
              <w:right w:val="nil"/>
            </w:tcBorders>
            <w:shd w:val="clear" w:color="000000" w:fill="D9D9D9"/>
            <w:noWrap/>
            <w:vAlign w:val="bottom"/>
            <w:hideMark/>
          </w:tcPr>
          <w:p w:rsidR="00FE7AC7" w:rsidRPr="00A758A7" w:rsidRDefault="00FE7AC7" w:rsidP="00A1204D">
            <w:pPr>
              <w:spacing w:after="0" w:line="240" w:lineRule="auto"/>
              <w:jc w:val="center"/>
              <w:rPr>
                <w:rFonts w:cs="Times New Roman"/>
                <w:color w:val="000000"/>
                <w:lang w:val="fr-FR"/>
              </w:rPr>
            </w:pPr>
            <w:r w:rsidRPr="00A758A7">
              <w:rPr>
                <w:rFonts w:cs="Times New Roman"/>
                <w:color w:val="000000"/>
                <w:lang w:val="fr-FR"/>
              </w:rPr>
              <w:t> </w:t>
            </w:r>
          </w:p>
        </w:tc>
        <w:tc>
          <w:tcPr>
            <w:tcW w:w="8846" w:type="dxa"/>
            <w:tcBorders>
              <w:top w:val="nil"/>
              <w:left w:val="nil"/>
              <w:bottom w:val="single" w:sz="4" w:space="0" w:color="A6A6A6"/>
              <w:right w:val="nil"/>
            </w:tcBorders>
            <w:shd w:val="clear" w:color="auto" w:fill="auto"/>
            <w:hideMark/>
          </w:tcPr>
          <w:p w:rsidR="00FE7AC7" w:rsidRPr="00A758A7" w:rsidRDefault="00FE7AC7" w:rsidP="00A1204D">
            <w:pPr>
              <w:spacing w:after="0" w:line="240" w:lineRule="auto"/>
              <w:rPr>
                <w:rFonts w:cs="Times New Roman"/>
                <w:color w:val="000000"/>
                <w:lang w:val="fr-FR"/>
              </w:rPr>
            </w:pPr>
            <w:r w:rsidRPr="00A758A7">
              <w:rPr>
                <w:color w:val="000000"/>
                <w:lang w:val="fr-FR"/>
              </w:rPr>
              <w:t>L’Exigence est seulement encouragée ou recommandée et ne doit pas être prise en compte dans l’évaluation de la conformité.</w:t>
            </w:r>
          </w:p>
        </w:tc>
      </w:tr>
      <w:tr w:rsidR="00FE7AC7" w:rsidRPr="00E96EF1" w:rsidTr="00A1204D">
        <w:trPr>
          <w:trHeight w:val="560"/>
        </w:trPr>
        <w:tc>
          <w:tcPr>
            <w:tcW w:w="1050" w:type="dxa"/>
            <w:tcBorders>
              <w:top w:val="nil"/>
              <w:left w:val="nil"/>
              <w:bottom w:val="single" w:sz="4" w:space="0" w:color="A6A6A6" w:themeColor="background1" w:themeShade="A6"/>
              <w:right w:val="nil"/>
            </w:tcBorders>
            <w:shd w:val="diagStripe" w:color="D9D9D9" w:fill="auto"/>
            <w:noWrap/>
            <w:vAlign w:val="bottom"/>
            <w:hideMark/>
          </w:tcPr>
          <w:p w:rsidR="00FE7AC7" w:rsidRPr="00A758A7" w:rsidRDefault="00FE7AC7" w:rsidP="00A1204D">
            <w:pPr>
              <w:spacing w:after="0" w:line="240" w:lineRule="auto"/>
              <w:rPr>
                <w:rFonts w:cs="Times New Roman"/>
                <w:color w:val="000000"/>
                <w:lang w:val="fr-FR"/>
              </w:rPr>
            </w:pPr>
          </w:p>
        </w:tc>
        <w:tc>
          <w:tcPr>
            <w:tcW w:w="8846" w:type="dxa"/>
            <w:tcBorders>
              <w:top w:val="nil"/>
              <w:left w:val="nil"/>
              <w:bottom w:val="single" w:sz="4" w:space="0" w:color="A6A6A6" w:themeColor="background1" w:themeShade="A6"/>
              <w:right w:val="nil"/>
            </w:tcBorders>
            <w:shd w:val="clear" w:color="auto" w:fill="auto"/>
            <w:hideMark/>
          </w:tcPr>
          <w:p w:rsidR="00FE7AC7" w:rsidRPr="00A758A7" w:rsidRDefault="00FE7AC7" w:rsidP="00A1204D">
            <w:pPr>
              <w:spacing w:after="0" w:line="240" w:lineRule="auto"/>
              <w:rPr>
                <w:rFonts w:cs="Times New Roman"/>
                <w:color w:val="000000"/>
                <w:lang w:val="fr-FR"/>
              </w:rPr>
            </w:pPr>
            <w:r w:rsidRPr="00A758A7">
              <w:rPr>
                <w:color w:val="000000"/>
                <w:lang w:val="fr-FR"/>
              </w:rPr>
              <w:t>Le Groupe multipartite a démontré que cette Exigence n’était pas applicable au pays.</w:t>
            </w:r>
          </w:p>
        </w:tc>
      </w:tr>
    </w:tbl>
    <w:p w:rsidR="00C352FD" w:rsidRPr="008636A5" w:rsidRDefault="00C352FD" w:rsidP="00C352FD">
      <w:pPr>
        <w:pBdr>
          <w:bottom w:val="dotted" w:sz="24" w:space="1" w:color="auto"/>
        </w:pBdr>
        <w:spacing w:after="0" w:line="240" w:lineRule="auto"/>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F0642E" w:rsidRDefault="00F0642E" w:rsidP="002E590F">
      <w:pPr>
        <w:widowControl w:val="0"/>
        <w:suppressAutoHyphens/>
        <w:spacing w:after="0" w:line="240" w:lineRule="auto"/>
        <w:jc w:val="center"/>
        <w:rPr>
          <w:rFonts w:cstheme="minorHAnsi"/>
          <w:lang w:val="fr-FR"/>
        </w:rPr>
      </w:pPr>
    </w:p>
    <w:p w:rsidR="00F0642E" w:rsidRDefault="00F0642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p>
    <w:p w:rsidR="00792A5E" w:rsidRDefault="00792A5E" w:rsidP="002E590F">
      <w:pPr>
        <w:widowControl w:val="0"/>
        <w:suppressAutoHyphens/>
        <w:spacing w:after="0" w:line="240" w:lineRule="auto"/>
        <w:jc w:val="center"/>
        <w:rPr>
          <w:rFonts w:cstheme="minorHAnsi"/>
          <w:lang w:val="fr-FR"/>
        </w:rPr>
      </w:pPr>
      <w:r>
        <w:rPr>
          <w:rFonts w:cstheme="minorHAnsi"/>
          <w:lang w:val="fr-FR"/>
        </w:rPr>
        <w:t>ANNEXES</w:t>
      </w:r>
    </w:p>
    <w:p w:rsidR="00792A5E" w:rsidRDefault="00792A5E" w:rsidP="002E590F">
      <w:pPr>
        <w:widowControl w:val="0"/>
        <w:suppressAutoHyphens/>
        <w:spacing w:after="0" w:line="240" w:lineRule="auto"/>
        <w:jc w:val="center"/>
        <w:rPr>
          <w:rFonts w:cstheme="minorHAnsi"/>
          <w:lang w:val="fr-FR"/>
        </w:rPr>
      </w:pPr>
    </w:p>
    <w:p w:rsidR="00B473E2" w:rsidRDefault="006A1522" w:rsidP="00F0642E">
      <w:pPr>
        <w:pStyle w:val="Paragraphedeliste"/>
        <w:widowControl w:val="0"/>
        <w:numPr>
          <w:ilvl w:val="0"/>
          <w:numId w:val="24"/>
        </w:numPr>
        <w:suppressAutoHyphens/>
        <w:spacing w:after="0" w:line="240" w:lineRule="auto"/>
        <w:jc w:val="both"/>
        <w:rPr>
          <w:rFonts w:cstheme="minorHAnsi"/>
          <w:lang w:val="fr-FR"/>
        </w:rPr>
      </w:pPr>
      <w:r>
        <w:rPr>
          <w:rFonts w:cstheme="minorHAnsi"/>
          <w:lang w:val="fr-FR"/>
        </w:rPr>
        <w:t xml:space="preserve">Réponse du Ministre du Pétrole et des Energies sur </w:t>
      </w:r>
      <w:r w:rsidR="00533AE7">
        <w:rPr>
          <w:rFonts w:cstheme="minorHAnsi"/>
          <w:lang w:val="fr-FR"/>
        </w:rPr>
        <w:t>le Rapport de Validation.</w:t>
      </w:r>
    </w:p>
    <w:p w:rsidR="00B473E2" w:rsidRDefault="00B473E2" w:rsidP="00F0642E">
      <w:pPr>
        <w:pStyle w:val="Paragraphedeliste"/>
        <w:widowControl w:val="0"/>
        <w:suppressAutoHyphens/>
        <w:spacing w:after="0" w:line="240" w:lineRule="auto"/>
        <w:jc w:val="both"/>
        <w:rPr>
          <w:rFonts w:cstheme="minorHAnsi"/>
          <w:lang w:val="fr-FR"/>
        </w:rPr>
      </w:pPr>
    </w:p>
    <w:p w:rsidR="000B01D4" w:rsidRPr="00B473E2" w:rsidRDefault="00B473E2" w:rsidP="00F0642E">
      <w:pPr>
        <w:pStyle w:val="Paragraphedeliste"/>
        <w:widowControl w:val="0"/>
        <w:numPr>
          <w:ilvl w:val="0"/>
          <w:numId w:val="24"/>
        </w:numPr>
        <w:suppressAutoHyphens/>
        <w:spacing w:after="0" w:line="240" w:lineRule="auto"/>
        <w:jc w:val="both"/>
        <w:rPr>
          <w:rFonts w:cstheme="minorHAnsi"/>
          <w:lang w:val="fr-FR"/>
        </w:rPr>
      </w:pPr>
      <w:r w:rsidRPr="00B473E2">
        <w:rPr>
          <w:rFonts w:cstheme="minorHAnsi"/>
          <w:lang w:val="fr-FR"/>
        </w:rPr>
        <w:t xml:space="preserve">Arrêté interministériel n°22469 du 20 Juin 2017 portant répartition de la dotation du Fonds de Péréquation et d’Appui aux Collectivités Locales </w:t>
      </w:r>
      <w:r>
        <w:rPr>
          <w:rFonts w:cstheme="minorHAnsi"/>
          <w:lang w:val="fr-FR"/>
        </w:rPr>
        <w:t xml:space="preserve">tirée à partir des ressources annuelles provenant des opérations minières </w:t>
      </w:r>
      <w:r w:rsidRPr="00B473E2">
        <w:rPr>
          <w:rFonts w:cstheme="minorHAnsi"/>
          <w:lang w:val="fr-FR"/>
        </w:rPr>
        <w:t>au titre des années 2010, 2011, 2012, 2013, 2014 et 2015</w:t>
      </w:r>
      <w:r>
        <w:rPr>
          <w:rFonts w:cstheme="minorHAnsi"/>
          <w:lang w:val="fr-FR"/>
        </w:rPr>
        <w:t xml:space="preserve">. </w:t>
      </w:r>
      <w:r w:rsidR="000B01D4" w:rsidRPr="00B473E2">
        <w:rPr>
          <w:rFonts w:cstheme="minorHAnsi"/>
          <w:lang w:val="fr-FR"/>
        </w:rPr>
        <w:t xml:space="preserve"> </w:t>
      </w:r>
    </w:p>
    <w:p w:rsidR="00F0642E" w:rsidRDefault="00792A5E" w:rsidP="00A47DB5">
      <w:pPr>
        <w:widowControl w:val="0"/>
        <w:suppressAutoHyphens/>
        <w:spacing w:after="0" w:line="240" w:lineRule="auto"/>
        <w:jc w:val="center"/>
        <w:rPr>
          <w:rFonts w:cstheme="minorHAnsi"/>
          <w:lang w:val="fr-FR"/>
        </w:rPr>
      </w:pPr>
      <w:r>
        <w:rPr>
          <w:rFonts w:cstheme="minorHAnsi"/>
          <w:noProof/>
          <w:lang w:val="fr-FR" w:eastAsia="fr-FR"/>
        </w:rPr>
        <w:lastRenderedPageBreak/>
        <w:drawing>
          <wp:inline distT="0" distB="0" distL="0" distR="0">
            <wp:extent cx="6858000" cy="9700373"/>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858000" cy="9700373"/>
                    </a:xfrm>
                    <a:prstGeom prst="rect">
                      <a:avLst/>
                    </a:prstGeom>
                    <a:noFill/>
                    <a:ln w="9525">
                      <a:noFill/>
                      <a:miter lim="800000"/>
                      <a:headEnd/>
                      <a:tailEnd/>
                    </a:ln>
                  </pic:spPr>
                </pic:pic>
              </a:graphicData>
            </a:graphic>
          </wp:inline>
        </w:drawing>
      </w:r>
    </w:p>
    <w:p w:rsidR="00D452F4" w:rsidRPr="008636A5" w:rsidRDefault="005C5AFB" w:rsidP="00D8299D">
      <w:pPr>
        <w:widowControl w:val="0"/>
        <w:suppressAutoHyphens/>
        <w:spacing w:after="0" w:line="240" w:lineRule="auto"/>
        <w:rPr>
          <w:rFonts w:cstheme="minorHAnsi"/>
          <w:lang w:val="fr-FR"/>
        </w:rPr>
      </w:pPr>
      <w:r>
        <w:rPr>
          <w:rFonts w:cstheme="minorHAnsi"/>
          <w:noProof/>
          <w:lang w:val="fr-FR" w:eastAsia="fr-FR"/>
        </w:rPr>
        <w:lastRenderedPageBreak/>
        <w:drawing>
          <wp:inline distT="0" distB="0" distL="0" distR="0">
            <wp:extent cx="6476848" cy="8580729"/>
            <wp:effectExtent l="19050" t="0" r="152"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480000" cy="8584905"/>
                    </a:xfrm>
                    <a:prstGeom prst="rect">
                      <a:avLst/>
                    </a:prstGeom>
                    <a:noFill/>
                    <a:ln w="9525">
                      <a:noFill/>
                      <a:miter lim="800000"/>
                      <a:headEnd/>
                      <a:tailEnd/>
                    </a:ln>
                  </pic:spPr>
                </pic:pic>
              </a:graphicData>
            </a:graphic>
          </wp:inline>
        </w:drawing>
      </w:r>
      <w:r w:rsidR="00D8299D" w:rsidRPr="00D8299D">
        <w:rPr>
          <w:lang w:val="fr-FR"/>
        </w:rPr>
        <w:t xml:space="preserve"> </w:t>
      </w:r>
      <w:hyperlink r:id="rId16" w:history="1">
        <w:r w:rsidR="00D8299D" w:rsidRPr="00A554F0">
          <w:rPr>
            <w:rStyle w:val="Lienhypertexte"/>
            <w:rFonts w:cstheme="minorHAnsi"/>
            <w:lang w:val="fr-FR"/>
          </w:rPr>
          <w:t>http://itie.sn/?offshore_dl=2727</w:t>
        </w:r>
      </w:hyperlink>
      <w:r w:rsidR="00D8299D">
        <w:rPr>
          <w:rFonts w:cstheme="minorHAnsi"/>
          <w:lang w:val="fr-FR"/>
        </w:rPr>
        <w:t xml:space="preserve"> </w:t>
      </w:r>
      <w:r w:rsidR="00D452F4">
        <w:rPr>
          <w:rFonts w:cstheme="minorHAnsi"/>
          <w:lang w:val="fr-FR"/>
        </w:rPr>
        <w:t xml:space="preserve"> </w:t>
      </w:r>
    </w:p>
    <w:sectPr w:rsidR="00D452F4" w:rsidRPr="008636A5" w:rsidSect="001218DC">
      <w:footerReference w:type="even" r:id="rId17"/>
      <w:footerReference w:type="default" r:id="rId18"/>
      <w:pgSz w:w="12240" w:h="15840" w:code="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709" w:rsidRDefault="00535709" w:rsidP="00186F04">
      <w:pPr>
        <w:spacing w:after="0" w:line="240" w:lineRule="auto"/>
      </w:pPr>
      <w:r>
        <w:separator/>
      </w:r>
    </w:p>
  </w:endnote>
  <w:endnote w:type="continuationSeparator" w:id="0">
    <w:p w:rsidR="00535709" w:rsidRDefault="00535709" w:rsidP="00186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04D" w:rsidRDefault="00D87242" w:rsidP="002C0FC7">
    <w:pPr>
      <w:pStyle w:val="Pieddepage"/>
      <w:framePr w:wrap="around" w:vAnchor="text" w:hAnchor="margin" w:xAlign="right" w:y="1"/>
      <w:rPr>
        <w:rStyle w:val="Numrodepage"/>
      </w:rPr>
    </w:pPr>
    <w:r>
      <w:rPr>
        <w:rStyle w:val="Numrodepage"/>
      </w:rPr>
      <w:fldChar w:fldCharType="begin"/>
    </w:r>
    <w:r w:rsidR="00A1204D">
      <w:rPr>
        <w:rStyle w:val="Numrodepage"/>
      </w:rPr>
      <w:instrText xml:space="preserve">PAGE  </w:instrText>
    </w:r>
    <w:r>
      <w:rPr>
        <w:rStyle w:val="Numrodepage"/>
      </w:rPr>
      <w:fldChar w:fldCharType="end"/>
    </w:r>
  </w:p>
  <w:p w:rsidR="00A1204D" w:rsidRDefault="00A1204D" w:rsidP="00185BF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04D" w:rsidRDefault="00D87242" w:rsidP="002C0FC7">
    <w:pPr>
      <w:pStyle w:val="Pieddepage"/>
      <w:framePr w:wrap="around" w:vAnchor="text" w:hAnchor="margin" w:xAlign="right" w:y="1"/>
      <w:rPr>
        <w:rStyle w:val="Numrodepage"/>
      </w:rPr>
    </w:pPr>
    <w:r>
      <w:rPr>
        <w:rStyle w:val="Numrodepage"/>
      </w:rPr>
      <w:fldChar w:fldCharType="begin"/>
    </w:r>
    <w:r w:rsidR="00A1204D">
      <w:rPr>
        <w:rStyle w:val="Numrodepage"/>
      </w:rPr>
      <w:instrText xml:space="preserve">PAGE  </w:instrText>
    </w:r>
    <w:r>
      <w:rPr>
        <w:rStyle w:val="Numrodepage"/>
      </w:rPr>
      <w:fldChar w:fldCharType="separate"/>
    </w:r>
    <w:r w:rsidR="00C874BB">
      <w:rPr>
        <w:rStyle w:val="Numrodepage"/>
        <w:noProof/>
      </w:rPr>
      <w:t>12</w:t>
    </w:r>
    <w:r>
      <w:rPr>
        <w:rStyle w:val="Numrodepage"/>
      </w:rPr>
      <w:fldChar w:fldCharType="end"/>
    </w:r>
  </w:p>
  <w:p w:rsidR="00A1204D" w:rsidRDefault="00A1204D" w:rsidP="00185BF5">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709" w:rsidRDefault="00535709" w:rsidP="00186F04">
      <w:pPr>
        <w:spacing w:after="0" w:line="240" w:lineRule="auto"/>
      </w:pPr>
      <w:r>
        <w:separator/>
      </w:r>
    </w:p>
  </w:footnote>
  <w:footnote w:type="continuationSeparator" w:id="0">
    <w:p w:rsidR="00535709" w:rsidRDefault="00535709" w:rsidP="00186F04">
      <w:pPr>
        <w:spacing w:after="0" w:line="240" w:lineRule="auto"/>
      </w:pPr>
      <w:r>
        <w:continuationSeparator/>
      </w:r>
    </w:p>
  </w:footnote>
  <w:footnote w:id="1">
    <w:p w:rsidR="00A1204D" w:rsidRPr="00F0746F" w:rsidRDefault="00A1204D">
      <w:pPr>
        <w:pStyle w:val="Notedebasdepage"/>
        <w:rPr>
          <w:lang w:val="fr-FR"/>
        </w:rPr>
      </w:pPr>
      <w:r>
        <w:rPr>
          <w:rStyle w:val="Appelnotedebasdep"/>
        </w:rPr>
        <w:footnoteRef/>
      </w:r>
      <w:r>
        <w:t xml:space="preserve"> </w:t>
      </w:r>
      <w:hyperlink r:id="rId1" w:history="1">
        <w:r w:rsidRPr="00171C31">
          <w:rPr>
            <w:rStyle w:val="Lienhypertexte"/>
          </w:rPr>
          <w:t>http://www.courdescomptes.sn/loi-n90-07-du-26-juin-1990-relative-a-lorganisation-et-au-controle-des-entreprises-du-secteur-parapublic-et-au-controle-des-personnes-morales-de-droit-prive-beneficiant-du-concours-financier-d/</w:t>
        </w:r>
      </w:hyperlink>
      <w:r>
        <w:t xml:space="preserve"> </w:t>
      </w:r>
    </w:p>
  </w:footnote>
  <w:footnote w:id="2">
    <w:p w:rsidR="00A1204D" w:rsidRPr="002D3E70" w:rsidRDefault="00A1204D">
      <w:pPr>
        <w:pStyle w:val="Notedebasdepage"/>
        <w:rPr>
          <w:lang w:val="fr-FR"/>
        </w:rPr>
      </w:pPr>
      <w:r>
        <w:rPr>
          <w:rStyle w:val="Appelnotedebasdep"/>
        </w:rPr>
        <w:footnoteRef/>
      </w:r>
      <w:r w:rsidRPr="002D3E70">
        <w:rPr>
          <w:lang w:val="fr-FR"/>
        </w:rPr>
        <w:t xml:space="preserve"> </w:t>
      </w:r>
      <w:hyperlink r:id="rId2" w:history="1">
        <w:r w:rsidRPr="00171C31">
          <w:rPr>
            <w:rStyle w:val="Lienhypertexte"/>
            <w:lang w:val="fr-FR"/>
          </w:rPr>
          <w:t>http://itie.sn/?offshore_dl=2704</w:t>
        </w:r>
      </w:hyperlink>
      <w:r>
        <w:rPr>
          <w:lang w:val="fr-FR"/>
        </w:rPr>
        <w:t xml:space="preserve"> (Article 6 des Statuts de PETROSEN-2010)</w:t>
      </w:r>
    </w:p>
  </w:footnote>
  <w:footnote w:id="3">
    <w:p w:rsidR="00A1204D" w:rsidRPr="00235031" w:rsidRDefault="00A1204D">
      <w:pPr>
        <w:pStyle w:val="Notedebasdepage"/>
        <w:rPr>
          <w:lang w:val="fr-FR"/>
        </w:rPr>
      </w:pPr>
      <w:r>
        <w:rPr>
          <w:rStyle w:val="Appelnotedebasdep"/>
        </w:rPr>
        <w:footnoteRef/>
      </w:r>
      <w:r w:rsidRPr="00235031">
        <w:rPr>
          <w:lang w:val="fr-FR"/>
        </w:rPr>
        <w:t xml:space="preserve"> </w:t>
      </w:r>
      <w:hyperlink r:id="rId3" w:history="1">
        <w:r w:rsidRPr="00171C31">
          <w:rPr>
            <w:rStyle w:val="Lienhypertexte"/>
            <w:lang w:val="fr-FR"/>
          </w:rPr>
          <w:t>http://www.ohada.com/actes-uniformes/1299/1594/section-1-definition.html</w:t>
        </w:r>
      </w:hyperlink>
      <w:r>
        <w:rPr>
          <w:lang w:val="fr-FR"/>
        </w:rPr>
        <w:t xml:space="preserve"> </w:t>
      </w:r>
    </w:p>
  </w:footnote>
  <w:footnote w:id="4">
    <w:p w:rsidR="00A1204D" w:rsidRPr="00813555" w:rsidRDefault="00A1204D">
      <w:pPr>
        <w:pStyle w:val="Notedebasdepage"/>
        <w:rPr>
          <w:lang w:val="fr-FR"/>
        </w:rPr>
      </w:pPr>
      <w:r>
        <w:rPr>
          <w:rStyle w:val="Appelnotedebasdep"/>
        </w:rPr>
        <w:footnoteRef/>
      </w:r>
      <w:r w:rsidRPr="00813555">
        <w:rPr>
          <w:lang w:val="fr-FR"/>
        </w:rPr>
        <w:t xml:space="preserve"> </w:t>
      </w:r>
      <w:hyperlink r:id="rId4" w:history="1">
        <w:r w:rsidRPr="00171C31">
          <w:rPr>
            <w:rStyle w:val="Lienhypertexte"/>
            <w:lang w:val="fr-FR"/>
          </w:rPr>
          <w:t>http://itie.sn/?offshore_dl=2696</w:t>
        </w:r>
      </w:hyperlink>
      <w:r>
        <w:rPr>
          <w:lang w:val="fr-FR"/>
        </w:rPr>
        <w:t xml:space="preserve"> (Statuts de MIFERSO)</w:t>
      </w:r>
    </w:p>
  </w:footnote>
  <w:footnote w:id="5">
    <w:p w:rsidR="00A1204D" w:rsidRPr="006A21EA" w:rsidRDefault="00A1204D">
      <w:pPr>
        <w:pStyle w:val="Notedebasdepage"/>
        <w:rPr>
          <w:lang w:val="fr-FR"/>
        </w:rPr>
      </w:pPr>
      <w:r>
        <w:rPr>
          <w:rStyle w:val="Appelnotedebasdep"/>
        </w:rPr>
        <w:footnoteRef/>
      </w:r>
      <w:r w:rsidRPr="006A21EA">
        <w:rPr>
          <w:lang w:val="fr-FR"/>
        </w:rPr>
        <w:t xml:space="preserve"> </w:t>
      </w:r>
      <w:hyperlink r:id="rId5" w:history="1">
        <w:r w:rsidRPr="00171C31">
          <w:rPr>
            <w:rStyle w:val="Lienhypertexte"/>
            <w:lang w:val="fr-FR"/>
          </w:rPr>
          <w:t>http://itie.sn/?offshore_dl=2699</w:t>
        </w:r>
      </w:hyperlink>
      <w:r>
        <w:rPr>
          <w:lang w:val="fr-FR"/>
        </w:rPr>
        <w:t xml:space="preserve"> (Etats financiers 2014 de MIFERSO)</w:t>
      </w:r>
    </w:p>
  </w:footnote>
  <w:footnote w:id="6">
    <w:p w:rsidR="000E7D60" w:rsidRPr="000E7D60" w:rsidRDefault="000E7D60">
      <w:pPr>
        <w:pStyle w:val="Notedebasdepage"/>
        <w:rPr>
          <w:lang w:val="fr-FR"/>
        </w:rPr>
      </w:pPr>
      <w:r>
        <w:rPr>
          <w:rStyle w:val="Appelnotedebasdep"/>
        </w:rPr>
        <w:footnoteRef/>
      </w:r>
      <w:r w:rsidRPr="000E7D60">
        <w:rPr>
          <w:lang w:val="fr-FR"/>
        </w:rPr>
        <w:t xml:space="preserve"> </w:t>
      </w:r>
      <w:hyperlink r:id="rId6" w:history="1">
        <w:r w:rsidR="00474570" w:rsidRPr="00171C31">
          <w:rPr>
            <w:rStyle w:val="Lienhypertexte"/>
            <w:lang w:val="fr-FR"/>
          </w:rPr>
          <w:t>http://itie.sn/revenus-du-secteur/</w:t>
        </w:r>
      </w:hyperlink>
      <w:r w:rsidR="00474570">
        <w:rPr>
          <w:lang w:val="fr-FR"/>
        </w:rPr>
        <w:t xml:space="preserve"> (</w:t>
      </w:r>
      <w:r w:rsidR="00C73E3A">
        <w:rPr>
          <w:lang w:val="fr-FR"/>
        </w:rPr>
        <w:t>Exemples d’</w:t>
      </w:r>
      <w:r w:rsidR="00474570">
        <w:rPr>
          <w:lang w:val="fr-FR"/>
        </w:rPr>
        <w:t>Arrêtés Redevances</w:t>
      </w:r>
      <w:r w:rsidR="00C73E3A">
        <w:rPr>
          <w:lang w:val="fr-FR"/>
        </w:rPr>
        <w:t xml:space="preserve"> : </w:t>
      </w:r>
      <w:r w:rsidR="00474570">
        <w:rPr>
          <w:lang w:val="fr-FR"/>
        </w:rPr>
        <w:t>GCO, SSPT, SOCOCIM etc.)</w:t>
      </w:r>
    </w:p>
  </w:footnote>
  <w:footnote w:id="7">
    <w:p w:rsidR="005B03EB" w:rsidRPr="005B03EB" w:rsidRDefault="005B03EB">
      <w:pPr>
        <w:pStyle w:val="Notedebasdepage"/>
        <w:rPr>
          <w:lang w:val="fr-FR"/>
        </w:rPr>
      </w:pPr>
      <w:r>
        <w:rPr>
          <w:rStyle w:val="Appelnotedebasdep"/>
        </w:rPr>
        <w:footnoteRef/>
      </w:r>
      <w:r w:rsidRPr="005B03EB">
        <w:rPr>
          <w:lang w:val="fr-FR"/>
        </w:rPr>
        <w:t xml:space="preserve"> </w:t>
      </w:r>
      <w:r>
        <w:rPr>
          <w:lang w:val="fr-FR"/>
        </w:rPr>
        <w:t xml:space="preserve">Article 49, Code minier de 1988 </w:t>
      </w:r>
      <w:hyperlink r:id="rId7" w:history="1">
        <w:r w:rsidRPr="00171C31">
          <w:rPr>
            <w:rStyle w:val="Lienhypertexte"/>
            <w:lang w:val="fr-FR"/>
          </w:rPr>
          <w:t>http://www.droit-afrique.com/upload/doc/senegal/Senegal-Code-1988-minier_Abroge.pdf</w:t>
        </w:r>
      </w:hyperlink>
      <w:r>
        <w:rPr>
          <w:lang w:val="fr-FR"/>
        </w:rPr>
        <w:t xml:space="preserve"> </w:t>
      </w:r>
    </w:p>
  </w:footnote>
  <w:footnote w:id="8">
    <w:p w:rsidR="00053B8D" w:rsidRPr="00053B8D" w:rsidRDefault="00053B8D">
      <w:pPr>
        <w:pStyle w:val="Notedebasdepage"/>
        <w:rPr>
          <w:lang w:val="fr-FR"/>
        </w:rPr>
      </w:pPr>
    </w:p>
  </w:footnote>
  <w:footnote w:id="9">
    <w:p w:rsidR="0059516B" w:rsidRPr="00053B8D" w:rsidRDefault="0059516B" w:rsidP="0059516B">
      <w:pPr>
        <w:pStyle w:val="Notedebasdepage"/>
        <w:rPr>
          <w:lang w:val="fr-FR"/>
        </w:rPr>
      </w:pPr>
      <w:r>
        <w:rPr>
          <w:rStyle w:val="Appelnotedebasdep"/>
        </w:rPr>
        <w:footnoteRef/>
      </w:r>
      <w:r>
        <w:t xml:space="preserve"> </w:t>
      </w:r>
      <w:hyperlink r:id="rId8" w:history="1">
        <w:r w:rsidRPr="004B11DE">
          <w:rPr>
            <w:rStyle w:val="Lienhypertexte"/>
            <w:lang w:val="fr-FR"/>
          </w:rPr>
          <w:t>http://itie.sn/wp-content/uploads/2018/01/Plan-de-travail-et-Budget-annuel-Comit%C3%A9-National-2018-v1.1.pdf</w:t>
        </w:r>
      </w:hyperlink>
      <w:r>
        <w:rPr>
          <w:lang w:val="fr-FR"/>
        </w:rPr>
        <w:t xml:space="preserve">  (PTA 2018)</w:t>
      </w:r>
    </w:p>
    <w:p w:rsidR="0059516B" w:rsidRPr="0059516B" w:rsidRDefault="0059516B">
      <w:pPr>
        <w:pStyle w:val="Notedebasdepage"/>
        <w:rPr>
          <w:lang w:val="fr-FR"/>
        </w:rPr>
      </w:pPr>
    </w:p>
  </w:footnote>
  <w:footnote w:id="10">
    <w:p w:rsidR="00A5455A" w:rsidRPr="00A5455A" w:rsidRDefault="00A5455A">
      <w:pPr>
        <w:pStyle w:val="Notedebasdepage"/>
        <w:rPr>
          <w:lang w:val="fr-FR"/>
        </w:rPr>
      </w:pPr>
      <w:r>
        <w:rPr>
          <w:rStyle w:val="Appelnotedebasdep"/>
        </w:rPr>
        <w:footnoteRef/>
      </w:r>
      <w:r w:rsidRPr="00A5455A">
        <w:rPr>
          <w:lang w:val="fr-FR"/>
        </w:rPr>
        <w:t xml:space="preserve"> </w:t>
      </w:r>
      <w:hyperlink r:id="rId9" w:history="1">
        <w:r w:rsidRPr="00A554F0">
          <w:rPr>
            <w:rStyle w:val="Lienhypertexte"/>
            <w:lang w:val="fr-FR"/>
          </w:rPr>
          <w:t>https://www.sec.gouv.sn/Conseil-des-Ministres-du-03,2262.html</w:t>
        </w:r>
      </w:hyperlink>
      <w:r>
        <w:rPr>
          <w:lang w:val="fr-FR"/>
        </w:rPr>
        <w:t xml:space="preserve"> (Projet de loi relative à la lutte contre le blanchiment des capitaux et le financement du terrorisme adopté le 03 Janvier 2018 en Conseil des Ministres)</w:t>
      </w:r>
    </w:p>
  </w:footnote>
  <w:footnote w:id="11">
    <w:p w:rsidR="00C64C08" w:rsidRPr="00C64C08" w:rsidRDefault="00C64C08">
      <w:pPr>
        <w:pStyle w:val="Notedebasdepage"/>
        <w:rPr>
          <w:lang w:val="fr-FR"/>
        </w:rPr>
      </w:pPr>
      <w:r>
        <w:rPr>
          <w:rStyle w:val="Appelnotedebasdep"/>
        </w:rPr>
        <w:footnoteRef/>
      </w:r>
      <w:r w:rsidRPr="00C64C08">
        <w:rPr>
          <w:lang w:val="fr-FR"/>
        </w:rPr>
        <w:t xml:space="preserve"> </w:t>
      </w:r>
      <w:hyperlink r:id="rId10" w:history="1">
        <w:r w:rsidRPr="00C64C08">
          <w:rPr>
            <w:rStyle w:val="Lienhypertexte"/>
            <w:lang w:val="fr-FR"/>
          </w:rPr>
          <w:t>http://itie.sn/rapport-2014/</w:t>
        </w:r>
      </w:hyperlink>
      <w:r w:rsidRPr="00C64C08">
        <w:rPr>
          <w:lang w:val="fr-FR"/>
        </w:rPr>
        <w:t xml:space="preserve"> (Détails Paiements au titre de l’accord de troc Etat du Sénégal – </w:t>
      </w:r>
      <w:proofErr w:type="spellStart"/>
      <w:r w:rsidRPr="00C64C08">
        <w:rPr>
          <w:lang w:val="fr-FR"/>
        </w:rPr>
        <w:t>Terangagold</w:t>
      </w:r>
      <w:proofErr w:type="spellEnd"/>
      <w:r>
        <w:rPr>
          <w:lang w:val="fr-FR"/>
        </w:rPr>
        <w:t>)</w:t>
      </w:r>
    </w:p>
  </w:footnote>
  <w:footnote w:id="12">
    <w:p w:rsidR="005E529D" w:rsidRPr="005E529D" w:rsidRDefault="005E529D">
      <w:pPr>
        <w:pStyle w:val="Notedebasdepage"/>
        <w:rPr>
          <w:lang w:val="fr-FR"/>
        </w:rPr>
      </w:pPr>
      <w:r>
        <w:rPr>
          <w:rStyle w:val="Appelnotedebasdep"/>
        </w:rPr>
        <w:footnoteRef/>
      </w:r>
      <w:r w:rsidRPr="005C5AFB">
        <w:rPr>
          <w:lang w:val="fr-FR"/>
        </w:rPr>
        <w:t xml:space="preserve"> </w:t>
      </w:r>
      <w:hyperlink r:id="rId11" w:history="1">
        <w:r w:rsidRPr="005C5AFB">
          <w:rPr>
            <w:rStyle w:val="Lienhypertexte"/>
            <w:lang w:val="fr-FR"/>
          </w:rPr>
          <w:t>http://itie.sn/rapports-2015-2016/</w:t>
        </w:r>
      </w:hyperlink>
      <w:r w:rsidRPr="005C5AFB">
        <w:rPr>
          <w:lang w:val="fr-FR"/>
        </w:rPr>
        <w:t xml:space="preserve"> </w:t>
      </w:r>
    </w:p>
  </w:footnote>
  <w:footnote w:id="13">
    <w:p w:rsidR="0075756A" w:rsidRPr="0075756A" w:rsidRDefault="0075756A">
      <w:pPr>
        <w:pStyle w:val="Notedebasdepage"/>
        <w:rPr>
          <w:lang w:val="fr-FR"/>
        </w:rPr>
      </w:pPr>
      <w:r>
        <w:rPr>
          <w:rStyle w:val="Appelnotedebasdep"/>
        </w:rPr>
        <w:footnoteRef/>
      </w:r>
      <w:r w:rsidRPr="0075756A">
        <w:rPr>
          <w:lang w:val="fr-FR"/>
        </w:rPr>
        <w:t xml:space="preserve"> </w:t>
      </w:r>
      <w:hyperlink r:id="rId12" w:history="1">
        <w:r w:rsidRPr="00A554F0">
          <w:rPr>
            <w:rStyle w:val="Lienhypertexte"/>
            <w:lang w:val="fr-FR"/>
          </w:rPr>
          <w:t>https://www.sec.gouv.sn/Conseil-des-Ministres-du-17,2265.html</w:t>
        </w:r>
      </w:hyperlink>
      <w:r>
        <w:rPr>
          <w:lang w:val="fr-F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pt;height:15pt" o:bullet="t">
        <v:imagedata r:id="rId1" o:title="Word Work File L_4"/>
      </v:shape>
    </w:pict>
  </w:numPicBullet>
  <w:abstractNum w:abstractNumId="0" w15:restartNumberingAfterBreak="0">
    <w:nsid w:val="00000001"/>
    <w:multiLevelType w:val="hybridMultilevel"/>
    <w:tmpl w:val="00000001"/>
    <w:lvl w:ilvl="0" w:tplc="00000001">
      <w:start w:val="2"/>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B71FD"/>
    <w:multiLevelType w:val="hybridMultilevel"/>
    <w:tmpl w:val="FEB40B9E"/>
    <w:lvl w:ilvl="0" w:tplc="040C000F">
      <w:start w:val="7"/>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4CE0784"/>
    <w:multiLevelType w:val="hybridMultilevel"/>
    <w:tmpl w:val="7ED8967E"/>
    <w:lvl w:ilvl="0" w:tplc="EDAA5A7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55EB6"/>
    <w:multiLevelType w:val="multilevel"/>
    <w:tmpl w:val="493A948C"/>
    <w:lvl w:ilvl="0">
      <w:start w:val="1"/>
      <w:numFmt w:val="decimal"/>
      <w:lvlText w:val="%1."/>
      <w:lvlJc w:val="left"/>
      <w:pPr>
        <w:ind w:left="36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CB5CCD"/>
    <w:multiLevelType w:val="hybridMultilevel"/>
    <w:tmpl w:val="2C1CA9AE"/>
    <w:lvl w:ilvl="0" w:tplc="22B4D65E">
      <w:start w:val="1"/>
      <w:numFmt w:val="decimal"/>
      <w:lvlText w:val="%1."/>
      <w:lvlJc w:val="left"/>
      <w:pPr>
        <w:ind w:left="360" w:hanging="360"/>
      </w:pPr>
      <w:rPr>
        <w:rFonts w:hint="default"/>
        <w:color w:val="1F497D" w:themeColor="text2"/>
      </w:rPr>
    </w:lvl>
    <w:lvl w:ilvl="1" w:tplc="04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017DC9"/>
    <w:multiLevelType w:val="hybridMultilevel"/>
    <w:tmpl w:val="30A6966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5F3A9D"/>
    <w:multiLevelType w:val="hybridMultilevel"/>
    <w:tmpl w:val="99E428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ADD6164"/>
    <w:multiLevelType w:val="multilevel"/>
    <w:tmpl w:val="B228248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BD3565F"/>
    <w:multiLevelType w:val="hybridMultilevel"/>
    <w:tmpl w:val="D0866472"/>
    <w:lvl w:ilvl="0" w:tplc="63202DAE">
      <w:numFmt w:val="bullet"/>
      <w:lvlText w:val=""/>
      <w:lvlJc w:val="left"/>
      <w:pPr>
        <w:ind w:left="420" w:hanging="420"/>
      </w:pPr>
      <w:rPr>
        <w:rFonts w:ascii="Symbol" w:eastAsia="Calibri" w:hAnsi="Symbol" w:cs="Times New Roman" w:hint="default"/>
        <w:sz w:val="22"/>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9" w15:restartNumberingAfterBreak="0">
    <w:nsid w:val="17D45DB0"/>
    <w:multiLevelType w:val="hybridMultilevel"/>
    <w:tmpl w:val="CE9028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1C0A70C9"/>
    <w:multiLevelType w:val="hybridMultilevel"/>
    <w:tmpl w:val="D3AAA440"/>
    <w:lvl w:ilvl="0" w:tplc="C4AEFD5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D6F632F"/>
    <w:multiLevelType w:val="hybridMultilevel"/>
    <w:tmpl w:val="D3AAA440"/>
    <w:lvl w:ilvl="0" w:tplc="C4AEFD5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B29744F"/>
    <w:multiLevelType w:val="hybridMultilevel"/>
    <w:tmpl w:val="4BFA30C8"/>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C451494"/>
    <w:multiLevelType w:val="hybridMultilevel"/>
    <w:tmpl w:val="64383DDA"/>
    <w:lvl w:ilvl="0" w:tplc="040C000D">
      <w:start w:val="1"/>
      <w:numFmt w:val="bullet"/>
      <w:lvlText w:val=""/>
      <w:lvlJc w:val="left"/>
      <w:pPr>
        <w:ind w:left="800" w:hanging="360"/>
      </w:pPr>
      <w:rPr>
        <w:rFonts w:ascii="Wingdings" w:hAnsi="Wingdings"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14" w15:restartNumberingAfterBreak="0">
    <w:nsid w:val="2F7849E5"/>
    <w:multiLevelType w:val="hybridMultilevel"/>
    <w:tmpl w:val="39AE5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8E0"/>
    <w:multiLevelType w:val="hybridMultilevel"/>
    <w:tmpl w:val="BE58A8E0"/>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38CA5888"/>
    <w:multiLevelType w:val="hybridMultilevel"/>
    <w:tmpl w:val="796CB592"/>
    <w:lvl w:ilvl="0" w:tplc="9728409E">
      <w:start w:val="4"/>
      <w:numFmt w:val="decimal"/>
      <w:lvlText w:val="%1."/>
      <w:lvlJc w:val="left"/>
      <w:pPr>
        <w:ind w:left="720" w:hanging="360"/>
      </w:pPr>
      <w:rPr>
        <w:rFonts w:hint="default"/>
        <w:b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3E2E17"/>
    <w:multiLevelType w:val="hybridMultilevel"/>
    <w:tmpl w:val="D3AAA440"/>
    <w:lvl w:ilvl="0" w:tplc="C4AEFD5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3E5595D"/>
    <w:multiLevelType w:val="multilevel"/>
    <w:tmpl w:val="2E221CBC"/>
    <w:lvl w:ilvl="0">
      <w:start w:val="3"/>
      <w:numFmt w:val="decimal"/>
      <w:lvlText w:val="%1"/>
      <w:lvlJc w:val="left"/>
      <w:pPr>
        <w:ind w:left="360" w:hanging="360"/>
      </w:pPr>
      <w:rPr>
        <w:rFonts w:cstheme="minorHAnsi" w:hint="default"/>
      </w:rPr>
    </w:lvl>
    <w:lvl w:ilvl="1">
      <w:start w:val="2"/>
      <w:numFmt w:val="decimal"/>
      <w:lvlText w:val="%1.%2"/>
      <w:lvlJc w:val="left"/>
      <w:pPr>
        <w:ind w:left="1080" w:hanging="360"/>
      </w:pPr>
      <w:rPr>
        <w:rFonts w:cstheme="minorHAnsi" w:hint="default"/>
      </w:rPr>
    </w:lvl>
    <w:lvl w:ilvl="2">
      <w:start w:val="1"/>
      <w:numFmt w:val="decimal"/>
      <w:lvlText w:val="%1.%2.%3"/>
      <w:lvlJc w:val="left"/>
      <w:pPr>
        <w:ind w:left="2160" w:hanging="720"/>
      </w:pPr>
      <w:rPr>
        <w:rFonts w:cstheme="minorHAnsi" w:hint="default"/>
      </w:rPr>
    </w:lvl>
    <w:lvl w:ilvl="3">
      <w:start w:val="1"/>
      <w:numFmt w:val="decimal"/>
      <w:lvlText w:val="%1.%2.%3.%4"/>
      <w:lvlJc w:val="left"/>
      <w:pPr>
        <w:ind w:left="2880" w:hanging="720"/>
      </w:pPr>
      <w:rPr>
        <w:rFonts w:cstheme="minorHAnsi" w:hint="default"/>
      </w:rPr>
    </w:lvl>
    <w:lvl w:ilvl="4">
      <w:start w:val="1"/>
      <w:numFmt w:val="decimal"/>
      <w:lvlText w:val="%1.%2.%3.%4.%5"/>
      <w:lvlJc w:val="left"/>
      <w:pPr>
        <w:ind w:left="3960" w:hanging="1080"/>
      </w:pPr>
      <w:rPr>
        <w:rFonts w:cstheme="minorHAnsi" w:hint="default"/>
      </w:rPr>
    </w:lvl>
    <w:lvl w:ilvl="5">
      <w:start w:val="1"/>
      <w:numFmt w:val="decimal"/>
      <w:lvlText w:val="%1.%2.%3.%4.%5.%6"/>
      <w:lvlJc w:val="left"/>
      <w:pPr>
        <w:ind w:left="4680" w:hanging="1080"/>
      </w:pPr>
      <w:rPr>
        <w:rFonts w:cstheme="minorHAnsi" w:hint="default"/>
      </w:rPr>
    </w:lvl>
    <w:lvl w:ilvl="6">
      <w:start w:val="1"/>
      <w:numFmt w:val="decimal"/>
      <w:lvlText w:val="%1.%2.%3.%4.%5.%6.%7"/>
      <w:lvlJc w:val="left"/>
      <w:pPr>
        <w:ind w:left="5760" w:hanging="1440"/>
      </w:pPr>
      <w:rPr>
        <w:rFonts w:cstheme="minorHAnsi" w:hint="default"/>
      </w:rPr>
    </w:lvl>
    <w:lvl w:ilvl="7">
      <w:start w:val="1"/>
      <w:numFmt w:val="decimal"/>
      <w:lvlText w:val="%1.%2.%3.%4.%5.%6.%7.%8"/>
      <w:lvlJc w:val="left"/>
      <w:pPr>
        <w:ind w:left="6480" w:hanging="1440"/>
      </w:pPr>
      <w:rPr>
        <w:rFonts w:cstheme="minorHAnsi" w:hint="default"/>
      </w:rPr>
    </w:lvl>
    <w:lvl w:ilvl="8">
      <w:start w:val="1"/>
      <w:numFmt w:val="decimal"/>
      <w:lvlText w:val="%1.%2.%3.%4.%5.%6.%7.%8.%9"/>
      <w:lvlJc w:val="left"/>
      <w:pPr>
        <w:ind w:left="7200" w:hanging="1440"/>
      </w:pPr>
      <w:rPr>
        <w:rFonts w:cstheme="minorHAnsi" w:hint="default"/>
      </w:rPr>
    </w:lvl>
  </w:abstractNum>
  <w:abstractNum w:abstractNumId="19" w15:restartNumberingAfterBreak="0">
    <w:nsid w:val="44565D97"/>
    <w:multiLevelType w:val="hybridMultilevel"/>
    <w:tmpl w:val="D3AAA440"/>
    <w:lvl w:ilvl="0" w:tplc="C4AEFD5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565690F"/>
    <w:multiLevelType w:val="hybridMultilevel"/>
    <w:tmpl w:val="4C388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64306"/>
    <w:multiLevelType w:val="hybridMultilevel"/>
    <w:tmpl w:val="0046C676"/>
    <w:lvl w:ilvl="0" w:tplc="BDE81F82">
      <w:start w:val="1"/>
      <w:numFmt w:val="decimal"/>
      <w:lvlText w:val="%1.1"/>
      <w:lvlJc w:val="left"/>
      <w:pPr>
        <w:ind w:left="360" w:hanging="360"/>
      </w:pPr>
      <w:rPr>
        <w:rFonts w:hint="default"/>
      </w:rPr>
    </w:lvl>
    <w:lvl w:ilvl="1" w:tplc="04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65088C"/>
    <w:multiLevelType w:val="hybridMultilevel"/>
    <w:tmpl w:val="C5B43A40"/>
    <w:lvl w:ilvl="0" w:tplc="D110D97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D66ACD"/>
    <w:multiLevelType w:val="hybridMultilevel"/>
    <w:tmpl w:val="345E57A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784429A"/>
    <w:multiLevelType w:val="hybridMultilevel"/>
    <w:tmpl w:val="A85A2016"/>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7D8D5C16"/>
    <w:multiLevelType w:val="hybridMultilevel"/>
    <w:tmpl w:val="AB62836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DCF4408"/>
    <w:multiLevelType w:val="multilevel"/>
    <w:tmpl w:val="24202D26"/>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6"/>
  </w:num>
  <w:num w:numId="6">
    <w:abstractNumId w:val="3"/>
  </w:num>
  <w:num w:numId="7">
    <w:abstractNumId w:val="21"/>
  </w:num>
  <w:num w:numId="8">
    <w:abstractNumId w:val="9"/>
  </w:num>
  <w:num w:numId="9">
    <w:abstractNumId w:val="0"/>
  </w:num>
  <w:num w:numId="10">
    <w:abstractNumId w:val="17"/>
    <w:lvlOverride w:ilvl="0">
      <w:startOverride w:val="1"/>
    </w:lvlOverride>
  </w:num>
  <w:num w:numId="11">
    <w:abstractNumId w:val="2"/>
  </w:num>
  <w:num w:numId="12">
    <w:abstractNumId w:val="8"/>
  </w:num>
  <w:num w:numId="13">
    <w:abstractNumId w:val="23"/>
  </w:num>
  <w:num w:numId="14">
    <w:abstractNumId w:val="6"/>
  </w:num>
  <w:num w:numId="15">
    <w:abstractNumId w:val="13"/>
  </w:num>
  <w:num w:numId="16">
    <w:abstractNumId w:val="15"/>
  </w:num>
  <w:num w:numId="17">
    <w:abstractNumId w:val="24"/>
  </w:num>
  <w:num w:numId="18">
    <w:abstractNumId w:val="17"/>
  </w:num>
  <w:num w:numId="19">
    <w:abstractNumId w:val="10"/>
  </w:num>
  <w:num w:numId="20">
    <w:abstractNumId w:val="18"/>
  </w:num>
  <w:num w:numId="21">
    <w:abstractNumId w:val="16"/>
  </w:num>
  <w:num w:numId="22">
    <w:abstractNumId w:val="25"/>
  </w:num>
  <w:num w:numId="23">
    <w:abstractNumId w:val="5"/>
  </w:num>
  <w:num w:numId="24">
    <w:abstractNumId w:val="22"/>
  </w:num>
  <w:num w:numId="25">
    <w:abstractNumId w:val="19"/>
  </w:num>
  <w:num w:numId="26">
    <w:abstractNumId w:val="11"/>
  </w:num>
  <w:num w:numId="27">
    <w:abstractNumId w:val="12"/>
  </w:num>
  <w:num w:numId="2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2E76"/>
    <w:rsid w:val="0000008D"/>
    <w:rsid w:val="00000EAA"/>
    <w:rsid w:val="00001AA0"/>
    <w:rsid w:val="000078E9"/>
    <w:rsid w:val="00010FBC"/>
    <w:rsid w:val="00012BF4"/>
    <w:rsid w:val="0001315D"/>
    <w:rsid w:val="000131DC"/>
    <w:rsid w:val="00016425"/>
    <w:rsid w:val="00016E7E"/>
    <w:rsid w:val="000175AE"/>
    <w:rsid w:val="00020DA4"/>
    <w:rsid w:val="000235AF"/>
    <w:rsid w:val="0002362B"/>
    <w:rsid w:val="00024230"/>
    <w:rsid w:val="000257A7"/>
    <w:rsid w:val="000257C0"/>
    <w:rsid w:val="00026B56"/>
    <w:rsid w:val="0002747A"/>
    <w:rsid w:val="00032378"/>
    <w:rsid w:val="00032A1C"/>
    <w:rsid w:val="0003327A"/>
    <w:rsid w:val="000372BB"/>
    <w:rsid w:val="00040C82"/>
    <w:rsid w:val="000416A9"/>
    <w:rsid w:val="00041BC9"/>
    <w:rsid w:val="00043B92"/>
    <w:rsid w:val="000451B8"/>
    <w:rsid w:val="0004522F"/>
    <w:rsid w:val="000458E0"/>
    <w:rsid w:val="000463E2"/>
    <w:rsid w:val="00052B74"/>
    <w:rsid w:val="00052BA4"/>
    <w:rsid w:val="00052CF8"/>
    <w:rsid w:val="00053B8D"/>
    <w:rsid w:val="00054AFD"/>
    <w:rsid w:val="00055542"/>
    <w:rsid w:val="00056339"/>
    <w:rsid w:val="000608BE"/>
    <w:rsid w:val="000625CE"/>
    <w:rsid w:val="00063632"/>
    <w:rsid w:val="000639AA"/>
    <w:rsid w:val="0006457D"/>
    <w:rsid w:val="000649EB"/>
    <w:rsid w:val="00065BCF"/>
    <w:rsid w:val="00066680"/>
    <w:rsid w:val="00066886"/>
    <w:rsid w:val="000668A8"/>
    <w:rsid w:val="00067645"/>
    <w:rsid w:val="00072E68"/>
    <w:rsid w:val="000740A8"/>
    <w:rsid w:val="00074C7C"/>
    <w:rsid w:val="00077076"/>
    <w:rsid w:val="00077722"/>
    <w:rsid w:val="00080AC4"/>
    <w:rsid w:val="00084829"/>
    <w:rsid w:val="00086E78"/>
    <w:rsid w:val="0008702B"/>
    <w:rsid w:val="00091E26"/>
    <w:rsid w:val="000929B4"/>
    <w:rsid w:val="00092D87"/>
    <w:rsid w:val="00093566"/>
    <w:rsid w:val="000948B3"/>
    <w:rsid w:val="00096C45"/>
    <w:rsid w:val="00097FED"/>
    <w:rsid w:val="000A0B63"/>
    <w:rsid w:val="000A0C1A"/>
    <w:rsid w:val="000A2F16"/>
    <w:rsid w:val="000A3C50"/>
    <w:rsid w:val="000A3D4E"/>
    <w:rsid w:val="000A69B8"/>
    <w:rsid w:val="000B01D4"/>
    <w:rsid w:val="000B09EA"/>
    <w:rsid w:val="000B2394"/>
    <w:rsid w:val="000B2406"/>
    <w:rsid w:val="000B2FAB"/>
    <w:rsid w:val="000B48EA"/>
    <w:rsid w:val="000B72F4"/>
    <w:rsid w:val="000C2A95"/>
    <w:rsid w:val="000C30FD"/>
    <w:rsid w:val="000C44C2"/>
    <w:rsid w:val="000C4539"/>
    <w:rsid w:val="000C53DD"/>
    <w:rsid w:val="000C5823"/>
    <w:rsid w:val="000C6419"/>
    <w:rsid w:val="000C7450"/>
    <w:rsid w:val="000D0AE4"/>
    <w:rsid w:val="000D0CE7"/>
    <w:rsid w:val="000D12CD"/>
    <w:rsid w:val="000D2C70"/>
    <w:rsid w:val="000D40CB"/>
    <w:rsid w:val="000D57B3"/>
    <w:rsid w:val="000D69DE"/>
    <w:rsid w:val="000D6AB9"/>
    <w:rsid w:val="000D7037"/>
    <w:rsid w:val="000D71C1"/>
    <w:rsid w:val="000D7CEB"/>
    <w:rsid w:val="000E1506"/>
    <w:rsid w:val="000E1BF2"/>
    <w:rsid w:val="000E2153"/>
    <w:rsid w:val="000E2EF6"/>
    <w:rsid w:val="000E345F"/>
    <w:rsid w:val="000E789B"/>
    <w:rsid w:val="000E7D60"/>
    <w:rsid w:val="000F3FE0"/>
    <w:rsid w:val="000F47AA"/>
    <w:rsid w:val="000F5101"/>
    <w:rsid w:val="000F5635"/>
    <w:rsid w:val="000F5A22"/>
    <w:rsid w:val="000F6A0D"/>
    <w:rsid w:val="000F7F99"/>
    <w:rsid w:val="00100B28"/>
    <w:rsid w:val="0010132C"/>
    <w:rsid w:val="00103020"/>
    <w:rsid w:val="00106D21"/>
    <w:rsid w:val="00106D40"/>
    <w:rsid w:val="001109C2"/>
    <w:rsid w:val="00112047"/>
    <w:rsid w:val="00112A19"/>
    <w:rsid w:val="00113151"/>
    <w:rsid w:val="00114464"/>
    <w:rsid w:val="0011583C"/>
    <w:rsid w:val="00116C05"/>
    <w:rsid w:val="00117CB2"/>
    <w:rsid w:val="001212FD"/>
    <w:rsid w:val="001218DC"/>
    <w:rsid w:val="001244EB"/>
    <w:rsid w:val="00124A0A"/>
    <w:rsid w:val="00125E59"/>
    <w:rsid w:val="00131F3F"/>
    <w:rsid w:val="00133025"/>
    <w:rsid w:val="0013451F"/>
    <w:rsid w:val="00140F76"/>
    <w:rsid w:val="001419E4"/>
    <w:rsid w:val="00142290"/>
    <w:rsid w:val="001427A5"/>
    <w:rsid w:val="00143D5A"/>
    <w:rsid w:val="00146EC1"/>
    <w:rsid w:val="00151499"/>
    <w:rsid w:val="00155749"/>
    <w:rsid w:val="00161877"/>
    <w:rsid w:val="00162976"/>
    <w:rsid w:val="00163274"/>
    <w:rsid w:val="00163A6E"/>
    <w:rsid w:val="001645A4"/>
    <w:rsid w:val="00166319"/>
    <w:rsid w:val="00171CE0"/>
    <w:rsid w:val="00172322"/>
    <w:rsid w:val="001748FF"/>
    <w:rsid w:val="00176B8D"/>
    <w:rsid w:val="0017792C"/>
    <w:rsid w:val="0018007F"/>
    <w:rsid w:val="001817EE"/>
    <w:rsid w:val="00182F37"/>
    <w:rsid w:val="0018358C"/>
    <w:rsid w:val="00184391"/>
    <w:rsid w:val="00185BF5"/>
    <w:rsid w:val="0018614F"/>
    <w:rsid w:val="001861D5"/>
    <w:rsid w:val="0018631A"/>
    <w:rsid w:val="00186F04"/>
    <w:rsid w:val="00187EF8"/>
    <w:rsid w:val="00191216"/>
    <w:rsid w:val="001921DC"/>
    <w:rsid w:val="001946A4"/>
    <w:rsid w:val="00194FD0"/>
    <w:rsid w:val="00197D6B"/>
    <w:rsid w:val="001A132E"/>
    <w:rsid w:val="001A386F"/>
    <w:rsid w:val="001A4E34"/>
    <w:rsid w:val="001A50F7"/>
    <w:rsid w:val="001A6431"/>
    <w:rsid w:val="001B135E"/>
    <w:rsid w:val="001B3B6F"/>
    <w:rsid w:val="001B7D42"/>
    <w:rsid w:val="001C1952"/>
    <w:rsid w:val="001C33F5"/>
    <w:rsid w:val="001C3829"/>
    <w:rsid w:val="001C49BD"/>
    <w:rsid w:val="001C7A67"/>
    <w:rsid w:val="001D22C4"/>
    <w:rsid w:val="001D270E"/>
    <w:rsid w:val="001D2B22"/>
    <w:rsid w:val="001D3A2B"/>
    <w:rsid w:val="001D4318"/>
    <w:rsid w:val="001D68E2"/>
    <w:rsid w:val="001D759A"/>
    <w:rsid w:val="001E3077"/>
    <w:rsid w:val="001E6EDA"/>
    <w:rsid w:val="001F0A27"/>
    <w:rsid w:val="001F6B6D"/>
    <w:rsid w:val="002003C4"/>
    <w:rsid w:val="00200EC6"/>
    <w:rsid w:val="00201632"/>
    <w:rsid w:val="00201EB8"/>
    <w:rsid w:val="00202B47"/>
    <w:rsid w:val="00205C1B"/>
    <w:rsid w:val="00205CD3"/>
    <w:rsid w:val="00205F21"/>
    <w:rsid w:val="00206D84"/>
    <w:rsid w:val="002109FB"/>
    <w:rsid w:val="002128A6"/>
    <w:rsid w:val="002200AD"/>
    <w:rsid w:val="0022274E"/>
    <w:rsid w:val="002234D7"/>
    <w:rsid w:val="002245A9"/>
    <w:rsid w:val="00232B37"/>
    <w:rsid w:val="00233DB9"/>
    <w:rsid w:val="00235031"/>
    <w:rsid w:val="002370E4"/>
    <w:rsid w:val="00243D4F"/>
    <w:rsid w:val="00243FF7"/>
    <w:rsid w:val="00244055"/>
    <w:rsid w:val="00246154"/>
    <w:rsid w:val="002466C7"/>
    <w:rsid w:val="002505AD"/>
    <w:rsid w:val="0025100A"/>
    <w:rsid w:val="00252B84"/>
    <w:rsid w:val="00253FE1"/>
    <w:rsid w:val="00254F7A"/>
    <w:rsid w:val="00255687"/>
    <w:rsid w:val="00255ACF"/>
    <w:rsid w:val="00256BEC"/>
    <w:rsid w:val="00256D61"/>
    <w:rsid w:val="002576A4"/>
    <w:rsid w:val="002577E7"/>
    <w:rsid w:val="002609AC"/>
    <w:rsid w:val="00260A19"/>
    <w:rsid w:val="0026125F"/>
    <w:rsid w:val="00264DF5"/>
    <w:rsid w:val="00265099"/>
    <w:rsid w:val="002661D4"/>
    <w:rsid w:val="00266A77"/>
    <w:rsid w:val="002679BC"/>
    <w:rsid w:val="00271BC7"/>
    <w:rsid w:val="00271F01"/>
    <w:rsid w:val="00272072"/>
    <w:rsid w:val="002723E4"/>
    <w:rsid w:val="00272A27"/>
    <w:rsid w:val="00273070"/>
    <w:rsid w:val="002730B2"/>
    <w:rsid w:val="00274673"/>
    <w:rsid w:val="00275241"/>
    <w:rsid w:val="0027720B"/>
    <w:rsid w:val="002807CA"/>
    <w:rsid w:val="00280C48"/>
    <w:rsid w:val="00280D6B"/>
    <w:rsid w:val="002813CC"/>
    <w:rsid w:val="00283F39"/>
    <w:rsid w:val="002840F2"/>
    <w:rsid w:val="00284737"/>
    <w:rsid w:val="00285F1D"/>
    <w:rsid w:val="00286C7B"/>
    <w:rsid w:val="002875D7"/>
    <w:rsid w:val="00287F73"/>
    <w:rsid w:val="00290892"/>
    <w:rsid w:val="00291451"/>
    <w:rsid w:val="00292CAD"/>
    <w:rsid w:val="002939E2"/>
    <w:rsid w:val="00294906"/>
    <w:rsid w:val="002A0219"/>
    <w:rsid w:val="002A10E4"/>
    <w:rsid w:val="002A2802"/>
    <w:rsid w:val="002A3A13"/>
    <w:rsid w:val="002A3D9D"/>
    <w:rsid w:val="002A5801"/>
    <w:rsid w:val="002B2A68"/>
    <w:rsid w:val="002B3318"/>
    <w:rsid w:val="002B3865"/>
    <w:rsid w:val="002B53EF"/>
    <w:rsid w:val="002B63DD"/>
    <w:rsid w:val="002C0504"/>
    <w:rsid w:val="002C0FC7"/>
    <w:rsid w:val="002C1876"/>
    <w:rsid w:val="002C25D5"/>
    <w:rsid w:val="002C60C6"/>
    <w:rsid w:val="002C640F"/>
    <w:rsid w:val="002C67FF"/>
    <w:rsid w:val="002C6CA6"/>
    <w:rsid w:val="002D1528"/>
    <w:rsid w:val="002D2440"/>
    <w:rsid w:val="002D3E70"/>
    <w:rsid w:val="002D4B3C"/>
    <w:rsid w:val="002D6BB1"/>
    <w:rsid w:val="002D7D8B"/>
    <w:rsid w:val="002E0B7B"/>
    <w:rsid w:val="002E0D4E"/>
    <w:rsid w:val="002E4D95"/>
    <w:rsid w:val="002E4EA9"/>
    <w:rsid w:val="002E590F"/>
    <w:rsid w:val="002F4158"/>
    <w:rsid w:val="002F594B"/>
    <w:rsid w:val="002F6149"/>
    <w:rsid w:val="002F73B1"/>
    <w:rsid w:val="00303148"/>
    <w:rsid w:val="00304FBF"/>
    <w:rsid w:val="00306890"/>
    <w:rsid w:val="00307CAE"/>
    <w:rsid w:val="00307DC4"/>
    <w:rsid w:val="00310D77"/>
    <w:rsid w:val="00313855"/>
    <w:rsid w:val="00314FDE"/>
    <w:rsid w:val="00315CBE"/>
    <w:rsid w:val="003166B3"/>
    <w:rsid w:val="00320061"/>
    <w:rsid w:val="00321499"/>
    <w:rsid w:val="0032211D"/>
    <w:rsid w:val="0032249A"/>
    <w:rsid w:val="00325E55"/>
    <w:rsid w:val="003267A5"/>
    <w:rsid w:val="00326AF6"/>
    <w:rsid w:val="0033180A"/>
    <w:rsid w:val="00333822"/>
    <w:rsid w:val="00333DBB"/>
    <w:rsid w:val="00334685"/>
    <w:rsid w:val="0033525E"/>
    <w:rsid w:val="00340042"/>
    <w:rsid w:val="00340268"/>
    <w:rsid w:val="00344212"/>
    <w:rsid w:val="00345849"/>
    <w:rsid w:val="00345B90"/>
    <w:rsid w:val="00346286"/>
    <w:rsid w:val="00347AF9"/>
    <w:rsid w:val="00351B5C"/>
    <w:rsid w:val="00351BE5"/>
    <w:rsid w:val="00353646"/>
    <w:rsid w:val="00354AA6"/>
    <w:rsid w:val="0036015B"/>
    <w:rsid w:val="00362704"/>
    <w:rsid w:val="0036390C"/>
    <w:rsid w:val="00363CA8"/>
    <w:rsid w:val="0036418F"/>
    <w:rsid w:val="00364807"/>
    <w:rsid w:val="0036521A"/>
    <w:rsid w:val="0036760E"/>
    <w:rsid w:val="00373D00"/>
    <w:rsid w:val="00373DD8"/>
    <w:rsid w:val="00375307"/>
    <w:rsid w:val="00376AFA"/>
    <w:rsid w:val="00377024"/>
    <w:rsid w:val="0037743F"/>
    <w:rsid w:val="00377D9F"/>
    <w:rsid w:val="00380CCB"/>
    <w:rsid w:val="00381155"/>
    <w:rsid w:val="0038180E"/>
    <w:rsid w:val="00382343"/>
    <w:rsid w:val="0038392A"/>
    <w:rsid w:val="0038459B"/>
    <w:rsid w:val="00384CAF"/>
    <w:rsid w:val="00384E97"/>
    <w:rsid w:val="003857B3"/>
    <w:rsid w:val="00392B71"/>
    <w:rsid w:val="003934A3"/>
    <w:rsid w:val="00393AA5"/>
    <w:rsid w:val="003950DC"/>
    <w:rsid w:val="00395479"/>
    <w:rsid w:val="0039698B"/>
    <w:rsid w:val="003A26C7"/>
    <w:rsid w:val="003A4AC6"/>
    <w:rsid w:val="003A5D1F"/>
    <w:rsid w:val="003A7667"/>
    <w:rsid w:val="003B0304"/>
    <w:rsid w:val="003B1788"/>
    <w:rsid w:val="003B319C"/>
    <w:rsid w:val="003B48A7"/>
    <w:rsid w:val="003B5076"/>
    <w:rsid w:val="003B64A4"/>
    <w:rsid w:val="003B7FE9"/>
    <w:rsid w:val="003C0848"/>
    <w:rsid w:val="003C1F17"/>
    <w:rsid w:val="003C2EAE"/>
    <w:rsid w:val="003C3DFC"/>
    <w:rsid w:val="003C4611"/>
    <w:rsid w:val="003C55B1"/>
    <w:rsid w:val="003C5E19"/>
    <w:rsid w:val="003C7904"/>
    <w:rsid w:val="003D0286"/>
    <w:rsid w:val="003D17BB"/>
    <w:rsid w:val="003D1826"/>
    <w:rsid w:val="003D19A9"/>
    <w:rsid w:val="003D3D96"/>
    <w:rsid w:val="003D4499"/>
    <w:rsid w:val="003D4C4A"/>
    <w:rsid w:val="003D4D4C"/>
    <w:rsid w:val="003D4EF9"/>
    <w:rsid w:val="003E11EA"/>
    <w:rsid w:val="003E7306"/>
    <w:rsid w:val="003F1B6C"/>
    <w:rsid w:val="003F1C2B"/>
    <w:rsid w:val="003F2856"/>
    <w:rsid w:val="003F2A08"/>
    <w:rsid w:val="003F30F3"/>
    <w:rsid w:val="003F33B0"/>
    <w:rsid w:val="003F52C0"/>
    <w:rsid w:val="003F652D"/>
    <w:rsid w:val="00400D91"/>
    <w:rsid w:val="00403081"/>
    <w:rsid w:val="00403C59"/>
    <w:rsid w:val="00403D48"/>
    <w:rsid w:val="00404575"/>
    <w:rsid w:val="00404829"/>
    <w:rsid w:val="00406C46"/>
    <w:rsid w:val="00406FF1"/>
    <w:rsid w:val="00407054"/>
    <w:rsid w:val="004072DC"/>
    <w:rsid w:val="00414512"/>
    <w:rsid w:val="004200CA"/>
    <w:rsid w:val="00420CFE"/>
    <w:rsid w:val="00422BC2"/>
    <w:rsid w:val="0042550B"/>
    <w:rsid w:val="00425822"/>
    <w:rsid w:val="00425EE0"/>
    <w:rsid w:val="00425F1B"/>
    <w:rsid w:val="00425F66"/>
    <w:rsid w:val="004306DD"/>
    <w:rsid w:val="00430FAA"/>
    <w:rsid w:val="00430FC5"/>
    <w:rsid w:val="00431189"/>
    <w:rsid w:val="0043214E"/>
    <w:rsid w:val="004329FF"/>
    <w:rsid w:val="00432C81"/>
    <w:rsid w:val="00436EDB"/>
    <w:rsid w:val="004402A6"/>
    <w:rsid w:val="00440FA9"/>
    <w:rsid w:val="00441E23"/>
    <w:rsid w:val="00447899"/>
    <w:rsid w:val="00447C69"/>
    <w:rsid w:val="004526E1"/>
    <w:rsid w:val="004561B8"/>
    <w:rsid w:val="0045757A"/>
    <w:rsid w:val="00460639"/>
    <w:rsid w:val="00460C86"/>
    <w:rsid w:val="00460EC4"/>
    <w:rsid w:val="0046105E"/>
    <w:rsid w:val="00462D99"/>
    <w:rsid w:val="00465978"/>
    <w:rsid w:val="00465FBB"/>
    <w:rsid w:val="004663D8"/>
    <w:rsid w:val="00466F03"/>
    <w:rsid w:val="0047251C"/>
    <w:rsid w:val="00474234"/>
    <w:rsid w:val="00474343"/>
    <w:rsid w:val="00474570"/>
    <w:rsid w:val="00474791"/>
    <w:rsid w:val="00474858"/>
    <w:rsid w:val="004752AF"/>
    <w:rsid w:val="0047554A"/>
    <w:rsid w:val="00476A12"/>
    <w:rsid w:val="004855CE"/>
    <w:rsid w:val="004855E9"/>
    <w:rsid w:val="00486BD8"/>
    <w:rsid w:val="00486D3B"/>
    <w:rsid w:val="00487012"/>
    <w:rsid w:val="00490165"/>
    <w:rsid w:val="0049103F"/>
    <w:rsid w:val="004911B9"/>
    <w:rsid w:val="004931A7"/>
    <w:rsid w:val="00493D90"/>
    <w:rsid w:val="0049435C"/>
    <w:rsid w:val="0049649A"/>
    <w:rsid w:val="004A0786"/>
    <w:rsid w:val="004A54DF"/>
    <w:rsid w:val="004A6C81"/>
    <w:rsid w:val="004B0F96"/>
    <w:rsid w:val="004B10D1"/>
    <w:rsid w:val="004B20A0"/>
    <w:rsid w:val="004B2253"/>
    <w:rsid w:val="004B2428"/>
    <w:rsid w:val="004B3273"/>
    <w:rsid w:val="004B348A"/>
    <w:rsid w:val="004B46D6"/>
    <w:rsid w:val="004B4969"/>
    <w:rsid w:val="004B5C56"/>
    <w:rsid w:val="004B5FE7"/>
    <w:rsid w:val="004B6FBB"/>
    <w:rsid w:val="004C04D7"/>
    <w:rsid w:val="004C2CE3"/>
    <w:rsid w:val="004C534B"/>
    <w:rsid w:val="004C6979"/>
    <w:rsid w:val="004C6C04"/>
    <w:rsid w:val="004D3420"/>
    <w:rsid w:val="004D5961"/>
    <w:rsid w:val="004D645B"/>
    <w:rsid w:val="004D67F0"/>
    <w:rsid w:val="004D7FC9"/>
    <w:rsid w:val="004E07DD"/>
    <w:rsid w:val="004E0BE2"/>
    <w:rsid w:val="004E6788"/>
    <w:rsid w:val="004E6B86"/>
    <w:rsid w:val="004F0128"/>
    <w:rsid w:val="004F0B0E"/>
    <w:rsid w:val="004F2CA7"/>
    <w:rsid w:val="004F300B"/>
    <w:rsid w:val="004F42C6"/>
    <w:rsid w:val="004F7D10"/>
    <w:rsid w:val="00500873"/>
    <w:rsid w:val="00501794"/>
    <w:rsid w:val="00503EF4"/>
    <w:rsid w:val="00504018"/>
    <w:rsid w:val="005046F3"/>
    <w:rsid w:val="00505BAC"/>
    <w:rsid w:val="00506883"/>
    <w:rsid w:val="005105D2"/>
    <w:rsid w:val="00510763"/>
    <w:rsid w:val="00510B3C"/>
    <w:rsid w:val="00511324"/>
    <w:rsid w:val="00511804"/>
    <w:rsid w:val="00512ADD"/>
    <w:rsid w:val="005140A5"/>
    <w:rsid w:val="00516DAC"/>
    <w:rsid w:val="00517B78"/>
    <w:rsid w:val="00517FFB"/>
    <w:rsid w:val="00520209"/>
    <w:rsid w:val="00521EA7"/>
    <w:rsid w:val="00526463"/>
    <w:rsid w:val="0052678F"/>
    <w:rsid w:val="00527027"/>
    <w:rsid w:val="0053095C"/>
    <w:rsid w:val="00530F33"/>
    <w:rsid w:val="00533AE7"/>
    <w:rsid w:val="00533E2B"/>
    <w:rsid w:val="0053408A"/>
    <w:rsid w:val="00535709"/>
    <w:rsid w:val="005362E3"/>
    <w:rsid w:val="005379B3"/>
    <w:rsid w:val="005407EF"/>
    <w:rsid w:val="00543342"/>
    <w:rsid w:val="005434A8"/>
    <w:rsid w:val="00546A35"/>
    <w:rsid w:val="00551A79"/>
    <w:rsid w:val="00554692"/>
    <w:rsid w:val="00554A84"/>
    <w:rsid w:val="00555FC2"/>
    <w:rsid w:val="005560CF"/>
    <w:rsid w:val="00557EEE"/>
    <w:rsid w:val="00560392"/>
    <w:rsid w:val="0056080C"/>
    <w:rsid w:val="005625E1"/>
    <w:rsid w:val="00562D78"/>
    <w:rsid w:val="00562E14"/>
    <w:rsid w:val="00563229"/>
    <w:rsid w:val="005639C7"/>
    <w:rsid w:val="00563A07"/>
    <w:rsid w:val="005676C1"/>
    <w:rsid w:val="00570CCE"/>
    <w:rsid w:val="00572AF8"/>
    <w:rsid w:val="00572CE5"/>
    <w:rsid w:val="005732BB"/>
    <w:rsid w:val="00573AAF"/>
    <w:rsid w:val="0057439F"/>
    <w:rsid w:val="0057451E"/>
    <w:rsid w:val="00574839"/>
    <w:rsid w:val="005749BE"/>
    <w:rsid w:val="00574CA1"/>
    <w:rsid w:val="00575789"/>
    <w:rsid w:val="005766FF"/>
    <w:rsid w:val="005767D3"/>
    <w:rsid w:val="005771AF"/>
    <w:rsid w:val="005771D0"/>
    <w:rsid w:val="005810AD"/>
    <w:rsid w:val="00581B23"/>
    <w:rsid w:val="00583A02"/>
    <w:rsid w:val="00585073"/>
    <w:rsid w:val="005872A9"/>
    <w:rsid w:val="005900C1"/>
    <w:rsid w:val="005903F2"/>
    <w:rsid w:val="00590CD7"/>
    <w:rsid w:val="005939AC"/>
    <w:rsid w:val="00593DD7"/>
    <w:rsid w:val="0059516B"/>
    <w:rsid w:val="00596E83"/>
    <w:rsid w:val="00596F85"/>
    <w:rsid w:val="005A0923"/>
    <w:rsid w:val="005A0985"/>
    <w:rsid w:val="005A3C82"/>
    <w:rsid w:val="005A3EDA"/>
    <w:rsid w:val="005A45C3"/>
    <w:rsid w:val="005B03EB"/>
    <w:rsid w:val="005B4696"/>
    <w:rsid w:val="005B7604"/>
    <w:rsid w:val="005C0DD5"/>
    <w:rsid w:val="005C3ADE"/>
    <w:rsid w:val="005C3DCD"/>
    <w:rsid w:val="005C5AFB"/>
    <w:rsid w:val="005C7005"/>
    <w:rsid w:val="005D0773"/>
    <w:rsid w:val="005D0D9D"/>
    <w:rsid w:val="005D146A"/>
    <w:rsid w:val="005D4E65"/>
    <w:rsid w:val="005D5272"/>
    <w:rsid w:val="005D64D1"/>
    <w:rsid w:val="005D72F2"/>
    <w:rsid w:val="005D74C7"/>
    <w:rsid w:val="005D75B8"/>
    <w:rsid w:val="005E1A2A"/>
    <w:rsid w:val="005E258B"/>
    <w:rsid w:val="005E2F26"/>
    <w:rsid w:val="005E4221"/>
    <w:rsid w:val="005E475F"/>
    <w:rsid w:val="005E529D"/>
    <w:rsid w:val="005E6402"/>
    <w:rsid w:val="005E7CB7"/>
    <w:rsid w:val="005F391B"/>
    <w:rsid w:val="005F55FB"/>
    <w:rsid w:val="005F5919"/>
    <w:rsid w:val="0060423C"/>
    <w:rsid w:val="00604FF2"/>
    <w:rsid w:val="00614D35"/>
    <w:rsid w:val="0061665A"/>
    <w:rsid w:val="0062130B"/>
    <w:rsid w:val="006227AF"/>
    <w:rsid w:val="00622FEF"/>
    <w:rsid w:val="00623492"/>
    <w:rsid w:val="00623D3C"/>
    <w:rsid w:val="00623EF8"/>
    <w:rsid w:val="006274A2"/>
    <w:rsid w:val="00627573"/>
    <w:rsid w:val="006321CD"/>
    <w:rsid w:val="00632B36"/>
    <w:rsid w:val="00633888"/>
    <w:rsid w:val="00635030"/>
    <w:rsid w:val="00635575"/>
    <w:rsid w:val="006369C6"/>
    <w:rsid w:val="00637542"/>
    <w:rsid w:val="00637ED8"/>
    <w:rsid w:val="00641943"/>
    <w:rsid w:val="00645AC4"/>
    <w:rsid w:val="00646249"/>
    <w:rsid w:val="00650747"/>
    <w:rsid w:val="00650B0C"/>
    <w:rsid w:val="00651116"/>
    <w:rsid w:val="006511EE"/>
    <w:rsid w:val="006528B2"/>
    <w:rsid w:val="00655133"/>
    <w:rsid w:val="00655EB3"/>
    <w:rsid w:val="006564D9"/>
    <w:rsid w:val="00656C60"/>
    <w:rsid w:val="00656DBA"/>
    <w:rsid w:val="006578B4"/>
    <w:rsid w:val="00660F4A"/>
    <w:rsid w:val="00663A70"/>
    <w:rsid w:val="0066559A"/>
    <w:rsid w:val="0066592A"/>
    <w:rsid w:val="0067079A"/>
    <w:rsid w:val="00670F9A"/>
    <w:rsid w:val="006745FB"/>
    <w:rsid w:val="00674996"/>
    <w:rsid w:val="00675A25"/>
    <w:rsid w:val="00677324"/>
    <w:rsid w:val="00677DAD"/>
    <w:rsid w:val="00677E47"/>
    <w:rsid w:val="00682EFA"/>
    <w:rsid w:val="006834F9"/>
    <w:rsid w:val="0068487E"/>
    <w:rsid w:val="00686717"/>
    <w:rsid w:val="006910F3"/>
    <w:rsid w:val="00691602"/>
    <w:rsid w:val="00692422"/>
    <w:rsid w:val="006944BB"/>
    <w:rsid w:val="006951CD"/>
    <w:rsid w:val="00695C72"/>
    <w:rsid w:val="006960C7"/>
    <w:rsid w:val="006A0DF3"/>
    <w:rsid w:val="006A1522"/>
    <w:rsid w:val="006A21EA"/>
    <w:rsid w:val="006A5849"/>
    <w:rsid w:val="006A6EE1"/>
    <w:rsid w:val="006A7158"/>
    <w:rsid w:val="006B4CDF"/>
    <w:rsid w:val="006B52FA"/>
    <w:rsid w:val="006B688F"/>
    <w:rsid w:val="006C0CDF"/>
    <w:rsid w:val="006C43F6"/>
    <w:rsid w:val="006C56E6"/>
    <w:rsid w:val="006D5EA2"/>
    <w:rsid w:val="006D7323"/>
    <w:rsid w:val="006E04A7"/>
    <w:rsid w:val="006E0670"/>
    <w:rsid w:val="006E175E"/>
    <w:rsid w:val="006E1FBF"/>
    <w:rsid w:val="006E53C1"/>
    <w:rsid w:val="006F0D0F"/>
    <w:rsid w:val="006F0D9A"/>
    <w:rsid w:val="006F1CB2"/>
    <w:rsid w:val="006F208D"/>
    <w:rsid w:val="006F4E34"/>
    <w:rsid w:val="006F6C76"/>
    <w:rsid w:val="006F6FD1"/>
    <w:rsid w:val="007045A1"/>
    <w:rsid w:val="00710D95"/>
    <w:rsid w:val="007122AF"/>
    <w:rsid w:val="007144B0"/>
    <w:rsid w:val="007148AA"/>
    <w:rsid w:val="007173FD"/>
    <w:rsid w:val="00717845"/>
    <w:rsid w:val="007179DA"/>
    <w:rsid w:val="007211CC"/>
    <w:rsid w:val="00721280"/>
    <w:rsid w:val="00721C29"/>
    <w:rsid w:val="00722E7C"/>
    <w:rsid w:val="0072316D"/>
    <w:rsid w:val="00723260"/>
    <w:rsid w:val="0072571A"/>
    <w:rsid w:val="0073578D"/>
    <w:rsid w:val="00737D5D"/>
    <w:rsid w:val="00737E2E"/>
    <w:rsid w:val="00740C2D"/>
    <w:rsid w:val="007413D3"/>
    <w:rsid w:val="00742650"/>
    <w:rsid w:val="007430E1"/>
    <w:rsid w:val="0074366E"/>
    <w:rsid w:val="00744454"/>
    <w:rsid w:val="00745164"/>
    <w:rsid w:val="00745496"/>
    <w:rsid w:val="007454CA"/>
    <w:rsid w:val="00745B79"/>
    <w:rsid w:val="00750433"/>
    <w:rsid w:val="00750730"/>
    <w:rsid w:val="00750901"/>
    <w:rsid w:val="007515F3"/>
    <w:rsid w:val="00754851"/>
    <w:rsid w:val="0075756A"/>
    <w:rsid w:val="00757AF9"/>
    <w:rsid w:val="007610B9"/>
    <w:rsid w:val="00761D1B"/>
    <w:rsid w:val="00761D22"/>
    <w:rsid w:val="00766D41"/>
    <w:rsid w:val="00767209"/>
    <w:rsid w:val="00775D82"/>
    <w:rsid w:val="00776B0E"/>
    <w:rsid w:val="00776C2D"/>
    <w:rsid w:val="00780054"/>
    <w:rsid w:val="007817D2"/>
    <w:rsid w:val="007830A7"/>
    <w:rsid w:val="00783488"/>
    <w:rsid w:val="00785F68"/>
    <w:rsid w:val="00786845"/>
    <w:rsid w:val="00787A65"/>
    <w:rsid w:val="00792A5E"/>
    <w:rsid w:val="00794895"/>
    <w:rsid w:val="00795D6F"/>
    <w:rsid w:val="007A10D4"/>
    <w:rsid w:val="007A1C92"/>
    <w:rsid w:val="007A2F0A"/>
    <w:rsid w:val="007A4705"/>
    <w:rsid w:val="007A4938"/>
    <w:rsid w:val="007A4AAF"/>
    <w:rsid w:val="007A5596"/>
    <w:rsid w:val="007A692C"/>
    <w:rsid w:val="007A6A78"/>
    <w:rsid w:val="007A716C"/>
    <w:rsid w:val="007B1E7B"/>
    <w:rsid w:val="007B254D"/>
    <w:rsid w:val="007B29DA"/>
    <w:rsid w:val="007B2BBF"/>
    <w:rsid w:val="007B3077"/>
    <w:rsid w:val="007B3640"/>
    <w:rsid w:val="007B4CB8"/>
    <w:rsid w:val="007B4FD2"/>
    <w:rsid w:val="007B54EB"/>
    <w:rsid w:val="007B5B50"/>
    <w:rsid w:val="007B5F54"/>
    <w:rsid w:val="007B64F1"/>
    <w:rsid w:val="007B660A"/>
    <w:rsid w:val="007B66A0"/>
    <w:rsid w:val="007B708B"/>
    <w:rsid w:val="007B71B4"/>
    <w:rsid w:val="007B73A9"/>
    <w:rsid w:val="007C0497"/>
    <w:rsid w:val="007C05C3"/>
    <w:rsid w:val="007C06AB"/>
    <w:rsid w:val="007C3785"/>
    <w:rsid w:val="007D16DE"/>
    <w:rsid w:val="007D33E8"/>
    <w:rsid w:val="007D33F8"/>
    <w:rsid w:val="007D380E"/>
    <w:rsid w:val="007D429D"/>
    <w:rsid w:val="007D48CD"/>
    <w:rsid w:val="007D6719"/>
    <w:rsid w:val="007E1CEC"/>
    <w:rsid w:val="007E28F0"/>
    <w:rsid w:val="007E4AE0"/>
    <w:rsid w:val="007E5B01"/>
    <w:rsid w:val="007E6544"/>
    <w:rsid w:val="007E73F3"/>
    <w:rsid w:val="007F1C2E"/>
    <w:rsid w:val="007F2D87"/>
    <w:rsid w:val="007F318E"/>
    <w:rsid w:val="007F3972"/>
    <w:rsid w:val="007F5E89"/>
    <w:rsid w:val="007F60D3"/>
    <w:rsid w:val="007F730B"/>
    <w:rsid w:val="00800CDD"/>
    <w:rsid w:val="00802D4A"/>
    <w:rsid w:val="00803CB3"/>
    <w:rsid w:val="00803CD8"/>
    <w:rsid w:val="0080431C"/>
    <w:rsid w:val="008116D3"/>
    <w:rsid w:val="00813555"/>
    <w:rsid w:val="00813694"/>
    <w:rsid w:val="00815301"/>
    <w:rsid w:val="0081641D"/>
    <w:rsid w:val="00823D46"/>
    <w:rsid w:val="00824402"/>
    <w:rsid w:val="00830F20"/>
    <w:rsid w:val="00833DCA"/>
    <w:rsid w:val="00840C7F"/>
    <w:rsid w:val="0084290B"/>
    <w:rsid w:val="00846805"/>
    <w:rsid w:val="00850815"/>
    <w:rsid w:val="0085150B"/>
    <w:rsid w:val="00852CC3"/>
    <w:rsid w:val="008547E9"/>
    <w:rsid w:val="00854FAC"/>
    <w:rsid w:val="00857314"/>
    <w:rsid w:val="00860B70"/>
    <w:rsid w:val="00860D5F"/>
    <w:rsid w:val="008636A5"/>
    <w:rsid w:val="00865D33"/>
    <w:rsid w:val="008661EA"/>
    <w:rsid w:val="00870A87"/>
    <w:rsid w:val="00872A55"/>
    <w:rsid w:val="00874A03"/>
    <w:rsid w:val="00874C2F"/>
    <w:rsid w:val="00874CF2"/>
    <w:rsid w:val="008761C1"/>
    <w:rsid w:val="008826A2"/>
    <w:rsid w:val="00886D03"/>
    <w:rsid w:val="0088747D"/>
    <w:rsid w:val="00894529"/>
    <w:rsid w:val="00894A63"/>
    <w:rsid w:val="0089655B"/>
    <w:rsid w:val="008A4736"/>
    <w:rsid w:val="008B121A"/>
    <w:rsid w:val="008B3137"/>
    <w:rsid w:val="008B4CB1"/>
    <w:rsid w:val="008B5563"/>
    <w:rsid w:val="008B667D"/>
    <w:rsid w:val="008B7147"/>
    <w:rsid w:val="008B7EE9"/>
    <w:rsid w:val="008C1814"/>
    <w:rsid w:val="008D09E6"/>
    <w:rsid w:val="008D172E"/>
    <w:rsid w:val="008D224E"/>
    <w:rsid w:val="008D5482"/>
    <w:rsid w:val="008D75CF"/>
    <w:rsid w:val="008D78FC"/>
    <w:rsid w:val="008D79EB"/>
    <w:rsid w:val="008E009D"/>
    <w:rsid w:val="008E0C36"/>
    <w:rsid w:val="008E0D4E"/>
    <w:rsid w:val="008E16D4"/>
    <w:rsid w:val="008E2677"/>
    <w:rsid w:val="008E410C"/>
    <w:rsid w:val="008E4A39"/>
    <w:rsid w:val="008E5EE5"/>
    <w:rsid w:val="008F07C2"/>
    <w:rsid w:val="008F1C8B"/>
    <w:rsid w:val="008F3335"/>
    <w:rsid w:val="008F4867"/>
    <w:rsid w:val="008F70B0"/>
    <w:rsid w:val="008F7805"/>
    <w:rsid w:val="008F7C5B"/>
    <w:rsid w:val="008F7EC5"/>
    <w:rsid w:val="00901209"/>
    <w:rsid w:val="00902651"/>
    <w:rsid w:val="00903744"/>
    <w:rsid w:val="00903C9E"/>
    <w:rsid w:val="0090462C"/>
    <w:rsid w:val="0090474E"/>
    <w:rsid w:val="00905186"/>
    <w:rsid w:val="00905644"/>
    <w:rsid w:val="00906DA4"/>
    <w:rsid w:val="00911C86"/>
    <w:rsid w:val="009123C8"/>
    <w:rsid w:val="00912864"/>
    <w:rsid w:val="00912B8C"/>
    <w:rsid w:val="009143D5"/>
    <w:rsid w:val="0091506F"/>
    <w:rsid w:val="009155AD"/>
    <w:rsid w:val="00915E6C"/>
    <w:rsid w:val="0091688B"/>
    <w:rsid w:val="00916ADD"/>
    <w:rsid w:val="00921208"/>
    <w:rsid w:val="0092137D"/>
    <w:rsid w:val="009236F3"/>
    <w:rsid w:val="00924DC3"/>
    <w:rsid w:val="0092600C"/>
    <w:rsid w:val="00927231"/>
    <w:rsid w:val="00930609"/>
    <w:rsid w:val="00931B64"/>
    <w:rsid w:val="00932E1B"/>
    <w:rsid w:val="0093412D"/>
    <w:rsid w:val="00936119"/>
    <w:rsid w:val="0093763B"/>
    <w:rsid w:val="00937F9D"/>
    <w:rsid w:val="0094108D"/>
    <w:rsid w:val="00941286"/>
    <w:rsid w:val="00941D2C"/>
    <w:rsid w:val="009429A2"/>
    <w:rsid w:val="00944954"/>
    <w:rsid w:val="00944C9B"/>
    <w:rsid w:val="00945CB6"/>
    <w:rsid w:val="0094632B"/>
    <w:rsid w:val="0094655E"/>
    <w:rsid w:val="00950B14"/>
    <w:rsid w:val="00951420"/>
    <w:rsid w:val="0095193E"/>
    <w:rsid w:val="00951DF1"/>
    <w:rsid w:val="00954096"/>
    <w:rsid w:val="009550D1"/>
    <w:rsid w:val="009551FD"/>
    <w:rsid w:val="009574AE"/>
    <w:rsid w:val="00957574"/>
    <w:rsid w:val="009606FF"/>
    <w:rsid w:val="00961B28"/>
    <w:rsid w:val="00961C82"/>
    <w:rsid w:val="00962437"/>
    <w:rsid w:val="00964A41"/>
    <w:rsid w:val="0096519D"/>
    <w:rsid w:val="009677D5"/>
    <w:rsid w:val="0096785F"/>
    <w:rsid w:val="00970DFB"/>
    <w:rsid w:val="009712AD"/>
    <w:rsid w:val="00972743"/>
    <w:rsid w:val="00972E76"/>
    <w:rsid w:val="00973553"/>
    <w:rsid w:val="0097367B"/>
    <w:rsid w:val="00973CC9"/>
    <w:rsid w:val="009815A8"/>
    <w:rsid w:val="0098211F"/>
    <w:rsid w:val="00985885"/>
    <w:rsid w:val="00990351"/>
    <w:rsid w:val="00990CD0"/>
    <w:rsid w:val="00991869"/>
    <w:rsid w:val="00993CA2"/>
    <w:rsid w:val="009A03D9"/>
    <w:rsid w:val="009A2490"/>
    <w:rsid w:val="009A25AC"/>
    <w:rsid w:val="009A58DE"/>
    <w:rsid w:val="009B0699"/>
    <w:rsid w:val="009B0806"/>
    <w:rsid w:val="009B2767"/>
    <w:rsid w:val="009B2EEB"/>
    <w:rsid w:val="009B3146"/>
    <w:rsid w:val="009B4AC8"/>
    <w:rsid w:val="009B6799"/>
    <w:rsid w:val="009B6B17"/>
    <w:rsid w:val="009B7BDA"/>
    <w:rsid w:val="009C0B8A"/>
    <w:rsid w:val="009C1A8A"/>
    <w:rsid w:val="009C4089"/>
    <w:rsid w:val="009D2723"/>
    <w:rsid w:val="009D4EA9"/>
    <w:rsid w:val="009D58E6"/>
    <w:rsid w:val="009D6986"/>
    <w:rsid w:val="009D7B86"/>
    <w:rsid w:val="009E28B1"/>
    <w:rsid w:val="009E3509"/>
    <w:rsid w:val="009E7803"/>
    <w:rsid w:val="009E780B"/>
    <w:rsid w:val="009F2700"/>
    <w:rsid w:val="009F3147"/>
    <w:rsid w:val="00A01C92"/>
    <w:rsid w:val="00A023FA"/>
    <w:rsid w:val="00A0249F"/>
    <w:rsid w:val="00A03FEB"/>
    <w:rsid w:val="00A1204D"/>
    <w:rsid w:val="00A14D88"/>
    <w:rsid w:val="00A15B94"/>
    <w:rsid w:val="00A16606"/>
    <w:rsid w:val="00A16EDC"/>
    <w:rsid w:val="00A1799A"/>
    <w:rsid w:val="00A20847"/>
    <w:rsid w:val="00A20B47"/>
    <w:rsid w:val="00A22D21"/>
    <w:rsid w:val="00A31C22"/>
    <w:rsid w:val="00A33268"/>
    <w:rsid w:val="00A33B07"/>
    <w:rsid w:val="00A43946"/>
    <w:rsid w:val="00A4497F"/>
    <w:rsid w:val="00A4629A"/>
    <w:rsid w:val="00A464D8"/>
    <w:rsid w:val="00A467C6"/>
    <w:rsid w:val="00A46E39"/>
    <w:rsid w:val="00A47026"/>
    <w:rsid w:val="00A47C30"/>
    <w:rsid w:val="00A47DB5"/>
    <w:rsid w:val="00A5227A"/>
    <w:rsid w:val="00A531BC"/>
    <w:rsid w:val="00A539B7"/>
    <w:rsid w:val="00A5455A"/>
    <w:rsid w:val="00A54825"/>
    <w:rsid w:val="00A55069"/>
    <w:rsid w:val="00A57147"/>
    <w:rsid w:val="00A57487"/>
    <w:rsid w:val="00A57C07"/>
    <w:rsid w:val="00A60A4A"/>
    <w:rsid w:val="00A65255"/>
    <w:rsid w:val="00A65C01"/>
    <w:rsid w:val="00A669F4"/>
    <w:rsid w:val="00A67544"/>
    <w:rsid w:val="00A70C93"/>
    <w:rsid w:val="00A758A7"/>
    <w:rsid w:val="00A75E93"/>
    <w:rsid w:val="00A81804"/>
    <w:rsid w:val="00A822ED"/>
    <w:rsid w:val="00A82BD1"/>
    <w:rsid w:val="00A82EFE"/>
    <w:rsid w:val="00A8404C"/>
    <w:rsid w:val="00A85227"/>
    <w:rsid w:val="00A85C1F"/>
    <w:rsid w:val="00A87823"/>
    <w:rsid w:val="00A87E97"/>
    <w:rsid w:val="00A912CB"/>
    <w:rsid w:val="00A938B1"/>
    <w:rsid w:val="00A9393E"/>
    <w:rsid w:val="00A939F1"/>
    <w:rsid w:val="00A944D6"/>
    <w:rsid w:val="00A952F9"/>
    <w:rsid w:val="00A957F0"/>
    <w:rsid w:val="00A97B13"/>
    <w:rsid w:val="00AA1BCE"/>
    <w:rsid w:val="00AA281B"/>
    <w:rsid w:val="00AA2F8F"/>
    <w:rsid w:val="00AA444B"/>
    <w:rsid w:val="00AA7231"/>
    <w:rsid w:val="00AA7251"/>
    <w:rsid w:val="00AA7FD3"/>
    <w:rsid w:val="00AB1681"/>
    <w:rsid w:val="00AB16B3"/>
    <w:rsid w:val="00AB36FC"/>
    <w:rsid w:val="00AB5A02"/>
    <w:rsid w:val="00AB786F"/>
    <w:rsid w:val="00AC05DB"/>
    <w:rsid w:val="00AC0C73"/>
    <w:rsid w:val="00AC2FD8"/>
    <w:rsid w:val="00AC3332"/>
    <w:rsid w:val="00AC37D9"/>
    <w:rsid w:val="00AD33EE"/>
    <w:rsid w:val="00AD497F"/>
    <w:rsid w:val="00AD49F8"/>
    <w:rsid w:val="00AD4E65"/>
    <w:rsid w:val="00AD50B4"/>
    <w:rsid w:val="00AD598E"/>
    <w:rsid w:val="00AD67CC"/>
    <w:rsid w:val="00AD6DE8"/>
    <w:rsid w:val="00AE2020"/>
    <w:rsid w:val="00AE4128"/>
    <w:rsid w:val="00AE476B"/>
    <w:rsid w:val="00AE5306"/>
    <w:rsid w:val="00AE5B93"/>
    <w:rsid w:val="00AF0430"/>
    <w:rsid w:val="00AF0859"/>
    <w:rsid w:val="00AF0CDD"/>
    <w:rsid w:val="00AF0EE1"/>
    <w:rsid w:val="00AF138C"/>
    <w:rsid w:val="00AF1E33"/>
    <w:rsid w:val="00AF28C9"/>
    <w:rsid w:val="00AF37FB"/>
    <w:rsid w:val="00AF5426"/>
    <w:rsid w:val="00AF635C"/>
    <w:rsid w:val="00B02336"/>
    <w:rsid w:val="00B0367E"/>
    <w:rsid w:val="00B04870"/>
    <w:rsid w:val="00B048C2"/>
    <w:rsid w:val="00B048D0"/>
    <w:rsid w:val="00B05CC1"/>
    <w:rsid w:val="00B06A77"/>
    <w:rsid w:val="00B06EE0"/>
    <w:rsid w:val="00B07586"/>
    <w:rsid w:val="00B07992"/>
    <w:rsid w:val="00B10E6F"/>
    <w:rsid w:val="00B114D5"/>
    <w:rsid w:val="00B147B0"/>
    <w:rsid w:val="00B2079E"/>
    <w:rsid w:val="00B225AF"/>
    <w:rsid w:val="00B22E6C"/>
    <w:rsid w:val="00B25E68"/>
    <w:rsid w:val="00B271CD"/>
    <w:rsid w:val="00B27E27"/>
    <w:rsid w:val="00B30B43"/>
    <w:rsid w:val="00B30EAD"/>
    <w:rsid w:val="00B32036"/>
    <w:rsid w:val="00B32ACC"/>
    <w:rsid w:val="00B3300F"/>
    <w:rsid w:val="00B35B22"/>
    <w:rsid w:val="00B37F39"/>
    <w:rsid w:val="00B4521C"/>
    <w:rsid w:val="00B4707D"/>
    <w:rsid w:val="00B473E2"/>
    <w:rsid w:val="00B47BC9"/>
    <w:rsid w:val="00B50E85"/>
    <w:rsid w:val="00B511F6"/>
    <w:rsid w:val="00B51C5B"/>
    <w:rsid w:val="00B526CB"/>
    <w:rsid w:val="00B53590"/>
    <w:rsid w:val="00B55D5A"/>
    <w:rsid w:val="00B6008D"/>
    <w:rsid w:val="00B6198A"/>
    <w:rsid w:val="00B64094"/>
    <w:rsid w:val="00B642BA"/>
    <w:rsid w:val="00B64DC6"/>
    <w:rsid w:val="00B65E3A"/>
    <w:rsid w:val="00B669A2"/>
    <w:rsid w:val="00B66D69"/>
    <w:rsid w:val="00B6700F"/>
    <w:rsid w:val="00B70FFE"/>
    <w:rsid w:val="00B743A5"/>
    <w:rsid w:val="00B770F5"/>
    <w:rsid w:val="00B773B0"/>
    <w:rsid w:val="00B83776"/>
    <w:rsid w:val="00B83A36"/>
    <w:rsid w:val="00B83C18"/>
    <w:rsid w:val="00B85D9C"/>
    <w:rsid w:val="00B861C7"/>
    <w:rsid w:val="00B86B02"/>
    <w:rsid w:val="00B87516"/>
    <w:rsid w:val="00B87CB6"/>
    <w:rsid w:val="00B87D76"/>
    <w:rsid w:val="00B926B1"/>
    <w:rsid w:val="00B92F82"/>
    <w:rsid w:val="00B93554"/>
    <w:rsid w:val="00B94F8A"/>
    <w:rsid w:val="00B951FB"/>
    <w:rsid w:val="00B95C7F"/>
    <w:rsid w:val="00BA0AF7"/>
    <w:rsid w:val="00BA150D"/>
    <w:rsid w:val="00BA18AA"/>
    <w:rsid w:val="00BA284A"/>
    <w:rsid w:val="00BA2D6C"/>
    <w:rsid w:val="00BA54EA"/>
    <w:rsid w:val="00BA5A94"/>
    <w:rsid w:val="00BA6C85"/>
    <w:rsid w:val="00BA7741"/>
    <w:rsid w:val="00BA7A0F"/>
    <w:rsid w:val="00BB2777"/>
    <w:rsid w:val="00BB2A2B"/>
    <w:rsid w:val="00BB3BEE"/>
    <w:rsid w:val="00BB49C2"/>
    <w:rsid w:val="00BB7037"/>
    <w:rsid w:val="00BB7947"/>
    <w:rsid w:val="00BC062A"/>
    <w:rsid w:val="00BC4E7C"/>
    <w:rsid w:val="00BC5DCC"/>
    <w:rsid w:val="00BD0C3E"/>
    <w:rsid w:val="00BD30FB"/>
    <w:rsid w:val="00BD3D13"/>
    <w:rsid w:val="00BD4C4D"/>
    <w:rsid w:val="00BD540C"/>
    <w:rsid w:val="00BD64DA"/>
    <w:rsid w:val="00BE13C1"/>
    <w:rsid w:val="00BE1E8C"/>
    <w:rsid w:val="00BE26BA"/>
    <w:rsid w:val="00BE2F8E"/>
    <w:rsid w:val="00BE4233"/>
    <w:rsid w:val="00BE48E7"/>
    <w:rsid w:val="00BE648E"/>
    <w:rsid w:val="00BE6C1D"/>
    <w:rsid w:val="00BF08C5"/>
    <w:rsid w:val="00BF3E5F"/>
    <w:rsid w:val="00BF54B8"/>
    <w:rsid w:val="00BF57A9"/>
    <w:rsid w:val="00BF5F28"/>
    <w:rsid w:val="00BF67DB"/>
    <w:rsid w:val="00C01E3B"/>
    <w:rsid w:val="00C02D6F"/>
    <w:rsid w:val="00C02F53"/>
    <w:rsid w:val="00C05FF6"/>
    <w:rsid w:val="00C0697E"/>
    <w:rsid w:val="00C06DBF"/>
    <w:rsid w:val="00C119F7"/>
    <w:rsid w:val="00C11D94"/>
    <w:rsid w:val="00C13980"/>
    <w:rsid w:val="00C14716"/>
    <w:rsid w:val="00C151B2"/>
    <w:rsid w:val="00C160F1"/>
    <w:rsid w:val="00C164CE"/>
    <w:rsid w:val="00C16FCE"/>
    <w:rsid w:val="00C177F7"/>
    <w:rsid w:val="00C17CE1"/>
    <w:rsid w:val="00C20462"/>
    <w:rsid w:val="00C20863"/>
    <w:rsid w:val="00C22E7B"/>
    <w:rsid w:val="00C23A0D"/>
    <w:rsid w:val="00C249A5"/>
    <w:rsid w:val="00C26C2C"/>
    <w:rsid w:val="00C26E45"/>
    <w:rsid w:val="00C26FC9"/>
    <w:rsid w:val="00C300D8"/>
    <w:rsid w:val="00C3170E"/>
    <w:rsid w:val="00C33101"/>
    <w:rsid w:val="00C3520B"/>
    <w:rsid w:val="00C352FD"/>
    <w:rsid w:val="00C367FB"/>
    <w:rsid w:val="00C36A0B"/>
    <w:rsid w:val="00C37244"/>
    <w:rsid w:val="00C40879"/>
    <w:rsid w:val="00C41CFE"/>
    <w:rsid w:val="00C42FE9"/>
    <w:rsid w:val="00C430F5"/>
    <w:rsid w:val="00C46DD8"/>
    <w:rsid w:val="00C50EFF"/>
    <w:rsid w:val="00C51917"/>
    <w:rsid w:val="00C5288D"/>
    <w:rsid w:val="00C53725"/>
    <w:rsid w:val="00C5438D"/>
    <w:rsid w:val="00C555A1"/>
    <w:rsid w:val="00C612C8"/>
    <w:rsid w:val="00C61C1E"/>
    <w:rsid w:val="00C631BE"/>
    <w:rsid w:val="00C64C08"/>
    <w:rsid w:val="00C655F8"/>
    <w:rsid w:val="00C70A72"/>
    <w:rsid w:val="00C70F86"/>
    <w:rsid w:val="00C71C1F"/>
    <w:rsid w:val="00C73E3A"/>
    <w:rsid w:val="00C74BA7"/>
    <w:rsid w:val="00C75489"/>
    <w:rsid w:val="00C76470"/>
    <w:rsid w:val="00C7693B"/>
    <w:rsid w:val="00C76F81"/>
    <w:rsid w:val="00C7765C"/>
    <w:rsid w:val="00C77D00"/>
    <w:rsid w:val="00C82944"/>
    <w:rsid w:val="00C86FAB"/>
    <w:rsid w:val="00C874BB"/>
    <w:rsid w:val="00C9094A"/>
    <w:rsid w:val="00C9238C"/>
    <w:rsid w:val="00C9355F"/>
    <w:rsid w:val="00C95705"/>
    <w:rsid w:val="00C95CC0"/>
    <w:rsid w:val="00C96469"/>
    <w:rsid w:val="00C974D4"/>
    <w:rsid w:val="00C975D6"/>
    <w:rsid w:val="00CA0026"/>
    <w:rsid w:val="00CA0614"/>
    <w:rsid w:val="00CA0880"/>
    <w:rsid w:val="00CA10D3"/>
    <w:rsid w:val="00CA2804"/>
    <w:rsid w:val="00CA2E58"/>
    <w:rsid w:val="00CA300B"/>
    <w:rsid w:val="00CA33DF"/>
    <w:rsid w:val="00CA393E"/>
    <w:rsid w:val="00CA5C88"/>
    <w:rsid w:val="00CA7E4C"/>
    <w:rsid w:val="00CB1604"/>
    <w:rsid w:val="00CB1A95"/>
    <w:rsid w:val="00CB1B31"/>
    <w:rsid w:val="00CB1CE2"/>
    <w:rsid w:val="00CB1EB3"/>
    <w:rsid w:val="00CB24F7"/>
    <w:rsid w:val="00CB43A3"/>
    <w:rsid w:val="00CB523B"/>
    <w:rsid w:val="00CB5568"/>
    <w:rsid w:val="00CB7EBF"/>
    <w:rsid w:val="00CB7F7E"/>
    <w:rsid w:val="00CC098D"/>
    <w:rsid w:val="00CC0B3C"/>
    <w:rsid w:val="00CC0B9A"/>
    <w:rsid w:val="00CC23A6"/>
    <w:rsid w:val="00CC3E54"/>
    <w:rsid w:val="00CD0CD0"/>
    <w:rsid w:val="00CD1382"/>
    <w:rsid w:val="00CD1743"/>
    <w:rsid w:val="00CD5202"/>
    <w:rsid w:val="00CD5789"/>
    <w:rsid w:val="00CD69BD"/>
    <w:rsid w:val="00CD6D28"/>
    <w:rsid w:val="00CE0025"/>
    <w:rsid w:val="00CE24D1"/>
    <w:rsid w:val="00CE2526"/>
    <w:rsid w:val="00CE27AD"/>
    <w:rsid w:val="00CE3B4B"/>
    <w:rsid w:val="00CE41AA"/>
    <w:rsid w:val="00CE4E79"/>
    <w:rsid w:val="00CE5083"/>
    <w:rsid w:val="00CF0693"/>
    <w:rsid w:val="00CF0D95"/>
    <w:rsid w:val="00CF192B"/>
    <w:rsid w:val="00CF5BE1"/>
    <w:rsid w:val="00CF603F"/>
    <w:rsid w:val="00CF7153"/>
    <w:rsid w:val="00D02565"/>
    <w:rsid w:val="00D025CC"/>
    <w:rsid w:val="00D03129"/>
    <w:rsid w:val="00D041FD"/>
    <w:rsid w:val="00D04A3E"/>
    <w:rsid w:val="00D05445"/>
    <w:rsid w:val="00D06B92"/>
    <w:rsid w:val="00D11B86"/>
    <w:rsid w:val="00D137EB"/>
    <w:rsid w:val="00D13AC7"/>
    <w:rsid w:val="00D14477"/>
    <w:rsid w:val="00D17081"/>
    <w:rsid w:val="00D178DA"/>
    <w:rsid w:val="00D22315"/>
    <w:rsid w:val="00D234A2"/>
    <w:rsid w:val="00D236F9"/>
    <w:rsid w:val="00D2433A"/>
    <w:rsid w:val="00D25C6A"/>
    <w:rsid w:val="00D25F46"/>
    <w:rsid w:val="00D2606A"/>
    <w:rsid w:val="00D269D9"/>
    <w:rsid w:val="00D26CA7"/>
    <w:rsid w:val="00D27F80"/>
    <w:rsid w:val="00D320DC"/>
    <w:rsid w:val="00D35781"/>
    <w:rsid w:val="00D3638F"/>
    <w:rsid w:val="00D364FF"/>
    <w:rsid w:val="00D368F1"/>
    <w:rsid w:val="00D43BF8"/>
    <w:rsid w:val="00D452EA"/>
    <w:rsid w:val="00D452F4"/>
    <w:rsid w:val="00D50AE7"/>
    <w:rsid w:val="00D50BDC"/>
    <w:rsid w:val="00D513F2"/>
    <w:rsid w:val="00D51C0D"/>
    <w:rsid w:val="00D52429"/>
    <w:rsid w:val="00D52F3D"/>
    <w:rsid w:val="00D53675"/>
    <w:rsid w:val="00D53A58"/>
    <w:rsid w:val="00D53CD7"/>
    <w:rsid w:val="00D56826"/>
    <w:rsid w:val="00D616F5"/>
    <w:rsid w:val="00D649C2"/>
    <w:rsid w:val="00D6561D"/>
    <w:rsid w:val="00D67D3D"/>
    <w:rsid w:val="00D70416"/>
    <w:rsid w:val="00D71923"/>
    <w:rsid w:val="00D71DE6"/>
    <w:rsid w:val="00D72004"/>
    <w:rsid w:val="00D73BF2"/>
    <w:rsid w:val="00D73FA1"/>
    <w:rsid w:val="00D73FCB"/>
    <w:rsid w:val="00D745BC"/>
    <w:rsid w:val="00D74EE2"/>
    <w:rsid w:val="00D75C59"/>
    <w:rsid w:val="00D7634C"/>
    <w:rsid w:val="00D7787C"/>
    <w:rsid w:val="00D8040D"/>
    <w:rsid w:val="00D80B24"/>
    <w:rsid w:val="00D8152E"/>
    <w:rsid w:val="00D81D8C"/>
    <w:rsid w:val="00D8221A"/>
    <w:rsid w:val="00D82592"/>
    <w:rsid w:val="00D8299D"/>
    <w:rsid w:val="00D86219"/>
    <w:rsid w:val="00D86BD4"/>
    <w:rsid w:val="00D87242"/>
    <w:rsid w:val="00D879EC"/>
    <w:rsid w:val="00D90A87"/>
    <w:rsid w:val="00D90CCC"/>
    <w:rsid w:val="00D91249"/>
    <w:rsid w:val="00D9137C"/>
    <w:rsid w:val="00D928D3"/>
    <w:rsid w:val="00D93BEB"/>
    <w:rsid w:val="00D93DAD"/>
    <w:rsid w:val="00D954DF"/>
    <w:rsid w:val="00D96975"/>
    <w:rsid w:val="00DA06A3"/>
    <w:rsid w:val="00DA0E1D"/>
    <w:rsid w:val="00DA155B"/>
    <w:rsid w:val="00DA2313"/>
    <w:rsid w:val="00DA2638"/>
    <w:rsid w:val="00DA2662"/>
    <w:rsid w:val="00DA29C1"/>
    <w:rsid w:val="00DA5C48"/>
    <w:rsid w:val="00DB02A0"/>
    <w:rsid w:val="00DB1B3C"/>
    <w:rsid w:val="00DB2D43"/>
    <w:rsid w:val="00DB64C4"/>
    <w:rsid w:val="00DC0654"/>
    <w:rsid w:val="00DC0A5C"/>
    <w:rsid w:val="00DC259D"/>
    <w:rsid w:val="00DC2BEF"/>
    <w:rsid w:val="00DC3DA9"/>
    <w:rsid w:val="00DC3E38"/>
    <w:rsid w:val="00DC3E7F"/>
    <w:rsid w:val="00DC52D4"/>
    <w:rsid w:val="00DC6A43"/>
    <w:rsid w:val="00DC7B11"/>
    <w:rsid w:val="00DD0EF3"/>
    <w:rsid w:val="00DD1148"/>
    <w:rsid w:val="00DD1288"/>
    <w:rsid w:val="00DD3B1D"/>
    <w:rsid w:val="00DD5912"/>
    <w:rsid w:val="00DE02EF"/>
    <w:rsid w:val="00DE2352"/>
    <w:rsid w:val="00DE39AE"/>
    <w:rsid w:val="00DE6D1F"/>
    <w:rsid w:val="00DE717E"/>
    <w:rsid w:val="00DF0A65"/>
    <w:rsid w:val="00DF67D8"/>
    <w:rsid w:val="00E00C09"/>
    <w:rsid w:val="00E01D93"/>
    <w:rsid w:val="00E02483"/>
    <w:rsid w:val="00E02578"/>
    <w:rsid w:val="00E0443E"/>
    <w:rsid w:val="00E04945"/>
    <w:rsid w:val="00E04B67"/>
    <w:rsid w:val="00E050F3"/>
    <w:rsid w:val="00E06161"/>
    <w:rsid w:val="00E12E22"/>
    <w:rsid w:val="00E13D2F"/>
    <w:rsid w:val="00E13FB3"/>
    <w:rsid w:val="00E14F3A"/>
    <w:rsid w:val="00E15BF1"/>
    <w:rsid w:val="00E1659F"/>
    <w:rsid w:val="00E170CA"/>
    <w:rsid w:val="00E20152"/>
    <w:rsid w:val="00E20F36"/>
    <w:rsid w:val="00E210FD"/>
    <w:rsid w:val="00E2183D"/>
    <w:rsid w:val="00E234B8"/>
    <w:rsid w:val="00E237B7"/>
    <w:rsid w:val="00E24E40"/>
    <w:rsid w:val="00E30020"/>
    <w:rsid w:val="00E32191"/>
    <w:rsid w:val="00E32ABA"/>
    <w:rsid w:val="00E3661A"/>
    <w:rsid w:val="00E41B1C"/>
    <w:rsid w:val="00E41B56"/>
    <w:rsid w:val="00E42A35"/>
    <w:rsid w:val="00E44584"/>
    <w:rsid w:val="00E44FEB"/>
    <w:rsid w:val="00E450EA"/>
    <w:rsid w:val="00E45BDC"/>
    <w:rsid w:val="00E46A1D"/>
    <w:rsid w:val="00E5022A"/>
    <w:rsid w:val="00E50E51"/>
    <w:rsid w:val="00E5126C"/>
    <w:rsid w:val="00E51B6C"/>
    <w:rsid w:val="00E53F90"/>
    <w:rsid w:val="00E5478B"/>
    <w:rsid w:val="00E56189"/>
    <w:rsid w:val="00E5696D"/>
    <w:rsid w:val="00E57AA1"/>
    <w:rsid w:val="00E57C1D"/>
    <w:rsid w:val="00E60A76"/>
    <w:rsid w:val="00E64B40"/>
    <w:rsid w:val="00E70F1E"/>
    <w:rsid w:val="00E719C0"/>
    <w:rsid w:val="00E72FF0"/>
    <w:rsid w:val="00E73729"/>
    <w:rsid w:val="00E746A6"/>
    <w:rsid w:val="00E758C4"/>
    <w:rsid w:val="00E75A5A"/>
    <w:rsid w:val="00E7775B"/>
    <w:rsid w:val="00E863F3"/>
    <w:rsid w:val="00E87345"/>
    <w:rsid w:val="00E878C8"/>
    <w:rsid w:val="00E90261"/>
    <w:rsid w:val="00E90A38"/>
    <w:rsid w:val="00E91F3B"/>
    <w:rsid w:val="00E93401"/>
    <w:rsid w:val="00E96EF1"/>
    <w:rsid w:val="00EA0A4A"/>
    <w:rsid w:val="00EA1766"/>
    <w:rsid w:val="00EA5353"/>
    <w:rsid w:val="00EA54F0"/>
    <w:rsid w:val="00EA5D98"/>
    <w:rsid w:val="00EA66E7"/>
    <w:rsid w:val="00EA675E"/>
    <w:rsid w:val="00EA7355"/>
    <w:rsid w:val="00EB0774"/>
    <w:rsid w:val="00EB1B1F"/>
    <w:rsid w:val="00EB2F0D"/>
    <w:rsid w:val="00EB4F71"/>
    <w:rsid w:val="00EB52DB"/>
    <w:rsid w:val="00EB57D2"/>
    <w:rsid w:val="00EB5DF7"/>
    <w:rsid w:val="00EB73CC"/>
    <w:rsid w:val="00EB780A"/>
    <w:rsid w:val="00EB7959"/>
    <w:rsid w:val="00EC0106"/>
    <w:rsid w:val="00EC16A4"/>
    <w:rsid w:val="00EC1F22"/>
    <w:rsid w:val="00EC46A9"/>
    <w:rsid w:val="00EC5D74"/>
    <w:rsid w:val="00EC6E28"/>
    <w:rsid w:val="00ED01A9"/>
    <w:rsid w:val="00ED148E"/>
    <w:rsid w:val="00ED379E"/>
    <w:rsid w:val="00ED40FA"/>
    <w:rsid w:val="00ED6693"/>
    <w:rsid w:val="00ED6D37"/>
    <w:rsid w:val="00EE0BD4"/>
    <w:rsid w:val="00EE5583"/>
    <w:rsid w:val="00EF4766"/>
    <w:rsid w:val="00EF52FF"/>
    <w:rsid w:val="00F039D4"/>
    <w:rsid w:val="00F050ED"/>
    <w:rsid w:val="00F0642E"/>
    <w:rsid w:val="00F064B2"/>
    <w:rsid w:val="00F069FE"/>
    <w:rsid w:val="00F0746F"/>
    <w:rsid w:val="00F07874"/>
    <w:rsid w:val="00F113D7"/>
    <w:rsid w:val="00F11C2A"/>
    <w:rsid w:val="00F11FEE"/>
    <w:rsid w:val="00F1219F"/>
    <w:rsid w:val="00F12713"/>
    <w:rsid w:val="00F14A7D"/>
    <w:rsid w:val="00F150D5"/>
    <w:rsid w:val="00F205CD"/>
    <w:rsid w:val="00F213BB"/>
    <w:rsid w:val="00F22E21"/>
    <w:rsid w:val="00F23A96"/>
    <w:rsid w:val="00F262E1"/>
    <w:rsid w:val="00F27FB5"/>
    <w:rsid w:val="00F30774"/>
    <w:rsid w:val="00F30B12"/>
    <w:rsid w:val="00F31641"/>
    <w:rsid w:val="00F323F2"/>
    <w:rsid w:val="00F32BDF"/>
    <w:rsid w:val="00F32F2C"/>
    <w:rsid w:val="00F36A52"/>
    <w:rsid w:val="00F40780"/>
    <w:rsid w:val="00F42594"/>
    <w:rsid w:val="00F43817"/>
    <w:rsid w:val="00F44191"/>
    <w:rsid w:val="00F44B57"/>
    <w:rsid w:val="00F457CD"/>
    <w:rsid w:val="00F45B39"/>
    <w:rsid w:val="00F46036"/>
    <w:rsid w:val="00F46CC4"/>
    <w:rsid w:val="00F46FD4"/>
    <w:rsid w:val="00F51BD2"/>
    <w:rsid w:val="00F548E3"/>
    <w:rsid w:val="00F55B2D"/>
    <w:rsid w:val="00F5609A"/>
    <w:rsid w:val="00F56317"/>
    <w:rsid w:val="00F56B11"/>
    <w:rsid w:val="00F57F2D"/>
    <w:rsid w:val="00F6021B"/>
    <w:rsid w:val="00F60377"/>
    <w:rsid w:val="00F6041B"/>
    <w:rsid w:val="00F60F55"/>
    <w:rsid w:val="00F62BD3"/>
    <w:rsid w:val="00F64E37"/>
    <w:rsid w:val="00F64F77"/>
    <w:rsid w:val="00F70F07"/>
    <w:rsid w:val="00F72095"/>
    <w:rsid w:val="00F72E5B"/>
    <w:rsid w:val="00F73A29"/>
    <w:rsid w:val="00F74025"/>
    <w:rsid w:val="00F75A74"/>
    <w:rsid w:val="00F8091C"/>
    <w:rsid w:val="00F80B03"/>
    <w:rsid w:val="00F81BB5"/>
    <w:rsid w:val="00F83E54"/>
    <w:rsid w:val="00F84E81"/>
    <w:rsid w:val="00F87AFF"/>
    <w:rsid w:val="00F90C9A"/>
    <w:rsid w:val="00F92B2D"/>
    <w:rsid w:val="00F92EDA"/>
    <w:rsid w:val="00F93002"/>
    <w:rsid w:val="00F94B5B"/>
    <w:rsid w:val="00F965D5"/>
    <w:rsid w:val="00F9782F"/>
    <w:rsid w:val="00F97A43"/>
    <w:rsid w:val="00FA1714"/>
    <w:rsid w:val="00FA20FE"/>
    <w:rsid w:val="00FA28A9"/>
    <w:rsid w:val="00FA5182"/>
    <w:rsid w:val="00FA6245"/>
    <w:rsid w:val="00FB4B0F"/>
    <w:rsid w:val="00FC40BF"/>
    <w:rsid w:val="00FC4788"/>
    <w:rsid w:val="00FC6653"/>
    <w:rsid w:val="00FC683E"/>
    <w:rsid w:val="00FC7379"/>
    <w:rsid w:val="00FD1109"/>
    <w:rsid w:val="00FD1CB7"/>
    <w:rsid w:val="00FD23A8"/>
    <w:rsid w:val="00FD3C97"/>
    <w:rsid w:val="00FD41DA"/>
    <w:rsid w:val="00FD628C"/>
    <w:rsid w:val="00FD740D"/>
    <w:rsid w:val="00FD7E25"/>
    <w:rsid w:val="00FE182A"/>
    <w:rsid w:val="00FE1CFB"/>
    <w:rsid w:val="00FE2354"/>
    <w:rsid w:val="00FE3065"/>
    <w:rsid w:val="00FE54D1"/>
    <w:rsid w:val="00FE7AC7"/>
    <w:rsid w:val="00FE7B06"/>
    <w:rsid w:val="00FF0397"/>
    <w:rsid w:val="00FF0E9A"/>
    <w:rsid w:val="00FF1F75"/>
    <w:rsid w:val="00FF315F"/>
    <w:rsid w:val="00FF3D86"/>
    <w:rsid w:val="00FF4EF5"/>
    <w:rsid w:val="00FF60F3"/>
    <w:rsid w:val="00FF6345"/>
    <w:rsid w:val="00FF6F68"/>
    <w:rsid w:val="00FF72B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A03F285-7734-4CD8-9751-72E4707B9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E5B"/>
  </w:style>
  <w:style w:type="paragraph" w:styleId="Titre1">
    <w:name w:val="heading 1"/>
    <w:basedOn w:val="Normal"/>
    <w:next w:val="Normal"/>
    <w:link w:val="Titre1Car"/>
    <w:uiPriority w:val="9"/>
    <w:qFormat/>
    <w:rsid w:val="000C30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6">
    <w:name w:val="heading 6"/>
    <w:aliases w:val="Footnote"/>
    <w:basedOn w:val="Normal"/>
    <w:next w:val="Normal"/>
    <w:link w:val="Titre6Car"/>
    <w:autoRedefine/>
    <w:uiPriority w:val="99"/>
    <w:qFormat/>
    <w:rsid w:val="001D759A"/>
    <w:pPr>
      <w:keepNext/>
      <w:keepLines/>
      <w:widowControl w:val="0"/>
      <w:tabs>
        <w:tab w:val="num" w:pos="0"/>
      </w:tabs>
      <w:suppressAutoHyphens/>
      <w:spacing w:after="0" w:line="240" w:lineRule="auto"/>
      <w:contextualSpacing/>
      <w:outlineLvl w:val="5"/>
    </w:pPr>
    <w:rPr>
      <w:rFonts w:ascii="Calibri" w:eastAsia="Times New Roman" w:hAnsi="Calibri" w:cs="Times New Roman"/>
      <w:i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056339"/>
    <w:pPr>
      <w:ind w:left="720"/>
      <w:contextualSpacing/>
    </w:pPr>
  </w:style>
  <w:style w:type="character" w:styleId="Marquedecommentaire">
    <w:name w:val="annotation reference"/>
    <w:basedOn w:val="Policepardfaut"/>
    <w:uiPriority w:val="99"/>
    <w:semiHidden/>
    <w:unhideWhenUsed/>
    <w:rsid w:val="00056339"/>
    <w:rPr>
      <w:sz w:val="16"/>
      <w:szCs w:val="16"/>
    </w:rPr>
  </w:style>
  <w:style w:type="paragraph" w:styleId="Commentaire">
    <w:name w:val="annotation text"/>
    <w:basedOn w:val="Normal"/>
    <w:link w:val="CommentaireCar"/>
    <w:uiPriority w:val="99"/>
    <w:semiHidden/>
    <w:unhideWhenUsed/>
    <w:rsid w:val="00056339"/>
    <w:pPr>
      <w:spacing w:line="240" w:lineRule="auto"/>
    </w:pPr>
    <w:rPr>
      <w:sz w:val="20"/>
      <w:szCs w:val="20"/>
    </w:rPr>
  </w:style>
  <w:style w:type="character" w:customStyle="1" w:styleId="CommentaireCar">
    <w:name w:val="Commentaire Car"/>
    <w:basedOn w:val="Policepardfaut"/>
    <w:link w:val="Commentaire"/>
    <w:uiPriority w:val="99"/>
    <w:semiHidden/>
    <w:rsid w:val="00056339"/>
    <w:rPr>
      <w:sz w:val="20"/>
      <w:szCs w:val="20"/>
    </w:rPr>
  </w:style>
  <w:style w:type="paragraph" w:styleId="Objetducommentaire">
    <w:name w:val="annotation subject"/>
    <w:basedOn w:val="Commentaire"/>
    <w:next w:val="Commentaire"/>
    <w:link w:val="ObjetducommentaireCar"/>
    <w:uiPriority w:val="99"/>
    <w:semiHidden/>
    <w:unhideWhenUsed/>
    <w:rsid w:val="00056339"/>
    <w:rPr>
      <w:b/>
      <w:bCs/>
    </w:rPr>
  </w:style>
  <w:style w:type="character" w:customStyle="1" w:styleId="ObjetducommentaireCar">
    <w:name w:val="Objet du commentaire Car"/>
    <w:basedOn w:val="CommentaireCar"/>
    <w:link w:val="Objetducommentaire"/>
    <w:uiPriority w:val="99"/>
    <w:semiHidden/>
    <w:rsid w:val="00056339"/>
    <w:rPr>
      <w:b/>
      <w:bCs/>
      <w:sz w:val="20"/>
      <w:szCs w:val="20"/>
    </w:rPr>
  </w:style>
  <w:style w:type="paragraph" w:styleId="Textedebulles">
    <w:name w:val="Balloon Text"/>
    <w:basedOn w:val="Normal"/>
    <w:link w:val="TextedebullesCar"/>
    <w:uiPriority w:val="99"/>
    <w:semiHidden/>
    <w:unhideWhenUsed/>
    <w:rsid w:val="000563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56339"/>
    <w:rPr>
      <w:rFonts w:ascii="Segoe UI" w:hAnsi="Segoe UI" w:cs="Segoe UI"/>
      <w:sz w:val="18"/>
      <w:szCs w:val="18"/>
    </w:rPr>
  </w:style>
  <w:style w:type="table" w:styleId="Grilledutableau">
    <w:name w:val="Table Grid"/>
    <w:basedOn w:val="TableauNormal"/>
    <w:uiPriority w:val="59"/>
    <w:rsid w:val="00447C6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93554"/>
    <w:rPr>
      <w:color w:val="0000FF" w:themeColor="hyperlink"/>
      <w:u w:val="single"/>
    </w:rPr>
  </w:style>
  <w:style w:type="paragraph" w:styleId="En-tte">
    <w:name w:val="header"/>
    <w:basedOn w:val="Normal"/>
    <w:link w:val="En-tteCar"/>
    <w:uiPriority w:val="99"/>
    <w:unhideWhenUsed/>
    <w:rsid w:val="00186F04"/>
    <w:pPr>
      <w:tabs>
        <w:tab w:val="center" w:pos="4680"/>
        <w:tab w:val="right" w:pos="9360"/>
      </w:tabs>
      <w:spacing w:after="0" w:line="240" w:lineRule="auto"/>
    </w:pPr>
  </w:style>
  <w:style w:type="character" w:customStyle="1" w:styleId="En-tteCar">
    <w:name w:val="En-tête Car"/>
    <w:basedOn w:val="Policepardfaut"/>
    <w:link w:val="En-tte"/>
    <w:uiPriority w:val="99"/>
    <w:rsid w:val="00186F04"/>
  </w:style>
  <w:style w:type="paragraph" w:styleId="Pieddepage">
    <w:name w:val="footer"/>
    <w:basedOn w:val="Normal"/>
    <w:link w:val="PieddepageCar"/>
    <w:uiPriority w:val="99"/>
    <w:unhideWhenUsed/>
    <w:rsid w:val="00186F0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86F04"/>
  </w:style>
  <w:style w:type="character" w:customStyle="1" w:styleId="Titre6Car">
    <w:name w:val="Titre 6 Car"/>
    <w:aliases w:val="Footnote Car"/>
    <w:basedOn w:val="Policepardfaut"/>
    <w:link w:val="Titre6"/>
    <w:uiPriority w:val="99"/>
    <w:rsid w:val="001D759A"/>
    <w:rPr>
      <w:rFonts w:ascii="Calibri" w:eastAsia="Times New Roman" w:hAnsi="Calibri" w:cs="Times New Roman"/>
      <w:iCs/>
      <w:sz w:val="18"/>
    </w:rPr>
  </w:style>
  <w:style w:type="character" w:styleId="Appelnotedebasdep">
    <w:name w:val="footnote reference"/>
    <w:basedOn w:val="Policepardfaut"/>
    <w:uiPriority w:val="99"/>
    <w:rsid w:val="001D759A"/>
    <w:rPr>
      <w:rFonts w:cs="Times New Roman"/>
      <w:vertAlign w:val="superscript"/>
    </w:rPr>
  </w:style>
  <w:style w:type="paragraph" w:styleId="Notedebasdepage">
    <w:name w:val="footnote text"/>
    <w:basedOn w:val="Normal"/>
    <w:link w:val="NotedebasdepageCar"/>
    <w:uiPriority w:val="99"/>
    <w:rsid w:val="00E75A5A"/>
    <w:pPr>
      <w:widowControl w:val="0"/>
      <w:suppressAutoHyphens/>
      <w:spacing w:after="120"/>
    </w:pPr>
    <w:rPr>
      <w:rFonts w:ascii="Times New Roman" w:eastAsia="Times New Roman" w:hAnsi="Times New Roman" w:cs="Calibri"/>
      <w:sz w:val="20"/>
      <w:szCs w:val="20"/>
    </w:rPr>
  </w:style>
  <w:style w:type="character" w:customStyle="1" w:styleId="FootnoteTextChar">
    <w:name w:val="Footnote Text Char"/>
    <w:basedOn w:val="Policepardfaut"/>
    <w:uiPriority w:val="99"/>
    <w:semiHidden/>
    <w:rsid w:val="00E75A5A"/>
    <w:rPr>
      <w:sz w:val="20"/>
      <w:szCs w:val="20"/>
    </w:rPr>
  </w:style>
  <w:style w:type="character" w:customStyle="1" w:styleId="NotedebasdepageCar">
    <w:name w:val="Note de bas de page Car"/>
    <w:basedOn w:val="Policepardfaut"/>
    <w:link w:val="Notedebasdepage"/>
    <w:uiPriority w:val="99"/>
    <w:rsid w:val="00E75A5A"/>
    <w:rPr>
      <w:rFonts w:ascii="Times New Roman" w:eastAsia="Times New Roman" w:hAnsi="Times New Roman" w:cs="Calibri"/>
      <w:sz w:val="20"/>
      <w:szCs w:val="20"/>
    </w:rPr>
  </w:style>
  <w:style w:type="paragraph" w:styleId="Rvision">
    <w:name w:val="Revision"/>
    <w:hidden/>
    <w:uiPriority w:val="99"/>
    <w:semiHidden/>
    <w:rsid w:val="00460639"/>
    <w:pPr>
      <w:spacing w:after="0" w:line="240" w:lineRule="auto"/>
    </w:pPr>
  </w:style>
  <w:style w:type="character" w:customStyle="1" w:styleId="Titre1Car">
    <w:name w:val="Titre 1 Car"/>
    <w:basedOn w:val="Policepardfaut"/>
    <w:link w:val="Titre1"/>
    <w:uiPriority w:val="9"/>
    <w:rsid w:val="000C30FD"/>
    <w:rPr>
      <w:rFonts w:asciiTheme="majorHAnsi" w:eastAsiaTheme="majorEastAsia" w:hAnsiTheme="majorHAnsi" w:cstheme="majorBidi"/>
      <w:b/>
      <w:bCs/>
      <w:color w:val="365F91" w:themeColor="accent1" w:themeShade="BF"/>
      <w:sz w:val="28"/>
      <w:szCs w:val="28"/>
    </w:rPr>
  </w:style>
  <w:style w:type="character" w:styleId="Numrodepage">
    <w:name w:val="page number"/>
    <w:basedOn w:val="Policepardfaut"/>
    <w:uiPriority w:val="99"/>
    <w:semiHidden/>
    <w:unhideWhenUsed/>
    <w:rsid w:val="003B64A4"/>
  </w:style>
  <w:style w:type="character" w:customStyle="1" w:styleId="ParagraphedelisteCar">
    <w:name w:val="Paragraphe de liste Car"/>
    <w:link w:val="Paragraphedeliste"/>
    <w:uiPriority w:val="34"/>
    <w:rsid w:val="001427A5"/>
  </w:style>
  <w:style w:type="paragraph" w:styleId="Sansinterligne">
    <w:name w:val="No Spacing"/>
    <w:uiPriority w:val="1"/>
    <w:qFormat/>
    <w:rsid w:val="00FA6245"/>
    <w:pPr>
      <w:widowControl w:val="0"/>
      <w:suppressAutoHyphens/>
      <w:spacing w:after="0" w:line="240" w:lineRule="auto"/>
    </w:pPr>
    <w:rPr>
      <w:rFonts w:ascii="Calibri" w:eastAsia="Times New Roman" w:hAnsi="Calibri" w:cs="Calibri"/>
      <w:lang w:val="en-US"/>
    </w:rPr>
  </w:style>
  <w:style w:type="character" w:customStyle="1" w:styleId="shorttext">
    <w:name w:val="short_text"/>
    <w:basedOn w:val="Policepardfaut"/>
    <w:rsid w:val="003B48A7"/>
  </w:style>
  <w:style w:type="paragraph" w:customStyle="1" w:styleId="m-9122321016640388389p1">
    <w:name w:val="m_-9122321016640388389p1"/>
    <w:basedOn w:val="Normal"/>
    <w:rsid w:val="003F30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9122321016640388389s1">
    <w:name w:val="m_-9122321016640388389s1"/>
    <w:basedOn w:val="Policepardfaut"/>
    <w:rsid w:val="003F30F3"/>
  </w:style>
  <w:style w:type="paragraph" w:customStyle="1" w:styleId="story-body-text">
    <w:name w:val="story-body-text"/>
    <w:basedOn w:val="Normal"/>
    <w:rsid w:val="00D7200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9234">
      <w:bodyDiv w:val="1"/>
      <w:marLeft w:val="0"/>
      <w:marRight w:val="0"/>
      <w:marTop w:val="0"/>
      <w:marBottom w:val="0"/>
      <w:divBdr>
        <w:top w:val="none" w:sz="0" w:space="0" w:color="auto"/>
        <w:left w:val="none" w:sz="0" w:space="0" w:color="auto"/>
        <w:bottom w:val="none" w:sz="0" w:space="0" w:color="auto"/>
        <w:right w:val="none" w:sz="0" w:space="0" w:color="auto"/>
      </w:divBdr>
    </w:div>
    <w:div w:id="22176336">
      <w:bodyDiv w:val="1"/>
      <w:marLeft w:val="0"/>
      <w:marRight w:val="0"/>
      <w:marTop w:val="0"/>
      <w:marBottom w:val="0"/>
      <w:divBdr>
        <w:top w:val="none" w:sz="0" w:space="0" w:color="auto"/>
        <w:left w:val="none" w:sz="0" w:space="0" w:color="auto"/>
        <w:bottom w:val="none" w:sz="0" w:space="0" w:color="auto"/>
        <w:right w:val="none" w:sz="0" w:space="0" w:color="auto"/>
      </w:divBdr>
    </w:div>
    <w:div w:id="36514742">
      <w:bodyDiv w:val="1"/>
      <w:marLeft w:val="0"/>
      <w:marRight w:val="0"/>
      <w:marTop w:val="0"/>
      <w:marBottom w:val="0"/>
      <w:divBdr>
        <w:top w:val="none" w:sz="0" w:space="0" w:color="auto"/>
        <w:left w:val="none" w:sz="0" w:space="0" w:color="auto"/>
        <w:bottom w:val="none" w:sz="0" w:space="0" w:color="auto"/>
        <w:right w:val="none" w:sz="0" w:space="0" w:color="auto"/>
      </w:divBdr>
    </w:div>
    <w:div w:id="57438563">
      <w:bodyDiv w:val="1"/>
      <w:marLeft w:val="0"/>
      <w:marRight w:val="0"/>
      <w:marTop w:val="0"/>
      <w:marBottom w:val="0"/>
      <w:divBdr>
        <w:top w:val="none" w:sz="0" w:space="0" w:color="auto"/>
        <w:left w:val="none" w:sz="0" w:space="0" w:color="auto"/>
        <w:bottom w:val="none" w:sz="0" w:space="0" w:color="auto"/>
        <w:right w:val="none" w:sz="0" w:space="0" w:color="auto"/>
      </w:divBdr>
    </w:div>
    <w:div w:id="168328353">
      <w:bodyDiv w:val="1"/>
      <w:marLeft w:val="0"/>
      <w:marRight w:val="0"/>
      <w:marTop w:val="0"/>
      <w:marBottom w:val="0"/>
      <w:divBdr>
        <w:top w:val="none" w:sz="0" w:space="0" w:color="auto"/>
        <w:left w:val="none" w:sz="0" w:space="0" w:color="auto"/>
        <w:bottom w:val="none" w:sz="0" w:space="0" w:color="auto"/>
        <w:right w:val="none" w:sz="0" w:space="0" w:color="auto"/>
      </w:divBdr>
    </w:div>
    <w:div w:id="195584596">
      <w:bodyDiv w:val="1"/>
      <w:marLeft w:val="0"/>
      <w:marRight w:val="0"/>
      <w:marTop w:val="0"/>
      <w:marBottom w:val="0"/>
      <w:divBdr>
        <w:top w:val="none" w:sz="0" w:space="0" w:color="auto"/>
        <w:left w:val="none" w:sz="0" w:space="0" w:color="auto"/>
        <w:bottom w:val="none" w:sz="0" w:space="0" w:color="auto"/>
        <w:right w:val="none" w:sz="0" w:space="0" w:color="auto"/>
      </w:divBdr>
    </w:div>
    <w:div w:id="206989505">
      <w:bodyDiv w:val="1"/>
      <w:marLeft w:val="0"/>
      <w:marRight w:val="0"/>
      <w:marTop w:val="0"/>
      <w:marBottom w:val="0"/>
      <w:divBdr>
        <w:top w:val="none" w:sz="0" w:space="0" w:color="auto"/>
        <w:left w:val="none" w:sz="0" w:space="0" w:color="auto"/>
        <w:bottom w:val="none" w:sz="0" w:space="0" w:color="auto"/>
        <w:right w:val="none" w:sz="0" w:space="0" w:color="auto"/>
      </w:divBdr>
    </w:div>
    <w:div w:id="286204864">
      <w:bodyDiv w:val="1"/>
      <w:marLeft w:val="0"/>
      <w:marRight w:val="0"/>
      <w:marTop w:val="0"/>
      <w:marBottom w:val="0"/>
      <w:divBdr>
        <w:top w:val="none" w:sz="0" w:space="0" w:color="auto"/>
        <w:left w:val="none" w:sz="0" w:space="0" w:color="auto"/>
        <w:bottom w:val="none" w:sz="0" w:space="0" w:color="auto"/>
        <w:right w:val="none" w:sz="0" w:space="0" w:color="auto"/>
      </w:divBdr>
    </w:div>
    <w:div w:id="437875059">
      <w:bodyDiv w:val="1"/>
      <w:marLeft w:val="0"/>
      <w:marRight w:val="0"/>
      <w:marTop w:val="0"/>
      <w:marBottom w:val="0"/>
      <w:divBdr>
        <w:top w:val="none" w:sz="0" w:space="0" w:color="auto"/>
        <w:left w:val="none" w:sz="0" w:space="0" w:color="auto"/>
        <w:bottom w:val="none" w:sz="0" w:space="0" w:color="auto"/>
        <w:right w:val="none" w:sz="0" w:space="0" w:color="auto"/>
      </w:divBdr>
    </w:div>
    <w:div w:id="467629010">
      <w:bodyDiv w:val="1"/>
      <w:marLeft w:val="0"/>
      <w:marRight w:val="0"/>
      <w:marTop w:val="0"/>
      <w:marBottom w:val="0"/>
      <w:divBdr>
        <w:top w:val="none" w:sz="0" w:space="0" w:color="auto"/>
        <w:left w:val="none" w:sz="0" w:space="0" w:color="auto"/>
        <w:bottom w:val="none" w:sz="0" w:space="0" w:color="auto"/>
        <w:right w:val="none" w:sz="0" w:space="0" w:color="auto"/>
      </w:divBdr>
    </w:div>
    <w:div w:id="498471303">
      <w:bodyDiv w:val="1"/>
      <w:marLeft w:val="0"/>
      <w:marRight w:val="0"/>
      <w:marTop w:val="0"/>
      <w:marBottom w:val="0"/>
      <w:divBdr>
        <w:top w:val="none" w:sz="0" w:space="0" w:color="auto"/>
        <w:left w:val="none" w:sz="0" w:space="0" w:color="auto"/>
        <w:bottom w:val="none" w:sz="0" w:space="0" w:color="auto"/>
        <w:right w:val="none" w:sz="0" w:space="0" w:color="auto"/>
      </w:divBdr>
      <w:divsChild>
        <w:div w:id="117799375">
          <w:marLeft w:val="0"/>
          <w:marRight w:val="0"/>
          <w:marTop w:val="0"/>
          <w:marBottom w:val="0"/>
          <w:divBdr>
            <w:top w:val="none" w:sz="0" w:space="0" w:color="auto"/>
            <w:left w:val="none" w:sz="0" w:space="0" w:color="auto"/>
            <w:bottom w:val="none" w:sz="0" w:space="0" w:color="auto"/>
            <w:right w:val="none" w:sz="0" w:space="0" w:color="auto"/>
          </w:divBdr>
        </w:div>
        <w:div w:id="2010522873">
          <w:marLeft w:val="0"/>
          <w:marRight w:val="0"/>
          <w:marTop w:val="0"/>
          <w:marBottom w:val="0"/>
          <w:divBdr>
            <w:top w:val="none" w:sz="0" w:space="0" w:color="auto"/>
            <w:left w:val="none" w:sz="0" w:space="0" w:color="auto"/>
            <w:bottom w:val="none" w:sz="0" w:space="0" w:color="auto"/>
            <w:right w:val="none" w:sz="0" w:space="0" w:color="auto"/>
          </w:divBdr>
        </w:div>
        <w:div w:id="2093579666">
          <w:marLeft w:val="0"/>
          <w:marRight w:val="0"/>
          <w:marTop w:val="0"/>
          <w:marBottom w:val="0"/>
          <w:divBdr>
            <w:top w:val="none" w:sz="0" w:space="0" w:color="auto"/>
            <w:left w:val="none" w:sz="0" w:space="0" w:color="auto"/>
            <w:bottom w:val="none" w:sz="0" w:space="0" w:color="auto"/>
            <w:right w:val="none" w:sz="0" w:space="0" w:color="auto"/>
          </w:divBdr>
        </w:div>
      </w:divsChild>
    </w:div>
    <w:div w:id="507212817">
      <w:bodyDiv w:val="1"/>
      <w:marLeft w:val="0"/>
      <w:marRight w:val="0"/>
      <w:marTop w:val="0"/>
      <w:marBottom w:val="0"/>
      <w:divBdr>
        <w:top w:val="none" w:sz="0" w:space="0" w:color="auto"/>
        <w:left w:val="none" w:sz="0" w:space="0" w:color="auto"/>
        <w:bottom w:val="none" w:sz="0" w:space="0" w:color="auto"/>
        <w:right w:val="none" w:sz="0" w:space="0" w:color="auto"/>
      </w:divBdr>
    </w:div>
    <w:div w:id="545531217">
      <w:bodyDiv w:val="1"/>
      <w:marLeft w:val="0"/>
      <w:marRight w:val="0"/>
      <w:marTop w:val="0"/>
      <w:marBottom w:val="0"/>
      <w:divBdr>
        <w:top w:val="none" w:sz="0" w:space="0" w:color="auto"/>
        <w:left w:val="none" w:sz="0" w:space="0" w:color="auto"/>
        <w:bottom w:val="none" w:sz="0" w:space="0" w:color="auto"/>
        <w:right w:val="none" w:sz="0" w:space="0" w:color="auto"/>
      </w:divBdr>
      <w:divsChild>
        <w:div w:id="316157516">
          <w:marLeft w:val="0"/>
          <w:marRight w:val="0"/>
          <w:marTop w:val="0"/>
          <w:marBottom w:val="0"/>
          <w:divBdr>
            <w:top w:val="none" w:sz="0" w:space="0" w:color="auto"/>
            <w:left w:val="none" w:sz="0" w:space="0" w:color="auto"/>
            <w:bottom w:val="none" w:sz="0" w:space="0" w:color="auto"/>
            <w:right w:val="none" w:sz="0" w:space="0" w:color="auto"/>
          </w:divBdr>
        </w:div>
        <w:div w:id="637107203">
          <w:marLeft w:val="0"/>
          <w:marRight w:val="0"/>
          <w:marTop w:val="0"/>
          <w:marBottom w:val="0"/>
          <w:divBdr>
            <w:top w:val="none" w:sz="0" w:space="0" w:color="auto"/>
            <w:left w:val="none" w:sz="0" w:space="0" w:color="auto"/>
            <w:bottom w:val="none" w:sz="0" w:space="0" w:color="auto"/>
            <w:right w:val="none" w:sz="0" w:space="0" w:color="auto"/>
          </w:divBdr>
          <w:divsChild>
            <w:div w:id="1154568565">
              <w:marLeft w:val="0"/>
              <w:marRight w:val="0"/>
              <w:marTop w:val="0"/>
              <w:marBottom w:val="0"/>
              <w:divBdr>
                <w:top w:val="none" w:sz="0" w:space="0" w:color="auto"/>
                <w:left w:val="none" w:sz="0" w:space="0" w:color="auto"/>
                <w:bottom w:val="none" w:sz="0" w:space="0" w:color="auto"/>
                <w:right w:val="none" w:sz="0" w:space="0" w:color="auto"/>
              </w:divBdr>
            </w:div>
          </w:divsChild>
        </w:div>
        <w:div w:id="881400547">
          <w:marLeft w:val="0"/>
          <w:marRight w:val="0"/>
          <w:marTop w:val="0"/>
          <w:marBottom w:val="0"/>
          <w:divBdr>
            <w:top w:val="none" w:sz="0" w:space="0" w:color="auto"/>
            <w:left w:val="none" w:sz="0" w:space="0" w:color="auto"/>
            <w:bottom w:val="none" w:sz="0" w:space="0" w:color="auto"/>
            <w:right w:val="none" w:sz="0" w:space="0" w:color="auto"/>
          </w:divBdr>
        </w:div>
      </w:divsChild>
    </w:div>
    <w:div w:id="569461676">
      <w:bodyDiv w:val="1"/>
      <w:marLeft w:val="0"/>
      <w:marRight w:val="0"/>
      <w:marTop w:val="0"/>
      <w:marBottom w:val="0"/>
      <w:divBdr>
        <w:top w:val="none" w:sz="0" w:space="0" w:color="auto"/>
        <w:left w:val="none" w:sz="0" w:space="0" w:color="auto"/>
        <w:bottom w:val="none" w:sz="0" w:space="0" w:color="auto"/>
        <w:right w:val="none" w:sz="0" w:space="0" w:color="auto"/>
      </w:divBdr>
    </w:div>
    <w:div w:id="577790470">
      <w:bodyDiv w:val="1"/>
      <w:marLeft w:val="0"/>
      <w:marRight w:val="0"/>
      <w:marTop w:val="0"/>
      <w:marBottom w:val="0"/>
      <w:divBdr>
        <w:top w:val="none" w:sz="0" w:space="0" w:color="auto"/>
        <w:left w:val="none" w:sz="0" w:space="0" w:color="auto"/>
        <w:bottom w:val="none" w:sz="0" w:space="0" w:color="auto"/>
        <w:right w:val="none" w:sz="0" w:space="0" w:color="auto"/>
      </w:divBdr>
    </w:div>
    <w:div w:id="588586863">
      <w:bodyDiv w:val="1"/>
      <w:marLeft w:val="0"/>
      <w:marRight w:val="0"/>
      <w:marTop w:val="0"/>
      <w:marBottom w:val="0"/>
      <w:divBdr>
        <w:top w:val="none" w:sz="0" w:space="0" w:color="auto"/>
        <w:left w:val="none" w:sz="0" w:space="0" w:color="auto"/>
        <w:bottom w:val="none" w:sz="0" w:space="0" w:color="auto"/>
        <w:right w:val="none" w:sz="0" w:space="0" w:color="auto"/>
      </w:divBdr>
    </w:div>
    <w:div w:id="600796831">
      <w:bodyDiv w:val="1"/>
      <w:marLeft w:val="0"/>
      <w:marRight w:val="0"/>
      <w:marTop w:val="0"/>
      <w:marBottom w:val="0"/>
      <w:divBdr>
        <w:top w:val="none" w:sz="0" w:space="0" w:color="auto"/>
        <w:left w:val="none" w:sz="0" w:space="0" w:color="auto"/>
        <w:bottom w:val="none" w:sz="0" w:space="0" w:color="auto"/>
        <w:right w:val="none" w:sz="0" w:space="0" w:color="auto"/>
      </w:divBdr>
    </w:div>
    <w:div w:id="646132157">
      <w:bodyDiv w:val="1"/>
      <w:marLeft w:val="0"/>
      <w:marRight w:val="0"/>
      <w:marTop w:val="0"/>
      <w:marBottom w:val="0"/>
      <w:divBdr>
        <w:top w:val="none" w:sz="0" w:space="0" w:color="auto"/>
        <w:left w:val="none" w:sz="0" w:space="0" w:color="auto"/>
        <w:bottom w:val="none" w:sz="0" w:space="0" w:color="auto"/>
        <w:right w:val="none" w:sz="0" w:space="0" w:color="auto"/>
      </w:divBdr>
    </w:div>
    <w:div w:id="650059167">
      <w:bodyDiv w:val="1"/>
      <w:marLeft w:val="0"/>
      <w:marRight w:val="0"/>
      <w:marTop w:val="0"/>
      <w:marBottom w:val="0"/>
      <w:divBdr>
        <w:top w:val="none" w:sz="0" w:space="0" w:color="auto"/>
        <w:left w:val="none" w:sz="0" w:space="0" w:color="auto"/>
        <w:bottom w:val="none" w:sz="0" w:space="0" w:color="auto"/>
        <w:right w:val="none" w:sz="0" w:space="0" w:color="auto"/>
      </w:divBdr>
    </w:div>
    <w:div w:id="659887875">
      <w:bodyDiv w:val="1"/>
      <w:marLeft w:val="0"/>
      <w:marRight w:val="0"/>
      <w:marTop w:val="0"/>
      <w:marBottom w:val="0"/>
      <w:divBdr>
        <w:top w:val="none" w:sz="0" w:space="0" w:color="auto"/>
        <w:left w:val="none" w:sz="0" w:space="0" w:color="auto"/>
        <w:bottom w:val="none" w:sz="0" w:space="0" w:color="auto"/>
        <w:right w:val="none" w:sz="0" w:space="0" w:color="auto"/>
      </w:divBdr>
    </w:div>
    <w:div w:id="668482189">
      <w:bodyDiv w:val="1"/>
      <w:marLeft w:val="0"/>
      <w:marRight w:val="0"/>
      <w:marTop w:val="0"/>
      <w:marBottom w:val="0"/>
      <w:divBdr>
        <w:top w:val="none" w:sz="0" w:space="0" w:color="auto"/>
        <w:left w:val="none" w:sz="0" w:space="0" w:color="auto"/>
        <w:bottom w:val="none" w:sz="0" w:space="0" w:color="auto"/>
        <w:right w:val="none" w:sz="0" w:space="0" w:color="auto"/>
      </w:divBdr>
    </w:div>
    <w:div w:id="720133656">
      <w:bodyDiv w:val="1"/>
      <w:marLeft w:val="0"/>
      <w:marRight w:val="0"/>
      <w:marTop w:val="0"/>
      <w:marBottom w:val="0"/>
      <w:divBdr>
        <w:top w:val="none" w:sz="0" w:space="0" w:color="auto"/>
        <w:left w:val="none" w:sz="0" w:space="0" w:color="auto"/>
        <w:bottom w:val="none" w:sz="0" w:space="0" w:color="auto"/>
        <w:right w:val="none" w:sz="0" w:space="0" w:color="auto"/>
      </w:divBdr>
    </w:div>
    <w:div w:id="776369541">
      <w:bodyDiv w:val="1"/>
      <w:marLeft w:val="0"/>
      <w:marRight w:val="0"/>
      <w:marTop w:val="0"/>
      <w:marBottom w:val="0"/>
      <w:divBdr>
        <w:top w:val="none" w:sz="0" w:space="0" w:color="auto"/>
        <w:left w:val="none" w:sz="0" w:space="0" w:color="auto"/>
        <w:bottom w:val="none" w:sz="0" w:space="0" w:color="auto"/>
        <w:right w:val="none" w:sz="0" w:space="0" w:color="auto"/>
      </w:divBdr>
    </w:div>
    <w:div w:id="798839205">
      <w:bodyDiv w:val="1"/>
      <w:marLeft w:val="0"/>
      <w:marRight w:val="0"/>
      <w:marTop w:val="0"/>
      <w:marBottom w:val="0"/>
      <w:divBdr>
        <w:top w:val="none" w:sz="0" w:space="0" w:color="auto"/>
        <w:left w:val="none" w:sz="0" w:space="0" w:color="auto"/>
        <w:bottom w:val="none" w:sz="0" w:space="0" w:color="auto"/>
        <w:right w:val="none" w:sz="0" w:space="0" w:color="auto"/>
      </w:divBdr>
    </w:div>
    <w:div w:id="827526315">
      <w:bodyDiv w:val="1"/>
      <w:marLeft w:val="0"/>
      <w:marRight w:val="0"/>
      <w:marTop w:val="0"/>
      <w:marBottom w:val="0"/>
      <w:divBdr>
        <w:top w:val="none" w:sz="0" w:space="0" w:color="auto"/>
        <w:left w:val="none" w:sz="0" w:space="0" w:color="auto"/>
        <w:bottom w:val="none" w:sz="0" w:space="0" w:color="auto"/>
        <w:right w:val="none" w:sz="0" w:space="0" w:color="auto"/>
      </w:divBdr>
    </w:div>
    <w:div w:id="931085301">
      <w:bodyDiv w:val="1"/>
      <w:marLeft w:val="0"/>
      <w:marRight w:val="0"/>
      <w:marTop w:val="0"/>
      <w:marBottom w:val="0"/>
      <w:divBdr>
        <w:top w:val="none" w:sz="0" w:space="0" w:color="auto"/>
        <w:left w:val="none" w:sz="0" w:space="0" w:color="auto"/>
        <w:bottom w:val="none" w:sz="0" w:space="0" w:color="auto"/>
        <w:right w:val="none" w:sz="0" w:space="0" w:color="auto"/>
      </w:divBdr>
    </w:div>
    <w:div w:id="974067848">
      <w:bodyDiv w:val="1"/>
      <w:marLeft w:val="0"/>
      <w:marRight w:val="0"/>
      <w:marTop w:val="0"/>
      <w:marBottom w:val="0"/>
      <w:divBdr>
        <w:top w:val="none" w:sz="0" w:space="0" w:color="auto"/>
        <w:left w:val="none" w:sz="0" w:space="0" w:color="auto"/>
        <w:bottom w:val="none" w:sz="0" w:space="0" w:color="auto"/>
        <w:right w:val="none" w:sz="0" w:space="0" w:color="auto"/>
      </w:divBdr>
    </w:div>
    <w:div w:id="1051423701">
      <w:bodyDiv w:val="1"/>
      <w:marLeft w:val="0"/>
      <w:marRight w:val="0"/>
      <w:marTop w:val="0"/>
      <w:marBottom w:val="0"/>
      <w:divBdr>
        <w:top w:val="none" w:sz="0" w:space="0" w:color="auto"/>
        <w:left w:val="none" w:sz="0" w:space="0" w:color="auto"/>
        <w:bottom w:val="none" w:sz="0" w:space="0" w:color="auto"/>
        <w:right w:val="none" w:sz="0" w:space="0" w:color="auto"/>
      </w:divBdr>
    </w:div>
    <w:div w:id="1056126720">
      <w:bodyDiv w:val="1"/>
      <w:marLeft w:val="0"/>
      <w:marRight w:val="0"/>
      <w:marTop w:val="0"/>
      <w:marBottom w:val="0"/>
      <w:divBdr>
        <w:top w:val="none" w:sz="0" w:space="0" w:color="auto"/>
        <w:left w:val="none" w:sz="0" w:space="0" w:color="auto"/>
        <w:bottom w:val="none" w:sz="0" w:space="0" w:color="auto"/>
        <w:right w:val="none" w:sz="0" w:space="0" w:color="auto"/>
      </w:divBdr>
    </w:div>
    <w:div w:id="1094059106">
      <w:bodyDiv w:val="1"/>
      <w:marLeft w:val="0"/>
      <w:marRight w:val="0"/>
      <w:marTop w:val="0"/>
      <w:marBottom w:val="0"/>
      <w:divBdr>
        <w:top w:val="none" w:sz="0" w:space="0" w:color="auto"/>
        <w:left w:val="none" w:sz="0" w:space="0" w:color="auto"/>
        <w:bottom w:val="none" w:sz="0" w:space="0" w:color="auto"/>
        <w:right w:val="none" w:sz="0" w:space="0" w:color="auto"/>
      </w:divBdr>
    </w:div>
    <w:div w:id="1096561134">
      <w:bodyDiv w:val="1"/>
      <w:marLeft w:val="0"/>
      <w:marRight w:val="0"/>
      <w:marTop w:val="0"/>
      <w:marBottom w:val="0"/>
      <w:divBdr>
        <w:top w:val="none" w:sz="0" w:space="0" w:color="auto"/>
        <w:left w:val="none" w:sz="0" w:space="0" w:color="auto"/>
        <w:bottom w:val="none" w:sz="0" w:space="0" w:color="auto"/>
        <w:right w:val="none" w:sz="0" w:space="0" w:color="auto"/>
      </w:divBdr>
    </w:div>
    <w:div w:id="1208642598">
      <w:bodyDiv w:val="1"/>
      <w:marLeft w:val="0"/>
      <w:marRight w:val="0"/>
      <w:marTop w:val="0"/>
      <w:marBottom w:val="0"/>
      <w:divBdr>
        <w:top w:val="none" w:sz="0" w:space="0" w:color="auto"/>
        <w:left w:val="none" w:sz="0" w:space="0" w:color="auto"/>
        <w:bottom w:val="none" w:sz="0" w:space="0" w:color="auto"/>
        <w:right w:val="none" w:sz="0" w:space="0" w:color="auto"/>
      </w:divBdr>
    </w:div>
    <w:div w:id="1238704987">
      <w:bodyDiv w:val="1"/>
      <w:marLeft w:val="0"/>
      <w:marRight w:val="0"/>
      <w:marTop w:val="0"/>
      <w:marBottom w:val="0"/>
      <w:divBdr>
        <w:top w:val="none" w:sz="0" w:space="0" w:color="auto"/>
        <w:left w:val="none" w:sz="0" w:space="0" w:color="auto"/>
        <w:bottom w:val="none" w:sz="0" w:space="0" w:color="auto"/>
        <w:right w:val="none" w:sz="0" w:space="0" w:color="auto"/>
      </w:divBdr>
    </w:div>
    <w:div w:id="1272516533">
      <w:bodyDiv w:val="1"/>
      <w:marLeft w:val="0"/>
      <w:marRight w:val="0"/>
      <w:marTop w:val="0"/>
      <w:marBottom w:val="0"/>
      <w:divBdr>
        <w:top w:val="none" w:sz="0" w:space="0" w:color="auto"/>
        <w:left w:val="none" w:sz="0" w:space="0" w:color="auto"/>
        <w:bottom w:val="none" w:sz="0" w:space="0" w:color="auto"/>
        <w:right w:val="none" w:sz="0" w:space="0" w:color="auto"/>
      </w:divBdr>
    </w:div>
    <w:div w:id="1289169869">
      <w:bodyDiv w:val="1"/>
      <w:marLeft w:val="0"/>
      <w:marRight w:val="0"/>
      <w:marTop w:val="0"/>
      <w:marBottom w:val="0"/>
      <w:divBdr>
        <w:top w:val="none" w:sz="0" w:space="0" w:color="auto"/>
        <w:left w:val="none" w:sz="0" w:space="0" w:color="auto"/>
        <w:bottom w:val="none" w:sz="0" w:space="0" w:color="auto"/>
        <w:right w:val="none" w:sz="0" w:space="0" w:color="auto"/>
      </w:divBdr>
    </w:div>
    <w:div w:id="1313173291">
      <w:bodyDiv w:val="1"/>
      <w:marLeft w:val="0"/>
      <w:marRight w:val="0"/>
      <w:marTop w:val="0"/>
      <w:marBottom w:val="0"/>
      <w:divBdr>
        <w:top w:val="none" w:sz="0" w:space="0" w:color="auto"/>
        <w:left w:val="none" w:sz="0" w:space="0" w:color="auto"/>
        <w:bottom w:val="none" w:sz="0" w:space="0" w:color="auto"/>
        <w:right w:val="none" w:sz="0" w:space="0" w:color="auto"/>
      </w:divBdr>
    </w:div>
    <w:div w:id="1381368374">
      <w:bodyDiv w:val="1"/>
      <w:marLeft w:val="0"/>
      <w:marRight w:val="0"/>
      <w:marTop w:val="0"/>
      <w:marBottom w:val="0"/>
      <w:divBdr>
        <w:top w:val="none" w:sz="0" w:space="0" w:color="auto"/>
        <w:left w:val="none" w:sz="0" w:space="0" w:color="auto"/>
        <w:bottom w:val="none" w:sz="0" w:space="0" w:color="auto"/>
        <w:right w:val="none" w:sz="0" w:space="0" w:color="auto"/>
      </w:divBdr>
    </w:div>
    <w:div w:id="1483810027">
      <w:bodyDiv w:val="1"/>
      <w:marLeft w:val="0"/>
      <w:marRight w:val="0"/>
      <w:marTop w:val="0"/>
      <w:marBottom w:val="0"/>
      <w:divBdr>
        <w:top w:val="none" w:sz="0" w:space="0" w:color="auto"/>
        <w:left w:val="none" w:sz="0" w:space="0" w:color="auto"/>
        <w:bottom w:val="none" w:sz="0" w:space="0" w:color="auto"/>
        <w:right w:val="none" w:sz="0" w:space="0" w:color="auto"/>
      </w:divBdr>
    </w:div>
    <w:div w:id="1516534570">
      <w:bodyDiv w:val="1"/>
      <w:marLeft w:val="0"/>
      <w:marRight w:val="0"/>
      <w:marTop w:val="0"/>
      <w:marBottom w:val="0"/>
      <w:divBdr>
        <w:top w:val="none" w:sz="0" w:space="0" w:color="auto"/>
        <w:left w:val="none" w:sz="0" w:space="0" w:color="auto"/>
        <w:bottom w:val="none" w:sz="0" w:space="0" w:color="auto"/>
        <w:right w:val="none" w:sz="0" w:space="0" w:color="auto"/>
      </w:divBdr>
    </w:div>
    <w:div w:id="1516924361">
      <w:bodyDiv w:val="1"/>
      <w:marLeft w:val="0"/>
      <w:marRight w:val="0"/>
      <w:marTop w:val="0"/>
      <w:marBottom w:val="0"/>
      <w:divBdr>
        <w:top w:val="none" w:sz="0" w:space="0" w:color="auto"/>
        <w:left w:val="none" w:sz="0" w:space="0" w:color="auto"/>
        <w:bottom w:val="none" w:sz="0" w:space="0" w:color="auto"/>
        <w:right w:val="none" w:sz="0" w:space="0" w:color="auto"/>
      </w:divBdr>
    </w:div>
    <w:div w:id="1548227209">
      <w:bodyDiv w:val="1"/>
      <w:marLeft w:val="0"/>
      <w:marRight w:val="0"/>
      <w:marTop w:val="0"/>
      <w:marBottom w:val="0"/>
      <w:divBdr>
        <w:top w:val="none" w:sz="0" w:space="0" w:color="auto"/>
        <w:left w:val="none" w:sz="0" w:space="0" w:color="auto"/>
        <w:bottom w:val="none" w:sz="0" w:space="0" w:color="auto"/>
        <w:right w:val="none" w:sz="0" w:space="0" w:color="auto"/>
      </w:divBdr>
    </w:div>
    <w:div w:id="1772969192">
      <w:bodyDiv w:val="1"/>
      <w:marLeft w:val="0"/>
      <w:marRight w:val="0"/>
      <w:marTop w:val="0"/>
      <w:marBottom w:val="0"/>
      <w:divBdr>
        <w:top w:val="none" w:sz="0" w:space="0" w:color="auto"/>
        <w:left w:val="none" w:sz="0" w:space="0" w:color="auto"/>
        <w:bottom w:val="none" w:sz="0" w:space="0" w:color="auto"/>
        <w:right w:val="none" w:sz="0" w:space="0" w:color="auto"/>
      </w:divBdr>
    </w:div>
    <w:div w:id="1809082600">
      <w:bodyDiv w:val="1"/>
      <w:marLeft w:val="0"/>
      <w:marRight w:val="0"/>
      <w:marTop w:val="0"/>
      <w:marBottom w:val="0"/>
      <w:divBdr>
        <w:top w:val="none" w:sz="0" w:space="0" w:color="auto"/>
        <w:left w:val="none" w:sz="0" w:space="0" w:color="auto"/>
        <w:bottom w:val="none" w:sz="0" w:space="0" w:color="auto"/>
        <w:right w:val="none" w:sz="0" w:space="0" w:color="auto"/>
      </w:divBdr>
    </w:div>
    <w:div w:id="1848858553">
      <w:bodyDiv w:val="1"/>
      <w:marLeft w:val="0"/>
      <w:marRight w:val="0"/>
      <w:marTop w:val="0"/>
      <w:marBottom w:val="0"/>
      <w:divBdr>
        <w:top w:val="none" w:sz="0" w:space="0" w:color="auto"/>
        <w:left w:val="none" w:sz="0" w:space="0" w:color="auto"/>
        <w:bottom w:val="none" w:sz="0" w:space="0" w:color="auto"/>
        <w:right w:val="none" w:sz="0" w:space="0" w:color="auto"/>
      </w:divBdr>
    </w:div>
    <w:div w:id="1885214717">
      <w:bodyDiv w:val="1"/>
      <w:marLeft w:val="0"/>
      <w:marRight w:val="0"/>
      <w:marTop w:val="0"/>
      <w:marBottom w:val="0"/>
      <w:divBdr>
        <w:top w:val="none" w:sz="0" w:space="0" w:color="auto"/>
        <w:left w:val="none" w:sz="0" w:space="0" w:color="auto"/>
        <w:bottom w:val="none" w:sz="0" w:space="0" w:color="auto"/>
        <w:right w:val="none" w:sz="0" w:space="0" w:color="auto"/>
      </w:divBdr>
    </w:div>
    <w:div w:id="1908300315">
      <w:bodyDiv w:val="1"/>
      <w:marLeft w:val="0"/>
      <w:marRight w:val="0"/>
      <w:marTop w:val="0"/>
      <w:marBottom w:val="0"/>
      <w:divBdr>
        <w:top w:val="none" w:sz="0" w:space="0" w:color="auto"/>
        <w:left w:val="none" w:sz="0" w:space="0" w:color="auto"/>
        <w:bottom w:val="none" w:sz="0" w:space="0" w:color="auto"/>
        <w:right w:val="none" w:sz="0" w:space="0" w:color="auto"/>
      </w:divBdr>
    </w:div>
    <w:div w:id="1917085243">
      <w:bodyDiv w:val="1"/>
      <w:marLeft w:val="0"/>
      <w:marRight w:val="0"/>
      <w:marTop w:val="0"/>
      <w:marBottom w:val="0"/>
      <w:divBdr>
        <w:top w:val="none" w:sz="0" w:space="0" w:color="auto"/>
        <w:left w:val="none" w:sz="0" w:space="0" w:color="auto"/>
        <w:bottom w:val="none" w:sz="0" w:space="0" w:color="auto"/>
        <w:right w:val="none" w:sz="0" w:space="0" w:color="auto"/>
      </w:divBdr>
    </w:div>
    <w:div w:id="2030718790">
      <w:bodyDiv w:val="1"/>
      <w:marLeft w:val="0"/>
      <w:marRight w:val="0"/>
      <w:marTop w:val="0"/>
      <w:marBottom w:val="0"/>
      <w:divBdr>
        <w:top w:val="none" w:sz="0" w:space="0" w:color="auto"/>
        <w:left w:val="none" w:sz="0" w:space="0" w:color="auto"/>
        <w:bottom w:val="none" w:sz="0" w:space="0" w:color="auto"/>
        <w:right w:val="none" w:sz="0" w:space="0" w:color="auto"/>
      </w:divBdr>
    </w:div>
    <w:div w:id="204972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rmingeol.sn/pages_utiles/statistique_miniere.php"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itie.sn/?offshore_dl=272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itie.sn/wp-content/uploads/2018/01/Plan-de-travail-et-Budget-annuel-Comit%C3%A9-National-2018-v1.1.pdf" TargetMode="External"/><Relationship Id="rId3" Type="http://schemas.openxmlformats.org/officeDocument/2006/relationships/hyperlink" Target="http://www.ohada.com/actes-uniformes/1299/1594/section-1-definition.html" TargetMode="External"/><Relationship Id="rId7" Type="http://schemas.openxmlformats.org/officeDocument/2006/relationships/hyperlink" Target="http://www.droit-afrique.com/upload/doc/senegal/Senegal-Code-1988-minier_Abroge.pdf" TargetMode="External"/><Relationship Id="rId12" Type="http://schemas.openxmlformats.org/officeDocument/2006/relationships/hyperlink" Target="https://www.sec.gouv.sn/Conseil-des-Ministres-du-17,2265.html" TargetMode="External"/><Relationship Id="rId2" Type="http://schemas.openxmlformats.org/officeDocument/2006/relationships/hyperlink" Target="http://itie.sn/?offshore_dl=2704" TargetMode="External"/><Relationship Id="rId1" Type="http://schemas.openxmlformats.org/officeDocument/2006/relationships/hyperlink" Target="http://www.courdescomptes.sn/loi-n90-07-du-26-juin-1990-relative-a-lorganisation-et-au-controle-des-entreprises-du-secteur-parapublic-et-au-controle-des-personnes-morales-de-droit-prive-beneficiant-du-concours-financier-d/" TargetMode="External"/><Relationship Id="rId6" Type="http://schemas.openxmlformats.org/officeDocument/2006/relationships/hyperlink" Target="http://itie.sn/revenus-du-secteur/" TargetMode="External"/><Relationship Id="rId11" Type="http://schemas.openxmlformats.org/officeDocument/2006/relationships/hyperlink" Target="http://itie.sn/rapports-2015-2016/" TargetMode="External"/><Relationship Id="rId5" Type="http://schemas.openxmlformats.org/officeDocument/2006/relationships/hyperlink" Target="http://itie.sn/?offshore_dl=2699" TargetMode="External"/><Relationship Id="rId10" Type="http://schemas.openxmlformats.org/officeDocument/2006/relationships/hyperlink" Target="http://itie.sn/rapport-2014/" TargetMode="External"/><Relationship Id="rId4" Type="http://schemas.openxmlformats.org/officeDocument/2006/relationships/hyperlink" Target="http://itie.sn/?offshore_dl=2696" TargetMode="External"/><Relationship Id="rId9" Type="http://schemas.openxmlformats.org/officeDocument/2006/relationships/hyperlink" Target="https://www.sec.gouv.sn/Conseil-des-Ministres-du-03,2262.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928DFE6F9FA0458EC72BF47C020C99" ma:contentTypeVersion="11" ma:contentTypeDescription="Create a new document." ma:contentTypeScope="" ma:versionID="843ba65275aa8a310832559b2131d811">
  <xsd:schema xmlns:xsd="http://www.w3.org/2001/XMLSchema" xmlns:xs="http://www.w3.org/2001/XMLSchema" xmlns:p="http://schemas.microsoft.com/office/2006/metadata/properties" xmlns:ns2="fe1be84b-5555-4586-833a-5a852e6d5db1" xmlns:ns3="e07afb9b-2630-43d5-bd62-0fadd2859872" targetNamespace="http://schemas.microsoft.com/office/2006/metadata/properties" ma:root="true" ma:fieldsID="d14233ac1c3a8edd040667b428f04c7a" ns2:_="" ns3:_="">
    <xsd:import namespace="fe1be84b-5555-4586-833a-5a852e6d5db1"/>
    <xsd:import namespace="e07afb9b-2630-43d5-bd62-0fadd2859872"/>
    <xsd:element name="properties">
      <xsd:complexType>
        <xsd:sequence>
          <xsd:element name="documentManagement">
            <xsd:complexType>
              <xsd:all>
                <xsd:element ref="ns2:i1f74559e927451cb5a2d4526771989a" minOccurs="0"/>
                <xsd:element ref="ns3:TaxCatchAll" minOccurs="0"/>
                <xsd:element ref="ns2:kc25dfba31e04acfa2d1f3e5bdded51b" minOccurs="0"/>
                <xsd:element ref="ns2:l81973ec77864883838d440605ab8d35" minOccurs="0"/>
                <xsd:element ref="ns2:obd9ef9f3c684e9a9da6ccdc9e5fbd0b" minOccurs="0"/>
                <xsd:element ref="ns2:a7528c1ebb0c4b898cee9a2a6afc0e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be84b-5555-4586-833a-5a852e6d5db1" elementFormDefault="qualified">
    <xsd:import namespace="http://schemas.microsoft.com/office/2006/documentManagement/types"/>
    <xsd:import namespace="http://schemas.microsoft.com/office/infopath/2007/PartnerControls"/>
    <xsd:element name="i1f74559e927451cb5a2d4526771989a" ma:index="9" nillable="true" ma:taxonomy="true" ma:internalName="i1f74559e927451cb5a2d4526771989a" ma:taxonomyFieldName="ASICountry" ma:displayName="Country" ma:default="" ma:fieldId="{21f74559-e927-451c-b5a2-d4526771989a}" ma:taxonomyMulti="true" ma:sspId="4efea2de-e659-42ff-98f6-07632ba82af8" ma:termSetId="3207412d-4322-4740-9717-12090f8fba2a" ma:anchorId="00000000-0000-0000-0000-000000000000" ma:open="false" ma:isKeyword="false">
      <xsd:complexType>
        <xsd:sequence>
          <xsd:element ref="pc:Terms" minOccurs="0" maxOccurs="1"/>
        </xsd:sequence>
      </xsd:complexType>
    </xsd:element>
    <xsd:element name="kc25dfba31e04acfa2d1f3e5bdded51b" ma:index="12" nillable="true" ma:taxonomy="true" ma:internalName="kc25dfba31e04acfa2d1f3e5bdded51b" ma:taxonomyFieldName="ASITheme" ma:displayName="Theme" ma:default="" ma:fieldId="{4c25dfba-31e0-4acf-a2d1-f3e5bdded51b}" ma:sspId="4efea2de-e659-42ff-98f6-07632ba82af8" ma:termSetId="f98b2f7e-83d8-40ad-988d-7b304b2782f3" ma:anchorId="00000000-0000-0000-0000-000000000000" ma:open="false" ma:isKeyword="false">
      <xsd:complexType>
        <xsd:sequence>
          <xsd:element ref="pc:Terms" minOccurs="0" maxOccurs="1"/>
        </xsd:sequence>
      </xsd:complexType>
    </xsd:element>
    <xsd:element name="l81973ec77864883838d440605ab8d35" ma:index="14" nillable="true" ma:taxonomy="true" ma:internalName="l81973ec77864883838d440605ab8d35" ma:taxonomyFieldName="ASITeam2" ma:displayName="Team" ma:default="" ma:fieldId="{581973ec-7786-4883-838d-440605ab8d35}" ma:sspId="4efea2de-e659-42ff-98f6-07632ba82af8" ma:termSetId="2dd7c965-73b0-4d41-9d98-f15950ab550d" ma:anchorId="00000000-0000-0000-0000-000000000000" ma:open="false" ma:isKeyword="false">
      <xsd:complexType>
        <xsd:sequence>
          <xsd:element ref="pc:Terms" minOccurs="0" maxOccurs="1"/>
        </xsd:sequence>
      </xsd:complexType>
    </xsd:element>
    <xsd:element name="obd9ef9f3c684e9a9da6ccdc9e5fbd0b" ma:index="16" nillable="true" ma:taxonomy="true" ma:internalName="obd9ef9f3c684e9a9da6ccdc9e5fbd0b" ma:taxonomyFieldName="ASIDocumentType" ma:displayName="Document Type" ma:default="" ma:fieldId="{8bd9ef9f-3c68-4e9a-9da6-ccdc9e5fbd0b}" ma:sspId="4efea2de-e659-42ff-98f6-07632ba82af8" ma:termSetId="2147d493-387a-423f-8bbd-449af99a639a" ma:anchorId="00000000-0000-0000-0000-000000000000" ma:open="true" ma:isKeyword="false">
      <xsd:complexType>
        <xsd:sequence>
          <xsd:element ref="pc:Terms" minOccurs="0" maxOccurs="1"/>
        </xsd:sequence>
      </xsd:complexType>
    </xsd:element>
    <xsd:element name="a7528c1ebb0c4b898cee9a2a6afc0e32" ma:index="18" nillable="true" ma:taxonomy="true" ma:internalName="a7528c1ebb0c4b898cee9a2a6afc0e32" ma:taxonomyFieldName="asiClient" ma:displayName="Client" ma:default="" ma:fieldId="{a7528c1e-bb0c-4b89-8cee-9a2a6afc0e32}" ma:sspId="4efea2de-e659-42ff-98f6-07632ba82af8" ma:termSetId="036d344f-3447-4e5b-9560-df02524d4cbb"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7afb9b-2630-43d5-bd62-0fadd285987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0cff6d4-69b5-4e8b-b1fe-55d53c513ef3}" ma:internalName="TaxCatchAll" ma:showField="CatchAllData" ma:web="fe1be84b-5555-4586-833a-5a852e6d5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07afb9b-2630-43d5-bd62-0fadd2859872">
      <Value>42</Value>
    </TaxCatchAll>
    <obd9ef9f3c684e9a9da6ccdc9e5fbd0b xmlns="fe1be84b-5555-4586-833a-5a852e6d5db1">
      <Terms xmlns="http://schemas.microsoft.com/office/infopath/2007/PartnerControls"/>
    </obd9ef9f3c684e9a9da6ccdc9e5fbd0b>
    <a7528c1ebb0c4b898cee9a2a6afc0e32 xmlns="fe1be84b-5555-4586-833a-5a852e6d5db1">
      <Terms xmlns="http://schemas.microsoft.com/office/infopath/2007/PartnerControls"/>
    </a7528c1ebb0c4b898cee9a2a6afc0e32>
    <kc25dfba31e04acfa2d1f3e5bdded51b xmlns="fe1be84b-5555-4586-833a-5a852e6d5db1">
      <Terms xmlns="http://schemas.microsoft.com/office/infopath/2007/PartnerControls"/>
    </kc25dfba31e04acfa2d1f3e5bdded51b>
    <i1f74559e927451cb5a2d4526771989a xmlns="fe1be84b-5555-4586-833a-5a852e6d5db1">
      <Terms xmlns="http://schemas.microsoft.com/office/infopath/2007/PartnerControls"/>
    </i1f74559e927451cb5a2d4526771989a>
    <l81973ec77864883838d440605ab8d35 xmlns="fe1be84b-5555-4586-833a-5a852e6d5db1">
      <Terms xmlns="http://schemas.microsoft.com/office/infopath/2007/PartnerControls">
        <TermInfo xmlns="http://schemas.microsoft.com/office/infopath/2007/PartnerControls">
          <TermName xmlns="http://schemas.microsoft.com/office/infopath/2007/PartnerControls">ZA03 - Extractives Industry Governance</TermName>
          <TermId xmlns="http://schemas.microsoft.com/office/infopath/2007/PartnerControls">b014c8ac-f5f9-4d17-af49-4cfcf4f3db5e</TermId>
        </TermInfo>
      </Terms>
    </l81973ec77864883838d440605ab8d3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PHE1642</b:Tag>
    <b:SourceType>InternetSite</b:SourceType>
    <b:Guid>{E8E924D0-C9BB-D84E-9CFD-8C05DEEE256F}</b:Guid>
    <b:Author>
      <b:Author>
        <b:Corporate>PH-EITI</b:Corporate>
      </b:Author>
    </b:Author>
    <b:Title>PH-EITI Presentation to the 63rd Annual National Mine Safety and Environment Conference Minerals Industry Symposium</b:Title>
    <b:Year>2016</b:Year>
    <b:URL>unpublished, provided the PH-EITI Secretariat</b:URL>
    <b:Month>November</b:Month>
    <b:Day>17</b:Day>
    <b:YearAccessed>2017</b:YearAccessed>
    <b:MonthAccessed>February</b:MonthAccessed>
    <b:RefOrder>1</b:RefOrder>
  </b:Source>
  <b:Source>
    <b:Tag>Bus16</b:Tag>
    <b:SourceType>InternetSite</b:SourceType>
    <b:Guid>{CC3ADAC9-7692-234A-9035-C65F1E25CBF6}</b:Guid>
    <b:Author>
      <b:Author>
        <b:Corporate>BusinessWorld</b:Corporate>
      </b:Author>
    </b:Author>
    <b:Title>PHL sees oil, gas potential as EITI efforts lauded</b:Title>
    <b:URL>http://www.bworldonline.com/content.php?section=Economy&amp;title=phl-sees-oil-gas-potential-as-eiti-efforts-lauded&amp;id=123663</b:URL>
    <b:Year>2016</b:Year>
    <b:Month>February</b:Month>
    <b:Day>26</b:Day>
    <b:YearAccessed>2017</b:YearAccessed>
    <b:MonthAccessed>February</b:MonthAccessed>
    <b:RefOrder>2</b:RefOrder>
  </b:Source>
  <b:Source>
    <b:Tag>Min161</b:Tag>
    <b:SourceType>InternetSite</b:SourceType>
    <b:Guid>{E852BD1C-4913-F046-A42C-1310A47013CD}</b:Guid>
    <b:Author>
      <b:Author>
        <b:Corporate>Mines and Geosciences Bureau</b:Corporate>
      </b:Author>
    </b:Author>
    <b:Title>Mineral Resource Inventory</b:Title>
    <b:URL>http://www.mgb.gov.ph/2015-05-13-01-44-56/2015-05-13-01-47-51#</b:URL>
    <b:Year>2016</b:Year>
    <b:YearAccessed>2016</b:YearAccessed>
    <b:MonthAccessed>October</b:MonthAccessed>
    <b:RefOrder>3</b:RefOrder>
  </b:Source>
  <b:Source>
    <b:Tag>PHE156</b:Tag>
    <b:SourceType>DocumentFromInternetSite</b:SourceType>
    <b:Guid>{B6460EE1-35AF-7546-83B5-07FBDDF8FE7E}</b:Guid>
    <b:Author>
      <b:Author>
        <b:Corporate>PH-EITI</b:Corporate>
      </b:Author>
    </b:Author>
    <b:Title>The 2nd PH-EITI Country Report (FY2013) - Executive Summary</b:Title>
    <b:URL>http://ph-eiti.org/document/EITI-Report/Second-Country-Report/Executive%20Summary_2015.pdf</b:URL>
    <b:Year>2015</b:Year>
    <b:Month>December</b:Month>
    <b:YearAccessed>2016</b:YearAccessed>
    <b:MonthAccessed>September</b:MonthAccessed>
    <b:RefOrder>4</b:RefOrder>
  </b:Source>
  <b:Source>
    <b:Tag>Reu16</b:Tag>
    <b:SourceType>DocumentFromInternetSite</b:SourceType>
    <b:Guid>{BDD6010E-B972-354A-8F58-0E1CAD3ABAB3}</b:Guid>
    <b:Author>
      <b:Author>
        <b:Corporate>Reuters</b:Corporate>
      </b:Author>
    </b:Author>
    <b:Title>The Philippines Will Suspend More Mines Over Environmental Violations</b:Title>
    <b:Year>2016</b:Year>
    <b:URL>http://fortune.com/2016/09/05/philippines-mines-suspend/</b:URL>
    <b:Month>September</b:Month>
    <b:Day>5</b:Day>
    <b:YearAccessed>2016</b:YearAccessed>
    <b:MonthAccessed>September</b:MonthAccessed>
    <b:RefOrder>5</b:RefOrder>
  </b:Source>
  <b:Source>
    <b:Tag>EIT162</b:Tag>
    <b:SourceType>InternetSite</b:SourceType>
    <b:Guid>{4E21543C-9CAF-134D-A132-629099C36A65}</b:Guid>
    <b:Author>
      <b:Author>
        <b:Corporate>EITI</b:Corporate>
      </b:Author>
    </b:Author>
    <b:Title>Philippines country page</b:Title>
    <b:URL>https://eiti.org/implementing_country/2</b:URL>
    <b:YearAccessed>2016</b:YearAccessed>
    <b:MonthAccessed>November</b:MonthAccessed>
    <b:Year>2016</b:Year>
    <b:RefOrder>6</b:RefOrder>
  </b:Source>
  <b:Source>
    <b:Tag>Amn14</b:Tag>
    <b:SourceType>InternetSite</b:SourceType>
    <b:Guid>{A8BB2ED3-04AC-5344-BA02-BA0C57E60C3F}</b:Guid>
    <b:Author>
      <b:Author>
        <b:Corporate>Amnesty International</b:Corporate>
      </b:Author>
    </b:Author>
    <b:Title>MINING AND HUMAN RIGHTS IN SENEGAL ClosIng the gAps In pRoteCtIon</b:Title>
    <b:URL>file:///Users/alexgordy/Downloads/afr490022014en.pdf</b:URL>
    <b:Year>2014</b:Year>
    <b:YearAccessed>2017</b:YearAccessed>
    <b:MonthAccessed>July</b:MonthAccessed>
    <b:RefOrder>17</b:RefOrder>
  </b:Source>
  <b:Source>
    <b:Tag>Wor162</b:Tag>
    <b:SourceType>InternetSite</b:SourceType>
    <b:Guid>{4C839B83-7B91-8946-8E50-FABEDF1AE8E1}</b:Guid>
    <b:Author>
      <b:Author>
        <b:Corporate>World Bank</b:Corporate>
      </b:Author>
    </b:Author>
    <b:Title>PROJECT PAPER ON A PROPOSED GRANT IN THE AMOUNT OF (US$ 0.30 MILLION EQUIVALENT) TO REPUBLIC OF SENEGAL FOR A SENEGAL SUPPORT TO EXTRACTIVE INDUSTRIES TRANSPARENCY INITIATIVE COMPLIANCE PROCESS PROJECT</b:Title>
    <b:URL>http://documents.worldbank.org/curated/en/373311474563720646/pdf/PP1924-PJPR-OUO-9-Project-Paper-has-been-approved-P160022.pdf</b:URL>
    <b:Year>2016</b:Year>
    <b:Month>May</b:Month>
    <b:YearAccessed>2017</b:YearAccessed>
    <b:MonthAccessed>July</b:MonthAccessed>
    <b:RefOrder>18</b:RefOrder>
  </b:Source>
  <b:Source>
    <b:Tag>USG161</b:Tag>
    <b:SourceType>InternetSite</b:SourceType>
    <b:Guid>{E3A53EB5-680E-1743-AD56-09432D7953E0}</b:Guid>
    <b:Author>
      <b:Author>
        <b:Corporate>USGS</b:Corporate>
      </b:Author>
    </b:Author>
    <b:Title>The MIneral Industry of Senegal 2013 </b:Title>
    <b:URL>https://minerals.usgs.gov/minerals/pubs/country/2013/myb3-2013-sg.pdf</b:URL>
    <b:Year>2016</b:Year>
    <b:Month>March</b:Month>
    <b:YearAccessed>2017</b:YearAccessed>
    <b:MonthAccessed>July</b:MonthAccessed>
    <b:RefOrder>19</b:RefOrder>
  </b:Source>
  <b:Source>
    <b:Tag>Laz171</b:Tag>
    <b:SourceType>InternetSite</b:SourceType>
    <b:Guid>{E63FE176-A633-094A-B7DA-8AC8B379EEB4}</b:Guid>
    <b:Author>
      <b:Author>
        <b:Corporate>Lazard Asset Management </b:Corporate>
      </b:Author>
    </b:Author>
    <b:Title>Senegal country note</b:Title>
    <b:URL>http://www.lazardassetmanagement.co.uk/institutional-investor/docs/sp0/9720/EmergingMarketsSovereign-Senegal_en.pdf?pagename=Emerging+Markets+Sovereign+Outlook</b:URL>
    <b:Year>2017</b:Year>
    <b:Month>February</b:Month>
    <b:YearAccessed>2017</b:YearAccessed>
    <b:MonthAccessed>July</b:MonthAccessed>
    <b:RefOrder>20</b:RefOrder>
  </b:Source>
  <b:Source>
    <b:Tag>Rep171</b:Tag>
    <b:SourceType>InternetSite</b:SourceType>
    <b:Guid>{E59DBC60-585B-544C-BB97-ACA849278C7A}</b:Guid>
    <b:Author>
      <b:Author>
        <b:Corporate>Republic of Senegal</b:Corporate>
      </b:Author>
    </b:Author>
    <b:Title>2017 Eurobond Prospectus</b:Title>
    <b:URL>http://ise.ie/debt_documents/Final%20Prospectus_df8fa04a-3e08-4b19-b380-a12f441623d0.PDF</b:URL>
    <b:Year>2017</b:Year>
    <b:YearAccessed>2017</b:YearAccessed>
    <b:MonthAccessed>July</b:MonthAccessed>
    <b:RefOrder>7</b:RefOrder>
  </b:Source>
  <b:Source>
    <b:Tag>Cai15</b:Tag>
    <b:SourceType>InternetSite</b:SourceType>
    <b:Guid>{0900D5F6-B888-7142-AE9F-88290B86F012}</b:Guid>
    <b:Author>
      <b:Author>
        <b:Corporate>Cairn Energy</b:Corporate>
      </b:Author>
    </b:Author>
    <b:Title>Cairn au Senegal</b:Title>
    <b:URL>https://www.cairnenergy.com/files/pdf/senegal/cairn_in_senegal_2015_fr.pdf</b:URL>
    <b:Year>2015</b:Year>
    <b:YearAccessed>2017</b:YearAccessed>
    <b:MonthAccessed>July</b:MonthAccessed>
    <b:RefOrder>21</b:RefOrder>
  </b:Source>
  <b:Source>
    <b:Tag>Fin16</b:Tag>
    <b:SourceType>InternetSite</b:SourceType>
    <b:Guid>{BE6D5807-A481-004F-9E9C-894A907A00E7}</b:Guid>
    <b:Author>
      <b:Author>
        <b:Corporate>Financial Times</b:Corporate>
      </b:Author>
    </b:Author>
    <b:Title>Cairn Energy boosted by Senegal discovery</b:Title>
    <b:URL>https://www.ft.com/content/729f4f7e-418d-3f78-a38f-15072054bf98</b:URL>
    <b:Year>2016</b:Year>
    <b:Month>August</b:Month>
    <b:YearAccessed>2017</b:YearAccessed>
    <b:MonthAccessed>July</b:MonthAccessed>
    <b:RefOrder>22</b:RefOrder>
  </b:Source>
  <b:Source>
    <b:Tag>IDA17</b:Tag>
    <b:SourceType>InternetSite</b:SourceType>
    <b:Guid>{921A1127-7294-E34F-9935-C6064A9DFBB6}</b:Guid>
    <b:Author>
      <b:Author>
        <b:Corporate>IDA Africa Watch</b:Corporate>
      </b:Author>
    </b:Author>
    <b:Title>WHAT WILL OIL AND GAS MEAN FOR SENEGAL?</b:Title>
    <b:URL>https://www.ida.org/idamedia/Corporate/Files/Publications/AfricaWatch/africawatch-June-8-2017-vol15.ashx</b:URL>
    <b:Year>2017</b:Year>
    <b:Month>June</b:Month>
    <b:YearAccessed>2017</b:YearAccessed>
    <b:MonthAccessed>JULY</b:MonthAccessed>
    <b:RefOrder>23</b:RefOrder>
  </b:Source>
  <b:Source>
    <b:Tag>FAR17</b:Tag>
    <b:SourceType>InternetSite</b:SourceType>
    <b:Guid>{E957F4AF-1CE5-5147-87C2-E65ECB0BFE6F}</b:Guid>
    <b:Author>
      <b:Author>
        <b:Corporate>FAR Ltd</b:Corporate>
      </b:Author>
    </b:Author>
    <b:Title>Senegal Prospective Resource Increase</b:Title>
    <b:URL>http://far.live.irmau.com/irm/PDF/2236_0/SenegalProspectiveResourceIncrease</b:URL>
    <b:Year>2017</b:Year>
    <b:Month>February</b:Month>
    <b:YearAccessed>2017</b:YearAccessed>
    <b:MonthAccessed>July</b:MonthAccessed>
    <b:RefOrder>24</b:RefOrder>
  </b:Source>
  <b:Source>
    <b:Tag>Fin162</b:Tag>
    <b:SourceType>InternetSite</b:SourceType>
    <b:Guid>{5C360EE6-3701-2F4C-891B-539AAAE9A963}</b:Guid>
    <b:Author>
      <b:Author>
        <b:Corporate>Financial Times</b:Corporate>
      </b:Author>
    </b:Author>
    <b:Title>Oil and gas discoveries fuel Senegalese fears  </b:Title>
    <b:URL>https://www.ft.com/content/065ba414-bbce-11e6-8b45-b8b81dd5d080</b:URL>
    <b:Year>2016</b:Year>
    <b:Month>December</b:Month>
    <b:YearAccessed>2017</b:YearAccessed>
    <b:MonthAccessed>July</b:MonthAccessed>
    <b:RefOrder>25</b:RefOrder>
  </b:Source>
</b:Sources>
</file>

<file path=customXml/itemProps1.xml><?xml version="1.0" encoding="utf-8"?>
<ds:datastoreItem xmlns:ds="http://schemas.openxmlformats.org/officeDocument/2006/customXml" ds:itemID="{D4F61C7A-F072-4045-AE47-8F00A5E31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be84b-5555-4586-833a-5a852e6d5db1"/>
    <ds:schemaRef ds:uri="e07afb9b-2630-43d5-bd62-0fadd2859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8D3F26-4123-41DF-B8AA-E92CA5781520}">
  <ds:schemaRefs>
    <ds:schemaRef ds:uri="http://schemas.microsoft.com/office/2006/metadata/properties"/>
    <ds:schemaRef ds:uri="http://schemas.microsoft.com/office/infopath/2007/PartnerControls"/>
    <ds:schemaRef ds:uri="e07afb9b-2630-43d5-bd62-0fadd2859872"/>
    <ds:schemaRef ds:uri="fe1be84b-5555-4586-833a-5a852e6d5db1"/>
  </ds:schemaRefs>
</ds:datastoreItem>
</file>

<file path=customXml/itemProps3.xml><?xml version="1.0" encoding="utf-8"?>
<ds:datastoreItem xmlns:ds="http://schemas.openxmlformats.org/officeDocument/2006/customXml" ds:itemID="{776D8E8B-9601-4758-82C5-25B3D8B46AE7}">
  <ds:schemaRefs>
    <ds:schemaRef ds:uri="http://schemas.microsoft.com/sharepoint/v3/contenttype/forms"/>
  </ds:schemaRefs>
</ds:datastoreItem>
</file>

<file path=customXml/itemProps4.xml><?xml version="1.0" encoding="utf-8"?>
<ds:datastoreItem xmlns:ds="http://schemas.openxmlformats.org/officeDocument/2006/customXml" ds:itemID="{A45254AA-E929-462F-95A3-620E0B272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12</Pages>
  <Words>3343</Words>
  <Characters>18388</Characters>
  <Application>Microsoft Office Word</Application>
  <DocSecurity>0</DocSecurity>
  <Lines>153</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Irwin</dc:creator>
  <cp:lastModifiedBy>Marième Diawara Thiaw</cp:lastModifiedBy>
  <cp:revision>161</cp:revision>
  <cp:lastPrinted>2018-02-02T16:38:00Z</cp:lastPrinted>
  <dcterms:created xsi:type="dcterms:W3CDTF">2018-01-26T14:31:00Z</dcterms:created>
  <dcterms:modified xsi:type="dcterms:W3CDTF">2018-02-03T14:17:00Z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0x010100A7928DFE6F9FA0458EC72BF47C020C99</vt:lpwstr>
  </property>
  <property fmtid="{D5CDD505-2E9C-101B-9397-08002B2CF9AE}" pid="3" name="ASICountry">
    <vt:lpwstr/>
  </property>
  <property fmtid="{D5CDD505-2E9C-101B-9397-08002B2CF9AE}" pid="4" name="ASIDocumentType">
    <vt:lpwstr/>
  </property>
  <property fmtid="{D5CDD505-2E9C-101B-9397-08002B2CF9AE}" pid="5" name="asiClient">
    <vt:lpwstr/>
  </property>
  <property fmtid="{D5CDD505-2E9C-101B-9397-08002B2CF9AE}" pid="6" name="ASITeam2">
    <vt:lpwstr>42;#ZA03 - Extractives Industry Governance|b014c8ac-f5f9-4d17-af49-4cfcf4f3db5e</vt:lpwstr>
  </property>
  <property fmtid="{D5CDD505-2E9C-101B-9397-08002B2CF9AE}" pid="7" name="ASITheme">
    <vt:lpwstr/>
  </property>
</Properties>
</file>