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C870B" w14:textId="139AE042" w:rsidR="00056339" w:rsidRPr="005625E1" w:rsidRDefault="00056339" w:rsidP="00F12713">
      <w:pPr>
        <w:spacing w:after="0" w:line="240" w:lineRule="auto"/>
        <w:jc w:val="center"/>
        <w:rPr>
          <w:rFonts w:cstheme="minorHAnsi"/>
          <w:b/>
        </w:rPr>
      </w:pPr>
      <w:r>
        <w:rPr>
          <w:rFonts w:cstheme="minorHAnsi"/>
          <w:b/>
        </w:rPr>
        <w:t>Validation de l</w:t>
      </w:r>
      <w:r w:rsidR="00E66383">
        <w:rPr>
          <w:rFonts w:cstheme="minorHAnsi"/>
          <w:b/>
        </w:rPr>
        <w:t>’</w:t>
      </w:r>
      <w:r>
        <w:rPr>
          <w:rFonts w:cstheme="minorHAnsi"/>
          <w:b/>
        </w:rPr>
        <w:t>Irak</w:t>
      </w:r>
    </w:p>
    <w:p w14:paraId="30323B62" w14:textId="38B61EF8" w:rsidR="00056339" w:rsidRPr="005625E1" w:rsidRDefault="00116C05" w:rsidP="00F12713">
      <w:pPr>
        <w:tabs>
          <w:tab w:val="left" w:pos="1890"/>
        </w:tabs>
        <w:spacing w:after="0" w:line="240" w:lineRule="auto"/>
        <w:jc w:val="center"/>
        <w:rPr>
          <w:rFonts w:cstheme="minorHAnsi"/>
        </w:rPr>
      </w:pPr>
      <w:r>
        <w:t>Projet de rapport de Validation</w:t>
      </w:r>
    </w:p>
    <w:p w14:paraId="7CE3F3AD" w14:textId="2E7299AA" w:rsidR="00056339" w:rsidRPr="005625E1" w:rsidRDefault="00A57147" w:rsidP="00F12713">
      <w:pPr>
        <w:spacing w:after="0" w:line="240" w:lineRule="auto"/>
        <w:jc w:val="center"/>
        <w:rPr>
          <w:rFonts w:cstheme="minorHAnsi"/>
        </w:rPr>
      </w:pPr>
      <w:r>
        <w:t>Adam Smith International, Validateur Indépendant</w:t>
      </w:r>
    </w:p>
    <w:p w14:paraId="649995B7" w14:textId="4781A688" w:rsidR="00056339" w:rsidRPr="005625E1" w:rsidRDefault="00C57187" w:rsidP="00F12713">
      <w:pPr>
        <w:spacing w:after="0" w:line="240" w:lineRule="auto"/>
        <w:jc w:val="center"/>
        <w:rPr>
          <w:rFonts w:cstheme="minorHAnsi"/>
        </w:rPr>
      </w:pPr>
      <w:r>
        <w:t>10 août 2017</w:t>
      </w:r>
    </w:p>
    <w:p w14:paraId="5DA4E47B" w14:textId="77777777" w:rsidR="00FD740D" w:rsidRDefault="00FD740D" w:rsidP="00FD740D">
      <w:pPr>
        <w:spacing w:after="0" w:line="240" w:lineRule="auto"/>
        <w:rPr>
          <w:rFonts w:cstheme="minorHAnsi"/>
        </w:rPr>
      </w:pPr>
    </w:p>
    <w:p w14:paraId="2F9907FB" w14:textId="327278B1" w:rsidR="00D649C2" w:rsidRPr="00902A78" w:rsidRDefault="00116C05" w:rsidP="00AF1E33">
      <w:pPr>
        <w:spacing w:after="0" w:line="240" w:lineRule="auto"/>
        <w:rPr>
          <w:rFonts w:cstheme="minorHAnsi"/>
          <w:b/>
          <w:color w:val="365F91" w:themeColor="accent1" w:themeShade="BF"/>
        </w:rPr>
      </w:pPr>
      <w:r>
        <w:rPr>
          <w:rFonts w:cstheme="minorHAnsi"/>
          <w:b/>
          <w:color w:val="365F91" w:themeColor="accent1" w:themeShade="BF"/>
        </w:rPr>
        <w:t>1.</w:t>
      </w:r>
      <w:r>
        <w:tab/>
      </w:r>
      <w:r>
        <w:rPr>
          <w:rFonts w:cstheme="minorHAnsi"/>
          <w:b/>
          <w:color w:val="365F91" w:themeColor="accent1" w:themeShade="BF"/>
        </w:rPr>
        <w:t>RÉSUMÉ ANALYTIQUE</w:t>
      </w:r>
    </w:p>
    <w:p w14:paraId="13160C06" w14:textId="3247612D" w:rsidR="003256AB" w:rsidRDefault="003256AB" w:rsidP="00902A78">
      <w:pPr>
        <w:spacing w:before="240" w:after="0" w:line="240" w:lineRule="auto"/>
        <w:jc w:val="both"/>
        <w:rPr>
          <w:bCs/>
        </w:rPr>
      </w:pPr>
      <w:r>
        <w:t>Le gouvernement irakien s</w:t>
      </w:r>
      <w:r w:rsidR="00E66383">
        <w:t>’</w:t>
      </w:r>
      <w:r>
        <w:t>est initialement engagé à mettre en œuvre l</w:t>
      </w:r>
      <w:r w:rsidR="00E66383">
        <w:t>’</w:t>
      </w:r>
      <w:r>
        <w:t>ITIE en juillet 2007 et a annoncé publiquement son engagement à travailler avec tous les groupes de parties prenantes lors de la 4</w:t>
      </w:r>
      <w:r w:rsidRPr="00A04230">
        <w:rPr>
          <w:vertAlign w:val="superscript"/>
        </w:rPr>
        <w:t>e</w:t>
      </w:r>
      <w:r>
        <w:t xml:space="preserve"> Conférence mondiale de l</w:t>
      </w:r>
      <w:r w:rsidR="00E66383">
        <w:t>’</w:t>
      </w:r>
      <w:r>
        <w:t>ITIE à Doha (Qatar) en février 2009. Le 2 juin 2016, le Conseil d</w:t>
      </w:r>
      <w:r w:rsidR="00E66383">
        <w:t>’</w:t>
      </w:r>
      <w:r>
        <w:t>administration a décidé que la Validation de l</w:t>
      </w:r>
      <w:r w:rsidR="00E66383">
        <w:t>’</w:t>
      </w:r>
      <w:r>
        <w:t>Irak au titre de la Norme ITIE</w:t>
      </w:r>
      <w:r w:rsidR="00A0179E">
        <w:t> </w:t>
      </w:r>
      <w:r>
        <w:t>2016 commencerait le 1</w:t>
      </w:r>
      <w:r>
        <w:rPr>
          <w:vertAlign w:val="superscript"/>
        </w:rPr>
        <w:t>er</w:t>
      </w:r>
      <w:r>
        <w:t xml:space="preserve"> janvier 2017. </w:t>
      </w:r>
    </w:p>
    <w:p w14:paraId="2AC44208" w14:textId="77777777" w:rsidR="003256AB" w:rsidRDefault="003256AB" w:rsidP="00487513">
      <w:pPr>
        <w:spacing w:after="0" w:line="240" w:lineRule="auto"/>
        <w:jc w:val="both"/>
        <w:rPr>
          <w:bCs/>
        </w:rPr>
      </w:pPr>
    </w:p>
    <w:p w14:paraId="532335D4" w14:textId="70C3E0FF" w:rsidR="00AF1E33" w:rsidRPr="00AF1E33" w:rsidRDefault="00AF1E33" w:rsidP="00487513">
      <w:pPr>
        <w:spacing w:after="0" w:line="240" w:lineRule="auto"/>
        <w:jc w:val="both"/>
        <w:rPr>
          <w:rFonts w:cstheme="minorHAnsi"/>
        </w:rPr>
      </w:pPr>
      <w:r>
        <w:t>Le présent projet de rapport de Validation fait suite à l</w:t>
      </w:r>
      <w:r w:rsidR="00E66383">
        <w:t>’</w:t>
      </w:r>
      <w:r>
        <w:t>examen d</w:t>
      </w:r>
      <w:r w:rsidR="00E66383">
        <w:t>’</w:t>
      </w:r>
      <w:r w:rsidR="00E72398">
        <w:t>assurance qualité de</w:t>
      </w:r>
      <w:r>
        <w:t xml:space="preserve"> l</w:t>
      </w:r>
      <w:r w:rsidR="00E66383">
        <w:t>’</w:t>
      </w:r>
      <w:r>
        <w:t>évaluation initial</w:t>
      </w:r>
      <w:r w:rsidR="00A04230">
        <w:t>e du Secrétariat international</w:t>
      </w:r>
      <w:r w:rsidR="00E72398" w:rsidRPr="00E72398">
        <w:t xml:space="preserve"> qui a été effectué</w:t>
      </w:r>
      <w:r w:rsidR="00A04230">
        <w:t>.</w:t>
      </w:r>
      <w:r>
        <w:t xml:space="preserve"> Le Validateur est d</w:t>
      </w:r>
      <w:r w:rsidR="00E66383">
        <w:t>’</w:t>
      </w:r>
      <w:r>
        <w:t>accord avec l</w:t>
      </w:r>
      <w:r w:rsidR="00E66383">
        <w:t>’</w:t>
      </w:r>
      <w:r>
        <w:t xml:space="preserve">évaluation préliminaire du Secrétariat, selon laquelle 22 </w:t>
      </w:r>
      <w:r w:rsidR="00CB15DA">
        <w:t>e</w:t>
      </w:r>
      <w:r>
        <w:t>xigences de la Norme EITI n</w:t>
      </w:r>
      <w:r w:rsidR="00E66383">
        <w:t>’</w:t>
      </w:r>
      <w:r>
        <w:t xml:space="preserve">ont pas été entièrement </w:t>
      </w:r>
      <w:r w:rsidR="00CB15DA">
        <w:t>satisfaite</w:t>
      </w:r>
      <w:r>
        <w:t xml:space="preserve">s en Irak. 15 de ces </w:t>
      </w:r>
      <w:r w:rsidR="00CB15DA">
        <w:t>e</w:t>
      </w:r>
      <w:r>
        <w:t>xigences sont évalué</w:t>
      </w:r>
      <w:r w:rsidR="00A04230">
        <w:t>es comme ayant enregistré des «</w:t>
      </w:r>
      <w:r w:rsidR="00A0179E">
        <w:t> </w:t>
      </w:r>
      <w:r>
        <w:t>progrès ins</w:t>
      </w:r>
      <w:r w:rsidR="00CB15DA">
        <w:t>uffisants</w:t>
      </w:r>
      <w:r w:rsidR="00A0179E">
        <w:t> </w:t>
      </w:r>
      <w:r w:rsidR="00A04230">
        <w:t>»</w:t>
      </w:r>
      <w:r w:rsidR="00E72398">
        <w:t>.</w:t>
      </w:r>
      <w:r>
        <w:t xml:space="preserve"> </w:t>
      </w:r>
    </w:p>
    <w:p w14:paraId="0783FB4D" w14:textId="77777777" w:rsidR="00645AC4" w:rsidRDefault="00645AC4" w:rsidP="00F12713">
      <w:pPr>
        <w:spacing w:after="0" w:line="240" w:lineRule="auto"/>
        <w:rPr>
          <w:rFonts w:cstheme="minorHAnsi"/>
          <w:b/>
          <w:color w:val="365F91" w:themeColor="accent1" w:themeShade="BF"/>
        </w:rPr>
      </w:pPr>
    </w:p>
    <w:p w14:paraId="3265A452" w14:textId="59822169" w:rsidR="00344212" w:rsidRPr="00902A78" w:rsidRDefault="00645AC4" w:rsidP="00344212">
      <w:pPr>
        <w:spacing w:after="0" w:line="240" w:lineRule="auto"/>
        <w:rPr>
          <w:rFonts w:cstheme="minorHAnsi"/>
          <w:b/>
          <w:color w:val="365F91" w:themeColor="accent1" w:themeShade="BF"/>
        </w:rPr>
      </w:pPr>
      <w:r>
        <w:rPr>
          <w:rFonts w:cstheme="minorHAnsi"/>
          <w:b/>
          <w:color w:val="365F91" w:themeColor="accent1" w:themeShade="BF"/>
        </w:rPr>
        <w:t>2.</w:t>
      </w:r>
      <w:r>
        <w:tab/>
      </w:r>
      <w:r>
        <w:rPr>
          <w:rFonts w:cstheme="minorHAnsi"/>
          <w:b/>
          <w:color w:val="365F91" w:themeColor="accent1" w:themeShade="BF"/>
        </w:rPr>
        <w:t>CONTEXTE</w:t>
      </w:r>
    </w:p>
    <w:p w14:paraId="255CB71D" w14:textId="2504132B" w:rsidR="005D069B" w:rsidRPr="00B47274" w:rsidRDefault="005D069B" w:rsidP="00902A78">
      <w:pPr>
        <w:spacing w:before="240"/>
        <w:jc w:val="both"/>
        <w:rPr>
          <w:bCs/>
        </w:rPr>
      </w:pPr>
      <w:r>
        <w:t>La production pétrolière irakienne s</w:t>
      </w:r>
      <w:r w:rsidR="00E66383">
        <w:t>’</w:t>
      </w:r>
      <w:r>
        <w:t>est rapidement accrue depuis les premières découvertes en 1927, développées par les précurseurs des compagnies pétrolières internationales d</w:t>
      </w:r>
      <w:r w:rsidR="00E66383">
        <w:t>’</w:t>
      </w:r>
      <w:r>
        <w:t>aujourd</w:t>
      </w:r>
      <w:r w:rsidR="00E66383">
        <w:t>’</w:t>
      </w:r>
      <w:r>
        <w:t xml:space="preserve">hui, telles que Anglo-Iranian, Shell, Mobil et Standard Oil of New Jersey. Toutes les découvertes majeures se sont produites dans les environs du sud de Bassora, y compris </w:t>
      </w:r>
      <w:r w:rsidR="006125E3">
        <w:t xml:space="preserve">à </w:t>
      </w:r>
      <w:r>
        <w:t xml:space="preserve">Rumaila en 1953 et </w:t>
      </w:r>
      <w:r w:rsidR="006125E3">
        <w:t xml:space="preserve">dans </w:t>
      </w:r>
      <w:r>
        <w:t>le champ de West Qurna en 1973</w:t>
      </w:r>
      <w:r w:rsidR="00962F6C">
        <w:t xml:space="preserve"> </w:t>
      </w:r>
      <w:sdt>
        <w:sdtPr>
          <w:rPr>
            <w:bCs/>
          </w:rPr>
          <w:id w:val="281850699"/>
          <w:citation/>
        </w:sdtPr>
        <w:sdtContent>
          <w:r w:rsidRPr="00B47274">
            <w:rPr>
              <w:bCs/>
            </w:rPr>
            <w:fldChar w:fldCharType="begin"/>
          </w:r>
          <w:r w:rsidRPr="00B47274">
            <w:rPr>
              <w:bCs/>
            </w:rPr>
            <w:instrText xml:space="preserve"> CITATION USE16 \l 1033 </w:instrText>
          </w:r>
          <w:r w:rsidRPr="00B47274">
            <w:rPr>
              <w:bCs/>
            </w:rPr>
            <w:fldChar w:fldCharType="separate"/>
          </w:r>
          <w:r w:rsidRPr="005D069B">
            <w:rPr>
              <w:noProof/>
            </w:rPr>
            <w:t>(US Energy Information Administration, 2016)</w:t>
          </w:r>
          <w:r w:rsidRPr="00B47274">
            <w:rPr>
              <w:bCs/>
            </w:rPr>
            <w:fldChar w:fldCharType="end"/>
          </w:r>
        </w:sdtContent>
      </w:sdt>
      <w:r>
        <w:t>. Bien que l</w:t>
      </w:r>
      <w:r w:rsidR="00E66383">
        <w:t>’</w:t>
      </w:r>
      <w:r>
        <w:t>Irak ne produise pas de matières premières métalliques, la production de son secteur minier comprend des minerais industriels, tels que la bentonite, le ciment, l</w:t>
      </w:r>
      <w:r w:rsidR="00E66383">
        <w:t>’</w:t>
      </w:r>
      <w:r>
        <w:t>argile, le gypse, le calcaire, les engrais azotés et phosphaté</w:t>
      </w:r>
      <w:r w:rsidR="006125E3">
        <w:t>s</w:t>
      </w:r>
      <w:r>
        <w:t>, le phosphate naturel, le sel, le sable et le gravier, le sable de silice et le soufre. L</w:t>
      </w:r>
      <w:r w:rsidR="00E66383">
        <w:t>’</w:t>
      </w:r>
      <w:r>
        <w:t>Iraq Geological Survey (Geosurv-Iraq) a longtemps favorisé l</w:t>
      </w:r>
      <w:r w:rsidR="00E66383">
        <w:t>’</w:t>
      </w:r>
      <w:r>
        <w:t>investissement dans 12 projets miniers industriels, y compris l</w:t>
      </w:r>
      <w:r w:rsidR="00E66383">
        <w:t>’</w:t>
      </w:r>
      <w:r>
        <w:t>exploitation minière e</w:t>
      </w:r>
      <w:r w:rsidR="00962F6C">
        <w:t>t les usines de traitement pour</w:t>
      </w:r>
      <w:r>
        <w:t xml:space="preserve"> les phosphates, le sulfate de sodium, l</w:t>
      </w:r>
      <w:r w:rsidR="00E66383">
        <w:t>’</w:t>
      </w:r>
      <w:r>
        <w:t>alumine, le carbonate de calcium et d</w:t>
      </w:r>
      <w:r w:rsidR="00E66383">
        <w:t>’</w:t>
      </w:r>
      <w:r>
        <w:t xml:space="preserve">autres minerais </w:t>
      </w:r>
      <w:sdt>
        <w:sdtPr>
          <w:rPr>
            <w:iCs/>
          </w:rPr>
          <w:id w:val="-470053271"/>
          <w:citation/>
        </w:sdtPr>
        <w:sdtContent>
          <w:r w:rsidRPr="00B47274">
            <w:rPr>
              <w:iCs/>
            </w:rPr>
            <w:fldChar w:fldCharType="begin"/>
          </w:r>
          <w:r w:rsidRPr="00B47274">
            <w:rPr>
              <w:iCs/>
            </w:rPr>
            <w:instrText xml:space="preserve"> CITATION USG15 \l 1033 </w:instrText>
          </w:r>
          <w:r w:rsidRPr="00B47274">
            <w:rPr>
              <w:iCs/>
            </w:rPr>
            <w:fldChar w:fldCharType="separate"/>
          </w:r>
          <w:r w:rsidRPr="005D069B">
            <w:rPr>
              <w:noProof/>
            </w:rPr>
            <w:t>(US Geological Service, 2015)</w:t>
          </w:r>
          <w:r w:rsidRPr="00B47274">
            <w:rPr>
              <w:iCs/>
            </w:rPr>
            <w:fldChar w:fldCharType="end"/>
          </w:r>
        </w:sdtContent>
      </w:sdt>
      <w:r>
        <w:t>. Cependant, aucune offre n</w:t>
      </w:r>
      <w:r w:rsidR="00E66383">
        <w:t>’</w:t>
      </w:r>
      <w:r>
        <w:t>a été faite, en raison d</w:t>
      </w:r>
      <w:r w:rsidR="006125E3">
        <w:t>u fait que l</w:t>
      </w:r>
      <w:r>
        <w:t xml:space="preserve">es gisements </w:t>
      </w:r>
      <w:r w:rsidR="006125E3">
        <w:t xml:space="preserve">sont </w:t>
      </w:r>
      <w:r>
        <w:t>situ</w:t>
      </w:r>
      <w:r w:rsidR="00962F6C">
        <w:t xml:space="preserve">és dans des régions instables. </w:t>
      </w:r>
      <w:r>
        <w:t>Le gouvernement régional du Kurdistan (GRK) a également publié un</w:t>
      </w:r>
      <w:r w:rsidR="006125E3">
        <w:t xml:space="preserve"> panorama</w:t>
      </w:r>
      <w:r>
        <w:t xml:space="preserve"> minie</w:t>
      </w:r>
      <w:r w:rsidR="006125E3">
        <w:t>r</w:t>
      </w:r>
      <w:r>
        <w:t xml:space="preserve"> général sur son site Internet, </w:t>
      </w:r>
      <w:r w:rsidR="00D326EE">
        <w:t>bien qu’</w:t>
      </w:r>
      <w:r>
        <w:t>elle s</w:t>
      </w:r>
      <w:r w:rsidR="00D326EE">
        <w:t>oi</w:t>
      </w:r>
      <w:r>
        <w:t xml:space="preserve">t </w:t>
      </w:r>
      <w:r w:rsidR="00D326EE">
        <w:t xml:space="preserve">peu </w:t>
      </w:r>
      <w:r>
        <w:t>détaillée</w:t>
      </w:r>
      <w:r w:rsidR="00C218FB">
        <w:t xml:space="preserve"> </w:t>
      </w:r>
      <w:sdt>
        <w:sdtPr>
          <w:rPr>
            <w:iCs/>
          </w:rPr>
          <w:id w:val="471177723"/>
          <w:citation/>
        </w:sdtPr>
        <w:sdtContent>
          <w:r w:rsidRPr="00B47274">
            <w:rPr>
              <w:iCs/>
            </w:rPr>
            <w:fldChar w:fldCharType="begin"/>
          </w:r>
          <w:r w:rsidRPr="00B47274">
            <w:rPr>
              <w:iCs/>
            </w:rPr>
            <w:instrText xml:space="preserve"> CITATION KRG15 \l 1033 </w:instrText>
          </w:r>
          <w:r w:rsidRPr="00B47274">
            <w:rPr>
              <w:iCs/>
            </w:rPr>
            <w:fldChar w:fldCharType="separate"/>
          </w:r>
          <w:r w:rsidRPr="005D069B">
            <w:rPr>
              <w:noProof/>
            </w:rPr>
            <w:t>(KRG Ministry of Natural Resources, 2015)</w:t>
          </w:r>
          <w:r w:rsidRPr="00B47274">
            <w:rPr>
              <w:iCs/>
            </w:rPr>
            <w:fldChar w:fldCharType="end"/>
          </w:r>
        </w:sdtContent>
      </w:sdt>
      <w:r>
        <w:t xml:space="preserve">. </w:t>
      </w:r>
    </w:p>
    <w:p w14:paraId="70E996E5" w14:textId="0D94565E" w:rsidR="005D069B" w:rsidRPr="00B47274" w:rsidRDefault="005D069B" w:rsidP="00487513">
      <w:pPr>
        <w:jc w:val="both"/>
        <w:rPr>
          <w:iCs/>
        </w:rPr>
      </w:pPr>
      <w:r>
        <w:t>Les cinq champs géants</w:t>
      </w:r>
      <w:r>
        <w:rPr>
          <w:rStyle w:val="Appelnotedebasdep"/>
        </w:rPr>
        <w:footnoteReference w:id="1"/>
      </w:r>
      <w:r>
        <w:t xml:space="preserve"> du sud de l</w:t>
      </w:r>
      <w:r w:rsidR="00E66383">
        <w:t>’</w:t>
      </w:r>
      <w:r>
        <w:t xml:space="preserve">Irak contiennent 80 milliards des 91 milliards de barils des réserves couverts par </w:t>
      </w:r>
      <w:r w:rsidR="00634FBC">
        <w:t>un</w:t>
      </w:r>
      <w:r>
        <w:t xml:space="preserve"> contrat de production</w:t>
      </w:r>
      <w:r>
        <w:rPr>
          <w:rStyle w:val="Appelnotedebasdep"/>
        </w:rPr>
        <w:footnoteReference w:id="2"/>
      </w:r>
      <w:r>
        <w:t xml:space="preserve"> </w:t>
      </w:r>
      <w:sdt>
        <w:sdtPr>
          <w:rPr>
            <w:bCs/>
          </w:rPr>
          <w:id w:val="630127126"/>
          <w:citation/>
        </w:sdtPr>
        <w:sdtContent>
          <w:r w:rsidRPr="00B47274">
            <w:rPr>
              <w:bCs/>
            </w:rPr>
            <w:fldChar w:fldCharType="begin"/>
          </w:r>
          <w:r w:rsidRPr="00B47274">
            <w:rPr>
              <w:bCs/>
            </w:rPr>
            <w:instrText xml:space="preserve"> CITATION Ira16 \l 1033 </w:instrText>
          </w:r>
          <w:r w:rsidRPr="00B47274">
            <w:rPr>
              <w:bCs/>
            </w:rPr>
            <w:fldChar w:fldCharType="separate"/>
          </w:r>
          <w:r w:rsidRPr="005D069B">
            <w:rPr>
              <w:noProof/>
            </w:rPr>
            <w:t>(Iraqi Economists, 2016)</w:t>
          </w:r>
          <w:r w:rsidRPr="00B47274">
            <w:rPr>
              <w:bCs/>
            </w:rPr>
            <w:fldChar w:fldCharType="end"/>
          </w:r>
        </w:sdtContent>
      </w:sdt>
      <w:r>
        <w:t>. On estime que les régions du nord de l</w:t>
      </w:r>
      <w:r w:rsidR="00E66383">
        <w:t>’</w:t>
      </w:r>
      <w:r>
        <w:t>Irak (autour de Kirkouk, Mosul et Khanaqin) ne détiennent que 17</w:t>
      </w:r>
      <w:r w:rsidR="00A0179E">
        <w:t> </w:t>
      </w:r>
      <w:r>
        <w:t>% des réserves nationales de pétrole avérées, estimées fin</w:t>
      </w:r>
      <w:r w:rsidR="00A0179E">
        <w:t> </w:t>
      </w:r>
      <w:r>
        <w:t xml:space="preserve">2015 à 143 milliards de barils </w:t>
      </w:r>
      <w:sdt>
        <w:sdtPr>
          <w:rPr>
            <w:iCs/>
          </w:rPr>
          <w:id w:val="2087567111"/>
          <w:citation/>
        </w:sdtPr>
        <w:sdtContent>
          <w:r w:rsidRPr="00B47274">
            <w:rPr>
              <w:iCs/>
            </w:rPr>
            <w:fldChar w:fldCharType="begin"/>
          </w:r>
          <w:r w:rsidRPr="00B47274">
            <w:rPr>
              <w:iCs/>
            </w:rPr>
            <w:instrText xml:space="preserve"> CITATION USE16 \l 1033 </w:instrText>
          </w:r>
          <w:r w:rsidRPr="00B47274">
            <w:rPr>
              <w:iCs/>
            </w:rPr>
            <w:fldChar w:fldCharType="separate"/>
          </w:r>
          <w:r w:rsidRPr="005D069B">
            <w:rPr>
              <w:noProof/>
            </w:rPr>
            <w:t>(US Energy Information Administration, 2016)</w:t>
          </w:r>
          <w:r w:rsidRPr="00B47274">
            <w:rPr>
              <w:iCs/>
            </w:rPr>
            <w:fldChar w:fldCharType="end"/>
          </w:r>
        </w:sdtContent>
      </w:sdt>
      <w:r>
        <w:t>. Classé au cinquième rang mondial, l</w:t>
      </w:r>
      <w:r w:rsidR="00E66383">
        <w:t>’</w:t>
      </w:r>
      <w:r w:rsidR="00E72398">
        <w:t>Irak détien</w:t>
      </w:r>
      <w:r>
        <w:t>t 18</w:t>
      </w:r>
      <w:r w:rsidR="00A0179E">
        <w:t> </w:t>
      </w:r>
      <w:r>
        <w:t>% des réserves pétrolières du Moyen-Orient et 9</w:t>
      </w:r>
      <w:r w:rsidR="00A0179E">
        <w:t> </w:t>
      </w:r>
      <w:r>
        <w:t xml:space="preserve">% des réserves pétrolières mondiales </w:t>
      </w:r>
      <w:sdt>
        <w:sdtPr>
          <w:rPr>
            <w:iCs/>
          </w:rPr>
          <w:id w:val="-952236146"/>
          <w:citation/>
        </w:sdtPr>
        <w:sdtContent>
          <w:r w:rsidRPr="00B47274">
            <w:rPr>
              <w:iCs/>
            </w:rPr>
            <w:fldChar w:fldCharType="begin"/>
          </w:r>
          <w:r w:rsidRPr="00B47274">
            <w:rPr>
              <w:iCs/>
            </w:rPr>
            <w:instrText xml:space="preserve"> CITATION USE16 \l 1033 </w:instrText>
          </w:r>
          <w:r w:rsidRPr="00B47274">
            <w:rPr>
              <w:iCs/>
            </w:rPr>
            <w:fldChar w:fldCharType="separate"/>
          </w:r>
          <w:r w:rsidRPr="005D069B">
            <w:rPr>
              <w:noProof/>
            </w:rPr>
            <w:t>(US Energy Information Administration, 2016)</w:t>
          </w:r>
          <w:r w:rsidRPr="00B47274">
            <w:rPr>
              <w:iCs/>
            </w:rPr>
            <w:fldChar w:fldCharType="end"/>
          </w:r>
        </w:sdtContent>
      </w:sdt>
      <w:r>
        <w:t xml:space="preserve"> </w:t>
      </w:r>
      <w:sdt>
        <w:sdtPr>
          <w:rPr>
            <w:iCs/>
          </w:rPr>
          <w:id w:val="970555733"/>
          <w:citation/>
        </w:sdtPr>
        <w:sdtContent>
          <w:r w:rsidRPr="00B47274">
            <w:rPr>
              <w:iCs/>
            </w:rPr>
            <w:fldChar w:fldCharType="begin"/>
          </w:r>
          <w:r w:rsidRPr="00B47274">
            <w:rPr>
              <w:iCs/>
            </w:rPr>
            <w:instrText xml:space="preserve"> CITATION USG15 \l 1033 </w:instrText>
          </w:r>
          <w:r w:rsidRPr="00B47274">
            <w:rPr>
              <w:iCs/>
            </w:rPr>
            <w:fldChar w:fldCharType="separate"/>
          </w:r>
          <w:r w:rsidRPr="005D069B">
            <w:rPr>
              <w:noProof/>
            </w:rPr>
            <w:t>(US Geological Service, 2015)</w:t>
          </w:r>
          <w:r w:rsidRPr="00B47274">
            <w:rPr>
              <w:iCs/>
            </w:rPr>
            <w:fldChar w:fldCharType="end"/>
          </w:r>
        </w:sdtContent>
      </w:sdt>
      <w:sdt>
        <w:sdtPr>
          <w:rPr>
            <w:iCs/>
          </w:rPr>
          <w:id w:val="-1297208339"/>
          <w:citation/>
        </w:sdtPr>
        <w:sdtContent>
          <w:r w:rsidRPr="00B47274">
            <w:rPr>
              <w:iCs/>
            </w:rPr>
            <w:fldChar w:fldCharType="begin"/>
          </w:r>
          <w:r w:rsidRPr="00B47274">
            <w:rPr>
              <w:iCs/>
            </w:rPr>
            <w:instrText xml:space="preserve"> CITATION Han15 \l 1033 </w:instrText>
          </w:r>
          <w:r w:rsidRPr="00B47274">
            <w:rPr>
              <w:iCs/>
            </w:rPr>
            <w:fldChar w:fldCharType="separate"/>
          </w:r>
          <w:r>
            <w:rPr>
              <w:iCs/>
              <w:noProof/>
            </w:rPr>
            <w:t xml:space="preserve"> </w:t>
          </w:r>
          <w:r w:rsidRPr="005D069B">
            <w:rPr>
              <w:noProof/>
            </w:rPr>
            <w:t>(Hannam &amp; Partners, 2015)</w:t>
          </w:r>
          <w:r w:rsidRPr="00B47274">
            <w:rPr>
              <w:iCs/>
            </w:rPr>
            <w:fldChar w:fldCharType="end"/>
          </w:r>
        </w:sdtContent>
      </w:sdt>
      <w:r>
        <w:t xml:space="preserve">. Les champs de Rumaila et de West Qurna contiennent à eux seuls plus de réserves de pétrole avérées que </w:t>
      </w:r>
      <w:r w:rsidR="004D0E1C">
        <w:t>celles</w:t>
      </w:r>
      <w:r w:rsidR="00634FBC">
        <w:t xml:space="preserve"> de </w:t>
      </w:r>
      <w:r>
        <w:t>l</w:t>
      </w:r>
      <w:r w:rsidR="00E66383">
        <w:t>’</w:t>
      </w:r>
      <w:r>
        <w:t>ensemble des États-Unis. La totalité de la production de l</w:t>
      </w:r>
      <w:r w:rsidR="00E66383">
        <w:t>’</w:t>
      </w:r>
      <w:r>
        <w:t>Irak s</w:t>
      </w:r>
      <w:r w:rsidR="00E66383">
        <w:t>’</w:t>
      </w:r>
      <w:r>
        <w:t>effectue à terre, la majorité à de</w:t>
      </w:r>
      <w:r w:rsidR="00634FBC">
        <w:t xml:space="preserve"> faible</w:t>
      </w:r>
      <w:r>
        <w:t>s profondeurs de 10 000 pieds et environ 30</w:t>
      </w:r>
      <w:r w:rsidR="00A0179E">
        <w:t> </w:t>
      </w:r>
      <w:r>
        <w:t>% à 40</w:t>
      </w:r>
      <w:r w:rsidR="00A0179E">
        <w:t> </w:t>
      </w:r>
      <w:r>
        <w:t xml:space="preserve">% </w:t>
      </w:r>
      <w:r w:rsidR="00634FBC">
        <w:t xml:space="preserve">à une profondeur se </w:t>
      </w:r>
      <w:r w:rsidR="00634FBC">
        <w:lastRenderedPageBreak/>
        <w:t xml:space="preserve">situant </w:t>
      </w:r>
      <w:r>
        <w:t>entre 2</w:t>
      </w:r>
      <w:r w:rsidR="009F1FB7">
        <w:t xml:space="preserve"> </w:t>
      </w:r>
      <w:r>
        <w:t>000 à 5 000 pieds. L</w:t>
      </w:r>
      <w:r w:rsidR="00E66383">
        <w:t>’</w:t>
      </w:r>
      <w:r>
        <w:t>Irak possède l</w:t>
      </w:r>
      <w:r w:rsidR="00E66383">
        <w:t>’</w:t>
      </w:r>
      <w:r>
        <w:t>un des taux de succès d</w:t>
      </w:r>
      <w:r w:rsidR="00E66383">
        <w:t>’</w:t>
      </w:r>
      <w:r>
        <w:t xml:space="preserve">exploration les plus élevés au monde, </w:t>
      </w:r>
      <w:r w:rsidR="00634FBC">
        <w:t>de l’ordre de</w:t>
      </w:r>
      <w:r>
        <w:t xml:space="preserve"> 2/3, </w:t>
      </w:r>
      <w:r w:rsidR="00634FBC">
        <w:t xml:space="preserve">en </w:t>
      </w:r>
      <w:r>
        <w:t>compar</w:t>
      </w:r>
      <w:r w:rsidR="00634FBC">
        <w:t>aison d’</w:t>
      </w:r>
      <w:r>
        <w:t xml:space="preserve">une moyenne mondiale de 1/10 </w:t>
      </w:r>
      <w:sdt>
        <w:sdtPr>
          <w:rPr>
            <w:iCs/>
          </w:rPr>
          <w:id w:val="-682518696"/>
          <w:citation/>
        </w:sdtPr>
        <w:sdtContent>
          <w:r w:rsidRPr="00B47274">
            <w:rPr>
              <w:iCs/>
            </w:rPr>
            <w:fldChar w:fldCharType="begin"/>
          </w:r>
          <w:r w:rsidRPr="00B47274">
            <w:rPr>
              <w:iCs/>
            </w:rPr>
            <w:instrText xml:space="preserve"> CITATION USE16 \l 1033 </w:instrText>
          </w:r>
          <w:r w:rsidRPr="00B47274">
            <w:rPr>
              <w:iCs/>
            </w:rPr>
            <w:fldChar w:fldCharType="separate"/>
          </w:r>
          <w:r w:rsidRPr="005D069B">
            <w:rPr>
              <w:noProof/>
            </w:rPr>
            <w:t>(US Energy Information Administration, 2016)</w:t>
          </w:r>
          <w:r w:rsidRPr="00B47274">
            <w:rPr>
              <w:iCs/>
            </w:rPr>
            <w:fldChar w:fldCharType="end"/>
          </w:r>
        </w:sdtContent>
      </w:sdt>
      <w:r>
        <w:t xml:space="preserve"> </w:t>
      </w:r>
      <w:sdt>
        <w:sdtPr>
          <w:rPr>
            <w:bCs/>
          </w:rPr>
          <w:id w:val="-156846626"/>
          <w:citation/>
        </w:sdtPr>
        <w:sdtContent>
          <w:r w:rsidRPr="00B47274">
            <w:rPr>
              <w:bCs/>
            </w:rPr>
            <w:fldChar w:fldCharType="begin"/>
          </w:r>
          <w:r w:rsidRPr="00B47274">
            <w:rPr>
              <w:bCs/>
            </w:rPr>
            <w:instrText xml:space="preserve"> CITATION Han15 \l 1033 </w:instrText>
          </w:r>
          <w:r w:rsidRPr="00B47274">
            <w:rPr>
              <w:bCs/>
            </w:rPr>
            <w:fldChar w:fldCharType="separate"/>
          </w:r>
          <w:r w:rsidRPr="005D069B">
            <w:rPr>
              <w:noProof/>
            </w:rPr>
            <w:t>(Hannam &amp; Partners, 2015)</w:t>
          </w:r>
          <w:r w:rsidRPr="00B47274">
            <w:rPr>
              <w:bCs/>
            </w:rPr>
            <w:fldChar w:fldCharType="end"/>
          </w:r>
        </w:sdtContent>
      </w:sdt>
      <w:r>
        <w:t xml:space="preserve">. </w:t>
      </w:r>
      <w:r w:rsidR="00634FBC">
        <w:t>Par ailleurs, l</w:t>
      </w:r>
      <w:r w:rsidR="00E66383">
        <w:t>’</w:t>
      </w:r>
      <w:r>
        <w:t>Irak se classe au 12</w:t>
      </w:r>
      <w:r w:rsidRPr="009F1FB7">
        <w:rPr>
          <w:vertAlign w:val="superscript"/>
        </w:rPr>
        <w:t>e</w:t>
      </w:r>
      <w:r>
        <w:t xml:space="preserve"> rang mondial des réserves de gaz naturel avec 112 tcf, dont les trois quarts sont associés au pétrole dans le sud du pays </w:t>
      </w:r>
      <w:sdt>
        <w:sdtPr>
          <w:rPr>
            <w:iCs/>
          </w:rPr>
          <w:id w:val="862720311"/>
          <w:citation/>
        </w:sdtPr>
        <w:sdtContent>
          <w:r w:rsidRPr="00B47274">
            <w:rPr>
              <w:iCs/>
            </w:rPr>
            <w:fldChar w:fldCharType="begin"/>
          </w:r>
          <w:r w:rsidRPr="00B47274">
            <w:rPr>
              <w:iCs/>
            </w:rPr>
            <w:instrText xml:space="preserve"> CITATION Han15 \l 1033 </w:instrText>
          </w:r>
          <w:r w:rsidRPr="00B47274">
            <w:rPr>
              <w:iCs/>
            </w:rPr>
            <w:fldChar w:fldCharType="separate"/>
          </w:r>
          <w:r w:rsidRPr="005D069B">
            <w:rPr>
              <w:noProof/>
            </w:rPr>
            <w:t>(Hannam &amp; Partners, 2015)</w:t>
          </w:r>
          <w:r w:rsidRPr="00B47274">
            <w:rPr>
              <w:iCs/>
            </w:rPr>
            <w:fldChar w:fldCharType="end"/>
          </w:r>
        </w:sdtContent>
      </w:sdt>
      <w:r>
        <w:t>. Cependant, l</w:t>
      </w:r>
      <w:r w:rsidR="00E66383">
        <w:t>’</w:t>
      </w:r>
      <w:r>
        <w:t>infrastructure gazière restreinte a limité l</w:t>
      </w:r>
      <w:r w:rsidR="00E66383">
        <w:t>’</w:t>
      </w:r>
      <w:r>
        <w:t>exploration axée sur le gaz et l</w:t>
      </w:r>
      <w:r w:rsidR="00E66383">
        <w:t>’</w:t>
      </w:r>
      <w:r>
        <w:t xml:space="preserve">Irak se classait au quatrième rang mondial des pays en termes de torchage de gaz en 2014 </w:t>
      </w:r>
      <w:sdt>
        <w:sdtPr>
          <w:rPr>
            <w:iCs/>
          </w:rPr>
          <w:id w:val="-1203546768"/>
          <w:citation/>
        </w:sdtPr>
        <w:sdtContent>
          <w:r w:rsidRPr="00B47274">
            <w:rPr>
              <w:iCs/>
            </w:rPr>
            <w:fldChar w:fldCharType="begin"/>
          </w:r>
          <w:r w:rsidRPr="00B47274">
            <w:rPr>
              <w:iCs/>
            </w:rPr>
            <w:instrText xml:space="preserve"> CITATION USE16 \l 1033 </w:instrText>
          </w:r>
          <w:r w:rsidRPr="00B47274">
            <w:rPr>
              <w:iCs/>
            </w:rPr>
            <w:fldChar w:fldCharType="separate"/>
          </w:r>
          <w:r w:rsidRPr="005D069B">
            <w:rPr>
              <w:noProof/>
            </w:rPr>
            <w:t>(US Energy Information Administration, 2016)</w:t>
          </w:r>
          <w:r w:rsidRPr="00B47274">
            <w:rPr>
              <w:iCs/>
            </w:rPr>
            <w:fldChar w:fldCharType="end"/>
          </w:r>
        </w:sdtContent>
      </w:sdt>
      <w:r>
        <w:t xml:space="preserve">. </w:t>
      </w:r>
    </w:p>
    <w:p w14:paraId="4C4EB458" w14:textId="11409205" w:rsidR="005D069B" w:rsidRPr="00B47274" w:rsidRDefault="005D069B" w:rsidP="00487513">
      <w:pPr>
        <w:jc w:val="both"/>
        <w:rPr>
          <w:iCs/>
        </w:rPr>
      </w:pPr>
      <w:r>
        <w:t>Deuxième plus grand producteur au sein de l</w:t>
      </w:r>
      <w:r w:rsidR="00E66383">
        <w:t>’</w:t>
      </w:r>
      <w:r>
        <w:t>OPEP, l</w:t>
      </w:r>
      <w:r w:rsidR="00E66383">
        <w:t>’</w:t>
      </w:r>
      <w:r>
        <w:t>Irak a augmenté sa production pétrolière d</w:t>
      </w:r>
      <w:r w:rsidR="006A50DC">
        <w:t>’</w:t>
      </w:r>
      <w:r>
        <w:t>e</w:t>
      </w:r>
      <w:r w:rsidR="006A50DC">
        <w:t>nviron</w:t>
      </w:r>
      <w:r>
        <w:t xml:space="preserve"> 58</w:t>
      </w:r>
      <w:r w:rsidR="006A50DC">
        <w:t> </w:t>
      </w:r>
      <w:r>
        <w:t xml:space="preserve">% </w:t>
      </w:r>
      <w:r w:rsidR="00EA5319" w:rsidRPr="00EA5319">
        <w:t>entre 2011 et 2015</w:t>
      </w:r>
      <w:r w:rsidR="006A50DC">
        <w:t xml:space="preserve">, </w:t>
      </w:r>
      <w:r>
        <w:t>à près de 4,1 millions de barils par jour (bp</w:t>
      </w:r>
      <w:r w:rsidR="006A50DC">
        <w:t>j</w:t>
      </w:r>
      <w:r>
        <w:t xml:space="preserve">), </w:t>
      </w:r>
      <w:r w:rsidR="006A50DC">
        <w:t>ce qui représente quelque</w:t>
      </w:r>
      <w:r>
        <w:t xml:space="preserve"> 3,7</w:t>
      </w:r>
      <w:r w:rsidR="00A0179E">
        <w:t> </w:t>
      </w:r>
      <w:r>
        <w:t xml:space="preserve">% de la production mondiale </w:t>
      </w:r>
      <w:sdt>
        <w:sdtPr>
          <w:rPr>
            <w:iCs/>
          </w:rPr>
          <w:id w:val="-535427580"/>
          <w:citation/>
        </w:sdtPr>
        <w:sdtContent>
          <w:r w:rsidRPr="00B47274">
            <w:rPr>
              <w:iCs/>
            </w:rPr>
            <w:fldChar w:fldCharType="begin"/>
          </w:r>
          <w:r w:rsidRPr="00B47274">
            <w:rPr>
              <w:iCs/>
            </w:rPr>
            <w:instrText xml:space="preserve"> CITATION CME16 \l 1033 </w:instrText>
          </w:r>
          <w:r w:rsidRPr="00B47274">
            <w:rPr>
              <w:iCs/>
            </w:rPr>
            <w:fldChar w:fldCharType="separate"/>
          </w:r>
          <w:r w:rsidRPr="005D069B">
            <w:rPr>
              <w:noProof/>
            </w:rPr>
            <w:t>(CME Group, 2016)</w:t>
          </w:r>
          <w:r w:rsidRPr="00B47274">
            <w:rPr>
              <w:iCs/>
            </w:rPr>
            <w:fldChar w:fldCharType="end"/>
          </w:r>
        </w:sdtContent>
      </w:sdt>
      <w:r>
        <w:t xml:space="preserve">. La production a atteint un niveau record de 4,5 millions de </w:t>
      </w:r>
      <w:r w:rsidR="00333CE7">
        <w:t>bpj</w:t>
      </w:r>
      <w:r>
        <w:t xml:space="preserve"> en novembre 2015 </w:t>
      </w:r>
      <w:sdt>
        <w:sdtPr>
          <w:rPr>
            <w:iCs/>
          </w:rPr>
          <w:id w:val="-1953929542"/>
          <w:citation/>
        </w:sdtPr>
        <w:sdtContent>
          <w:r w:rsidRPr="00B47274">
            <w:rPr>
              <w:iCs/>
            </w:rPr>
            <w:fldChar w:fldCharType="begin"/>
          </w:r>
          <w:r w:rsidRPr="00B47274">
            <w:rPr>
              <w:iCs/>
            </w:rPr>
            <w:instrText xml:space="preserve"> CITATION Glo151 \l 1033 </w:instrText>
          </w:r>
          <w:r w:rsidRPr="00B47274">
            <w:rPr>
              <w:iCs/>
            </w:rPr>
            <w:fldChar w:fldCharType="separate"/>
          </w:r>
          <w:r w:rsidRPr="005D069B">
            <w:rPr>
              <w:noProof/>
            </w:rPr>
            <w:t>(Global Risk Insights, 2015)</w:t>
          </w:r>
          <w:r w:rsidRPr="00B47274">
            <w:rPr>
              <w:iCs/>
            </w:rPr>
            <w:fldChar w:fldCharType="end"/>
          </w:r>
        </w:sdtContent>
      </w:sdt>
      <w:r w:rsidR="00494C03">
        <w:t>, e</w:t>
      </w:r>
      <w:r w:rsidR="006A50DC">
        <w:t>nviron</w:t>
      </w:r>
      <w:r>
        <w:t xml:space="preserve"> 88</w:t>
      </w:r>
      <w:r w:rsidR="00A0179E">
        <w:t> </w:t>
      </w:r>
      <w:r w:rsidR="00494C03">
        <w:t>% de cette production provenan</w:t>
      </w:r>
      <w:r>
        <w:t>t de champs pétrolifères du sud du pays, les autres</w:t>
      </w:r>
      <w:r w:rsidR="00A0179E">
        <w:t> </w:t>
      </w:r>
      <w:r>
        <w:t>450 000 bp</w:t>
      </w:r>
      <w:r w:rsidR="006A50DC">
        <w:t>j</w:t>
      </w:r>
      <w:r>
        <w:t xml:space="preserve"> étant produits dans le nord de l</w:t>
      </w:r>
      <w:r w:rsidR="00E66383">
        <w:t>’</w:t>
      </w:r>
      <w:r>
        <w:t xml:space="preserve">Irak, principalement </w:t>
      </w:r>
      <w:r w:rsidR="006A50DC">
        <w:t xml:space="preserve">par </w:t>
      </w:r>
      <w:r>
        <w:t xml:space="preserve">le Gouvernement régional du Kurdistan (GRK) </w:t>
      </w:r>
      <w:sdt>
        <w:sdtPr>
          <w:rPr>
            <w:iCs/>
          </w:rPr>
          <w:id w:val="-623535532"/>
          <w:citation/>
        </w:sdtPr>
        <w:sdtContent>
          <w:r w:rsidRPr="00B47274">
            <w:rPr>
              <w:iCs/>
            </w:rPr>
            <w:fldChar w:fldCharType="begin"/>
          </w:r>
          <w:r w:rsidRPr="00B47274">
            <w:rPr>
              <w:iCs/>
            </w:rPr>
            <w:instrText xml:space="preserve"> CITATION USE16 \l 1033 </w:instrText>
          </w:r>
          <w:r w:rsidRPr="00B47274">
            <w:rPr>
              <w:iCs/>
            </w:rPr>
            <w:fldChar w:fldCharType="separate"/>
          </w:r>
          <w:r w:rsidRPr="005D069B">
            <w:rPr>
              <w:noProof/>
            </w:rPr>
            <w:t>(US Energy Information Administration, 2016)</w:t>
          </w:r>
          <w:r w:rsidRPr="00B47274">
            <w:rPr>
              <w:iCs/>
            </w:rPr>
            <w:fldChar w:fldCharType="end"/>
          </w:r>
        </w:sdtContent>
      </w:sdt>
      <w:r>
        <w:t>. Dans le Gouvernement fédéral d</w:t>
      </w:r>
      <w:r w:rsidR="00E66383">
        <w:t>’</w:t>
      </w:r>
      <w:r>
        <w:t>Irak, l</w:t>
      </w:r>
      <w:r w:rsidR="00E66383">
        <w:t>’</w:t>
      </w:r>
      <w:r>
        <w:t>industrie est entièrement nationalisée,</w:t>
      </w:r>
      <w:r w:rsidR="00F25768">
        <w:t xml:space="preserve"> </w:t>
      </w:r>
      <w:r>
        <w:t>l</w:t>
      </w:r>
      <w:r w:rsidR="00E66383">
        <w:t>’</w:t>
      </w:r>
      <w:r w:rsidR="009F1FB7">
        <w:t xml:space="preserve">organisation étatique </w:t>
      </w:r>
      <w:r w:rsidR="00F25768">
        <w:t>chargée de</w:t>
      </w:r>
      <w:r w:rsidR="009F1FB7">
        <w:t xml:space="preserve"> la</w:t>
      </w:r>
      <w:r>
        <w:t xml:space="preserve"> commercialisation d</w:t>
      </w:r>
      <w:r w:rsidR="009F6C43">
        <w:t>es produits pétroliers</w:t>
      </w:r>
      <w:r>
        <w:t>, SOMO, vendant du pétrole brut à 42 entreprises internationales accréditées pour le compte de quatre entreprises productrices affiliées du ministère du Pétrole</w:t>
      </w:r>
      <w:r w:rsidR="00A0179E">
        <w:t> </w:t>
      </w:r>
      <w:r>
        <w:t>: South Oil Company, North Oil Company, Missan Oil Company et Midland Oil Company. L</w:t>
      </w:r>
      <w:r w:rsidR="00E66383">
        <w:t>’</w:t>
      </w:r>
      <w:r>
        <w:t>industrie pétrolière irakienne est entièrement détenue par le gouvernement</w:t>
      </w:r>
      <w:r w:rsidR="00F25768">
        <w:t xml:space="preserve"> et</w:t>
      </w:r>
      <w:r>
        <w:t xml:space="preserve"> structurée en vertu de contrats de services techniques (CST) par le biais desquels les opérateurs reçoivent un taux fixe par baril produit. Les entreprises internationales actives dans le secteur pétrolier et gazier irakien comprennent BP, China National Petroleum Corporation (CNPC), Shell, Petronas, Total, ExxonMobil, Petrochina, Lukoil, Eni, National Offshore Oil Corporation et Japex. Bien que le gouvernement ait </w:t>
      </w:r>
      <w:r w:rsidR="00F25768">
        <w:t>bénéficié</w:t>
      </w:r>
      <w:r>
        <w:t xml:space="preserve"> à </w:t>
      </w:r>
      <w:r w:rsidR="00F25768">
        <w:t>certaines périodes</w:t>
      </w:r>
      <w:r>
        <w:t xml:space="preserve"> des prix élevés du pétrole, </w:t>
      </w:r>
      <w:r w:rsidR="00630C29">
        <w:t xml:space="preserve">il a éprouvé avec </w:t>
      </w:r>
      <w:r>
        <w:t xml:space="preserve">la baisse des prix mondiaux à partir de la mi-2014 des difficultés </w:t>
      </w:r>
      <w:r w:rsidR="00F25768">
        <w:t>pour</w:t>
      </w:r>
      <w:r>
        <w:t xml:space="preserve"> couvrir les coûts d</w:t>
      </w:r>
      <w:r w:rsidR="00E66383">
        <w:t>’</w:t>
      </w:r>
      <w:r w:rsidR="00B34825">
        <w:t xml:space="preserve">investissement des entreprises. </w:t>
      </w:r>
      <w:r w:rsidR="00630C29">
        <w:t>Avec l</w:t>
      </w:r>
      <w:r>
        <w:t xml:space="preserve">es onze CST internationaux qui ont été </w:t>
      </w:r>
      <w:r w:rsidR="00F25768">
        <w:t>conclu</w:t>
      </w:r>
      <w:r>
        <w:t>s</w:t>
      </w:r>
      <w:r w:rsidR="00630C29">
        <w:t>, l’on peut s’attendre</w:t>
      </w:r>
      <w:r>
        <w:t xml:space="preserve"> </w:t>
      </w:r>
      <w:r w:rsidR="00630C29">
        <w:t>à</w:t>
      </w:r>
      <w:r>
        <w:t xml:space="preserve"> une production totale de 11,86 millions de barils par jour, ce qui ferait de l</w:t>
      </w:r>
      <w:r w:rsidR="00E66383">
        <w:t>’</w:t>
      </w:r>
      <w:r>
        <w:t>Irak le plus grand producteur de pétrole au monde</w:t>
      </w:r>
      <w:r w:rsidR="00B978D5">
        <w:t xml:space="preserve"> </w:t>
      </w:r>
      <w:sdt>
        <w:sdtPr>
          <w:rPr>
            <w:iCs/>
          </w:rPr>
          <w:id w:val="-1749881014"/>
          <w:citation/>
        </w:sdtPr>
        <w:sdtContent>
          <w:r w:rsidR="00B978D5" w:rsidRPr="00B47274">
            <w:rPr>
              <w:iCs/>
            </w:rPr>
            <w:fldChar w:fldCharType="begin"/>
          </w:r>
          <w:r w:rsidR="00B978D5" w:rsidRPr="00B47274">
            <w:rPr>
              <w:iCs/>
            </w:rPr>
            <w:instrText xml:space="preserve"> CITATION Ira162 \l 1033 </w:instrText>
          </w:r>
          <w:r w:rsidR="00B978D5" w:rsidRPr="00B47274">
            <w:rPr>
              <w:iCs/>
            </w:rPr>
            <w:fldChar w:fldCharType="separate"/>
          </w:r>
          <w:r w:rsidR="00B978D5" w:rsidRPr="00B978D5">
            <w:rPr>
              <w:noProof/>
            </w:rPr>
            <w:t>(Iraqi Economists, 2016)</w:t>
          </w:r>
          <w:r w:rsidR="00B978D5" w:rsidRPr="00B47274">
            <w:rPr>
              <w:iCs/>
            </w:rPr>
            <w:fldChar w:fldCharType="end"/>
          </w:r>
        </w:sdtContent>
      </w:sdt>
      <w:r>
        <w:t>. Cependant, le gouvernement a révisé ces prévisions à la baisse pour la production pétrolière</w:t>
      </w:r>
      <w:r w:rsidR="00630C29">
        <w:t xml:space="preserve"> –</w:t>
      </w:r>
      <w:r>
        <w:t xml:space="preserve"> de 12 millions de bp</w:t>
      </w:r>
      <w:r w:rsidR="00333CE7">
        <w:t>j</w:t>
      </w:r>
      <w:r>
        <w:t xml:space="preserve"> à 6 millions de bp</w:t>
      </w:r>
      <w:r w:rsidR="00333CE7">
        <w:t>j</w:t>
      </w:r>
      <w:r>
        <w:t xml:space="preserve"> en 2020</w:t>
      </w:r>
      <w:r w:rsidR="00630C29">
        <w:t xml:space="preserve"> –</w:t>
      </w:r>
      <w:r>
        <w:t xml:space="preserve"> car les investissements annuels dans l</w:t>
      </w:r>
      <w:r w:rsidR="00E66383">
        <w:t>’</w:t>
      </w:r>
      <w:r>
        <w:t>industrie pétrolière en amont ont diminué d</w:t>
      </w:r>
      <w:r w:rsidR="00E66383">
        <w:t>’</w:t>
      </w:r>
      <w:r>
        <w:t xml:space="preserve">environ un tiers depuis 2014, </w:t>
      </w:r>
      <w:r w:rsidR="00630C29">
        <w:t>et sont passés à</w:t>
      </w:r>
      <w:r>
        <w:t xml:space="preserve"> 13 milliards </w:t>
      </w:r>
      <w:r w:rsidR="00630C29">
        <w:t xml:space="preserve">de dollars </w:t>
      </w:r>
      <w:r>
        <w:t>US en 2015</w:t>
      </w:r>
      <w:r w:rsidR="00B978D5">
        <w:t xml:space="preserve"> </w:t>
      </w:r>
      <w:sdt>
        <w:sdtPr>
          <w:rPr>
            <w:iCs/>
          </w:rPr>
          <w:id w:val="1895078396"/>
          <w:citation/>
        </w:sdtPr>
        <w:sdtContent>
          <w:r w:rsidR="00B978D5" w:rsidRPr="00B47274">
            <w:rPr>
              <w:iCs/>
            </w:rPr>
            <w:fldChar w:fldCharType="begin"/>
          </w:r>
          <w:r w:rsidR="00B978D5" w:rsidRPr="00B47274">
            <w:rPr>
              <w:iCs/>
            </w:rPr>
            <w:instrText xml:space="preserve"> CITATION The162 \l 1033 </w:instrText>
          </w:r>
          <w:r w:rsidR="00B978D5" w:rsidRPr="00B47274">
            <w:rPr>
              <w:iCs/>
            </w:rPr>
            <w:fldChar w:fldCharType="separate"/>
          </w:r>
          <w:r w:rsidR="00B978D5" w:rsidRPr="00B978D5">
            <w:rPr>
              <w:noProof/>
            </w:rPr>
            <w:t>(The Oxford Institute for Energy Studies , 2016)</w:t>
          </w:r>
          <w:r w:rsidR="00B978D5" w:rsidRPr="00B47274">
            <w:rPr>
              <w:iCs/>
            </w:rPr>
            <w:fldChar w:fldCharType="end"/>
          </w:r>
        </w:sdtContent>
      </w:sdt>
      <w:r>
        <w:t>. Selon les estimations de l</w:t>
      </w:r>
      <w:r w:rsidR="00E66383">
        <w:t>’</w:t>
      </w:r>
      <w:r>
        <w:t>Agence internationale de l</w:t>
      </w:r>
      <w:r w:rsidR="00E66383">
        <w:t>’</w:t>
      </w:r>
      <w:r>
        <w:t>énergie, l</w:t>
      </w:r>
      <w:r w:rsidR="00E66383">
        <w:t>’</w:t>
      </w:r>
      <w:r>
        <w:t xml:space="preserve">Irak </w:t>
      </w:r>
      <w:r w:rsidR="00CB630E">
        <w:t>ne pourra</w:t>
      </w:r>
      <w:r>
        <w:t xml:space="preserve"> produire qu</w:t>
      </w:r>
      <w:r w:rsidR="00E66383">
        <w:t>’</w:t>
      </w:r>
      <w:r>
        <w:t>environ 7 millions de bp</w:t>
      </w:r>
      <w:r w:rsidR="00333CE7">
        <w:t>j</w:t>
      </w:r>
      <w:r>
        <w:t xml:space="preserve"> d</w:t>
      </w:r>
      <w:r w:rsidR="00E66383">
        <w:t>’</w:t>
      </w:r>
      <w:r>
        <w:t>ici 2040</w:t>
      </w:r>
      <w:r w:rsidR="00B978D5">
        <w:t xml:space="preserve"> </w:t>
      </w:r>
      <w:sdt>
        <w:sdtPr>
          <w:rPr>
            <w:iCs/>
          </w:rPr>
          <w:id w:val="1900937198"/>
          <w:citation/>
        </w:sdtPr>
        <w:sdtContent>
          <w:r w:rsidR="00B978D5" w:rsidRPr="00B47274">
            <w:rPr>
              <w:iCs/>
            </w:rPr>
            <w:fldChar w:fldCharType="begin"/>
          </w:r>
          <w:r w:rsidR="00B978D5" w:rsidRPr="00B47274">
            <w:rPr>
              <w:iCs/>
            </w:rPr>
            <w:instrText xml:space="preserve"> CITATION Int16 \l 1033 </w:instrText>
          </w:r>
          <w:r w:rsidR="00B978D5" w:rsidRPr="00B47274">
            <w:rPr>
              <w:iCs/>
            </w:rPr>
            <w:fldChar w:fldCharType="separate"/>
          </w:r>
          <w:r w:rsidR="00B978D5" w:rsidRPr="00B978D5">
            <w:rPr>
              <w:noProof/>
            </w:rPr>
            <w:t>(International Energy Agency, 2016)</w:t>
          </w:r>
          <w:r w:rsidR="00B978D5" w:rsidRPr="00B47274">
            <w:rPr>
              <w:iCs/>
            </w:rPr>
            <w:fldChar w:fldCharType="end"/>
          </w:r>
        </w:sdtContent>
      </w:sdt>
      <w:r>
        <w:t>. L</w:t>
      </w:r>
      <w:r w:rsidR="00E66383">
        <w:t>’</w:t>
      </w:r>
      <w:r>
        <w:t>Irak dépend énormément du pétrole brut</w:t>
      </w:r>
      <w:r w:rsidR="006D718F">
        <w:t>, qui représentait</w:t>
      </w:r>
      <w:r>
        <w:t xml:space="preserve"> 95</w:t>
      </w:r>
      <w:r w:rsidR="00A0179E">
        <w:t> </w:t>
      </w:r>
      <w:r>
        <w:t>% de</w:t>
      </w:r>
      <w:r w:rsidR="00630C29">
        <w:t xml:space="preserve"> se</w:t>
      </w:r>
      <w:r>
        <w:t>s exportations, 93</w:t>
      </w:r>
      <w:r w:rsidR="00A0179E">
        <w:t> </w:t>
      </w:r>
      <w:r>
        <w:t>% de</w:t>
      </w:r>
      <w:r w:rsidR="00630C29">
        <w:t xml:space="preserve"> </w:t>
      </w:r>
      <w:r w:rsidR="006D718F">
        <w:t>se</w:t>
      </w:r>
      <w:r>
        <w:t>s recettes publiques et 47</w:t>
      </w:r>
      <w:r w:rsidR="00A0179E">
        <w:t> </w:t>
      </w:r>
      <w:r>
        <w:t>% d</w:t>
      </w:r>
      <w:r w:rsidR="006D718F">
        <w:t>e son</w:t>
      </w:r>
      <w:r>
        <w:t xml:space="preserve"> PIB en 2014</w:t>
      </w:r>
      <w:r w:rsidR="00EE3818">
        <w:t xml:space="preserve"> </w:t>
      </w:r>
      <w:r w:rsidR="00EE3818">
        <w:rPr>
          <w:iCs/>
        </w:rPr>
        <w:t>(FMI, 2015)</w:t>
      </w:r>
      <w:r>
        <w:t>. Avec une moyenne des prix du pétrole estimée à 45 USD par baril pour 2016, la position budgétaire du gouvernement</w:t>
      </w:r>
      <w:r w:rsidR="009F6C43">
        <w:t>,</w:t>
      </w:r>
      <w:r>
        <w:t xml:space="preserve"> appuyée par les donateurs</w:t>
      </w:r>
      <w:r w:rsidR="009F6C43">
        <w:t>,</w:t>
      </w:r>
      <w:r>
        <w:t xml:space="preserve"> </w:t>
      </w:r>
      <w:r w:rsidR="006D718F">
        <w:t>commence à subir</w:t>
      </w:r>
      <w:r>
        <w:t xml:space="preserve"> de fortes pressions</w:t>
      </w:r>
      <w:r w:rsidR="00EE3818">
        <w:t xml:space="preserve"> (Banque mondiale, 2016)</w:t>
      </w:r>
      <w:r>
        <w:t xml:space="preserve">. </w:t>
      </w:r>
    </w:p>
    <w:p w14:paraId="02697634" w14:textId="4B84B322" w:rsidR="005D069B" w:rsidRPr="00B47274" w:rsidRDefault="005D069B" w:rsidP="00487513">
      <w:pPr>
        <w:jc w:val="both"/>
        <w:rPr>
          <w:iCs/>
        </w:rPr>
      </w:pPr>
      <w:r>
        <w:t>La production de pétrole dans le nord du pays a été en proie à des frictions politiques entre le GRK, ainsi qu</w:t>
      </w:r>
      <w:r w:rsidR="00E66383">
        <w:t>’</w:t>
      </w:r>
      <w:r>
        <w:t>à l</w:t>
      </w:r>
      <w:r w:rsidR="00E66383">
        <w:t>’</w:t>
      </w:r>
      <w:r>
        <w:t>insurrection liée à l</w:t>
      </w:r>
      <w:r w:rsidR="00E66383">
        <w:t>’</w:t>
      </w:r>
      <w:r>
        <w:t>État islamique en Irak et au Levant (EIIL). Alors que le ministère du Pétrole a insisté pour que tous les contrats soient signés par le gouvernement national et pour que le pétrole soit commercialisé par l</w:t>
      </w:r>
      <w:r w:rsidR="00E66383">
        <w:t>’</w:t>
      </w:r>
      <w:r>
        <w:t>intermédiaire de l</w:t>
      </w:r>
      <w:r w:rsidR="00E66383">
        <w:t>’</w:t>
      </w:r>
      <w:r>
        <w:t xml:space="preserve">Organisation étatique pour la commercialisation des produits pétroliers (SOMO), le GRK a adopté sa propre loi sur les hydrocarbures en 2007 en attendant une législation nationale et a accordé plus de 40 contrats de partage de production (CPP) </w:t>
      </w:r>
      <w:r w:rsidR="00CF74A0">
        <w:t>à des</w:t>
      </w:r>
      <w:r>
        <w:t xml:space="preserve"> entreprises pétrolières, y compris des entreprises pétrolières internationales telles que Chevron, ExxonMobil et Total </w:t>
      </w:r>
      <w:sdt>
        <w:sdtPr>
          <w:rPr>
            <w:iCs/>
          </w:rPr>
          <w:id w:val="-1974201949"/>
          <w:citation/>
        </w:sdtPr>
        <w:sdtContent>
          <w:r w:rsidRPr="00B47274">
            <w:rPr>
              <w:iCs/>
            </w:rPr>
            <w:fldChar w:fldCharType="begin"/>
          </w:r>
          <w:r w:rsidRPr="00B47274">
            <w:rPr>
              <w:iCs/>
            </w:rPr>
            <w:instrText>CITATION The161 \l 1033  \m Cri12</w:instrText>
          </w:r>
          <w:r w:rsidRPr="00B47274">
            <w:rPr>
              <w:iCs/>
            </w:rPr>
            <w:fldChar w:fldCharType="separate"/>
          </w:r>
          <w:r w:rsidRPr="005D069B">
            <w:rPr>
              <w:noProof/>
            </w:rPr>
            <w:t>(The Oxford Institute for Energy Studies, 2016; Crisis Group, 2012)</w:t>
          </w:r>
          <w:r w:rsidRPr="00B47274">
            <w:rPr>
              <w:iCs/>
            </w:rPr>
            <w:fldChar w:fldCharType="end"/>
          </w:r>
        </w:sdtContent>
      </w:sdt>
      <w:r>
        <w:t>. Du fait de l</w:t>
      </w:r>
      <w:r w:rsidR="00E66383">
        <w:t>’</w:t>
      </w:r>
      <w:r>
        <w:t xml:space="preserve">augmentation des tensions entre le </w:t>
      </w:r>
      <w:r>
        <w:lastRenderedPageBreak/>
        <w:t xml:space="preserve">gouvernement fédéral et le GRK en 2014, </w:t>
      </w:r>
      <w:r w:rsidR="00CF74A0">
        <w:t>année où</w:t>
      </w:r>
      <w:r>
        <w:t xml:space="preserve"> le Premier ministre Nouri al-Maliki a cessé les transferts statutaires vers le GRK qui s</w:t>
      </w:r>
      <w:r w:rsidR="00E66383">
        <w:t>’</w:t>
      </w:r>
      <w:r>
        <w:t>élevaient à 17</w:t>
      </w:r>
      <w:r w:rsidR="00A0179E">
        <w:t> </w:t>
      </w:r>
      <w:r>
        <w:t xml:space="preserve">% du budget national </w:t>
      </w:r>
      <w:sdt>
        <w:sdtPr>
          <w:rPr>
            <w:iCs/>
          </w:rPr>
          <w:id w:val="-1986378404"/>
          <w:citation/>
        </w:sdtPr>
        <w:sdtContent>
          <w:r w:rsidRPr="00B47274">
            <w:rPr>
              <w:iCs/>
            </w:rPr>
            <w:fldChar w:fldCharType="begin"/>
          </w:r>
          <w:r w:rsidRPr="00B47274">
            <w:rPr>
              <w:iCs/>
            </w:rPr>
            <w:instrText xml:space="preserve"> CITATION NRG161 \l 1033 </w:instrText>
          </w:r>
          <w:r w:rsidRPr="00B47274">
            <w:rPr>
              <w:iCs/>
            </w:rPr>
            <w:fldChar w:fldCharType="separate"/>
          </w:r>
          <w:r w:rsidRPr="005D069B">
            <w:rPr>
              <w:noProof/>
            </w:rPr>
            <w:t>(NRGI, 2016)</w:t>
          </w:r>
          <w:r w:rsidRPr="00B47274">
            <w:rPr>
              <w:iCs/>
            </w:rPr>
            <w:fldChar w:fldCharType="end"/>
          </w:r>
        </w:sdtContent>
      </w:sdt>
      <w:r>
        <w:t>, un accord signé en décembre 2014 visant à reprendre les transferts infranationaux en échange de la commercialisation d</w:t>
      </w:r>
      <w:r w:rsidR="00E66383">
        <w:t>’</w:t>
      </w:r>
      <w:r>
        <w:t>une part du pétrole du GRK par l</w:t>
      </w:r>
      <w:r w:rsidR="00E66383">
        <w:t>’</w:t>
      </w:r>
      <w:r>
        <w:t>intermédiaire de SOMO s</w:t>
      </w:r>
      <w:r w:rsidR="00E66383">
        <w:t>’</w:t>
      </w:r>
      <w:r>
        <w:t xml:space="preserve">est rapidement effondré </w:t>
      </w:r>
      <w:sdt>
        <w:sdtPr>
          <w:rPr>
            <w:iCs/>
          </w:rPr>
          <w:id w:val="8657130"/>
          <w:citation/>
        </w:sdtPr>
        <w:sdtContent>
          <w:r w:rsidRPr="00B47274">
            <w:rPr>
              <w:iCs/>
            </w:rPr>
            <w:fldChar w:fldCharType="begin"/>
          </w:r>
          <w:r w:rsidRPr="00B47274">
            <w:rPr>
              <w:iCs/>
            </w:rPr>
            <w:instrText xml:space="preserve"> CITATION USE16 \l 1033 </w:instrText>
          </w:r>
          <w:r w:rsidRPr="00B47274">
            <w:rPr>
              <w:iCs/>
            </w:rPr>
            <w:fldChar w:fldCharType="separate"/>
          </w:r>
          <w:r w:rsidRPr="005D069B">
            <w:rPr>
              <w:noProof/>
            </w:rPr>
            <w:t>(US Energy Information Administration, 2016)</w:t>
          </w:r>
          <w:r w:rsidRPr="00B47274">
            <w:rPr>
              <w:iCs/>
            </w:rPr>
            <w:fldChar w:fldCharType="end"/>
          </w:r>
        </w:sdtContent>
      </w:sdt>
      <w:r>
        <w:t>. En 2016, on estimait que le GRK avait accumulé jusqu</w:t>
      </w:r>
      <w:r w:rsidR="00E66383">
        <w:t>’</w:t>
      </w:r>
      <w:r>
        <w:t xml:space="preserve">à 25 milliards USD de dettes envers des entreprises locales et étrangères, en partie par le biais de contrats pétroliers prépayés </w:t>
      </w:r>
      <w:sdt>
        <w:sdtPr>
          <w:rPr>
            <w:iCs/>
          </w:rPr>
          <w:id w:val="1615557527"/>
          <w:citation/>
        </w:sdtPr>
        <w:sdtContent>
          <w:r w:rsidRPr="00B47274">
            <w:rPr>
              <w:iCs/>
            </w:rPr>
            <w:fldChar w:fldCharType="begin"/>
          </w:r>
          <w:r w:rsidRPr="00B47274">
            <w:rPr>
              <w:iCs/>
            </w:rPr>
            <w:instrText xml:space="preserve"> CITATION The162 \l 1033 </w:instrText>
          </w:r>
          <w:r w:rsidRPr="00B47274">
            <w:rPr>
              <w:iCs/>
            </w:rPr>
            <w:fldChar w:fldCharType="separate"/>
          </w:r>
          <w:r w:rsidRPr="005D069B">
            <w:rPr>
              <w:noProof/>
            </w:rPr>
            <w:t>(The Oxford Institute for Energy Studies , 2016)</w:t>
          </w:r>
          <w:r w:rsidRPr="00B47274">
            <w:rPr>
              <w:iCs/>
            </w:rPr>
            <w:fldChar w:fldCharType="end"/>
          </w:r>
        </w:sdtContent>
      </w:sdt>
      <w:r>
        <w:t xml:space="preserve">. </w:t>
      </w:r>
    </w:p>
    <w:p w14:paraId="22E86163" w14:textId="281C47F1" w:rsidR="005D069B" w:rsidRPr="00B47274" w:rsidRDefault="005D069B" w:rsidP="00487513">
      <w:pPr>
        <w:jc w:val="both"/>
        <w:rPr>
          <w:i/>
          <w:iCs/>
        </w:rPr>
      </w:pPr>
      <w:r>
        <w:t xml:space="preserve">Les chiffres officiels des exportations de pétrole en Irak ne comprennent généralement que les exportations </w:t>
      </w:r>
      <w:r w:rsidR="00CF74A0">
        <w:t xml:space="preserve">par voie </w:t>
      </w:r>
      <w:r>
        <w:t xml:space="preserve">maritime à partir des terminaux du sud du pays exportant le pétrole </w:t>
      </w:r>
      <w:r w:rsidR="00CF74A0">
        <w:t>de type «</w:t>
      </w:r>
      <w:r w:rsidR="00A0179E">
        <w:t> </w:t>
      </w:r>
      <w:r>
        <w:t>brut de Bassora</w:t>
      </w:r>
      <w:r w:rsidR="00A0179E">
        <w:t> </w:t>
      </w:r>
      <w:r w:rsidR="00CF74A0">
        <w:t>»</w:t>
      </w:r>
      <w:r>
        <w:t xml:space="preserve">, qui </w:t>
      </w:r>
      <w:r w:rsidR="00CF74A0">
        <w:t>représentait</w:t>
      </w:r>
      <w:r>
        <w:t xml:space="preserve"> 85</w:t>
      </w:r>
      <w:r w:rsidR="00A0179E">
        <w:t> </w:t>
      </w:r>
      <w:r>
        <w:t>% des exportations totales de pétrole en 2015. Outre les ports de Bassora et de Khor al-Amaya</w:t>
      </w:r>
      <w:r w:rsidR="00CF74A0">
        <w:t>,</w:t>
      </w:r>
      <w:r>
        <w:t xml:space="preserve"> qui opèrent en</w:t>
      </w:r>
      <w:r w:rsidR="00A0179E">
        <w:t xml:space="preserve"> </w:t>
      </w:r>
      <w:r>
        <w:t>deçà de leur capacité, quatre points d</w:t>
      </w:r>
      <w:r w:rsidR="00E66383">
        <w:t>’</w:t>
      </w:r>
      <w:r>
        <w:t>amarrage à point unique situés au large de Bassora ont été installés en 2015 et un cinquième en 2016. La plupart des principaux pipelines du pays se situent dans le Nord et restent non opérationnels. Suite à la fermeture du principal pipeline entre l</w:t>
      </w:r>
      <w:r w:rsidR="00E66383">
        <w:t>’</w:t>
      </w:r>
      <w:r>
        <w:t>Irak et la Turquie en mars 2014, les exportations du Nord s</w:t>
      </w:r>
      <w:r w:rsidR="00E66383">
        <w:t>’</w:t>
      </w:r>
      <w:r>
        <w:t>appuient sur deux pipelines vers Ceyhan. Alors que l</w:t>
      </w:r>
      <w:r w:rsidR="00E66383">
        <w:t>’</w:t>
      </w:r>
      <w:r>
        <w:t>Asie continuait de représenter plus de la moitié des exportations totales de pétrole de l</w:t>
      </w:r>
      <w:r w:rsidR="00E66383">
        <w:t>’</w:t>
      </w:r>
      <w:r>
        <w:t>Irak en 2015, les exportations vers le plus grand importateur non</w:t>
      </w:r>
      <w:r w:rsidR="00A0179E">
        <w:t xml:space="preserve"> </w:t>
      </w:r>
      <w:r>
        <w:t>asiatique, à savoir les États-Unis, ont diminué de 70</w:t>
      </w:r>
      <w:r w:rsidR="00A0179E">
        <w:t> </w:t>
      </w:r>
      <w:r>
        <w:t xml:space="preserve">% depuis 2001 </w:t>
      </w:r>
      <w:r w:rsidR="007F10B5">
        <w:t>et sont passées à</w:t>
      </w:r>
      <w:r>
        <w:t xml:space="preserve"> 229 000 bp</w:t>
      </w:r>
      <w:r w:rsidR="00333CE7">
        <w:t>j</w:t>
      </w:r>
      <w:r>
        <w:t xml:space="preserve"> en 2015 </w:t>
      </w:r>
      <w:sdt>
        <w:sdtPr>
          <w:rPr>
            <w:iCs/>
          </w:rPr>
          <w:id w:val="494689288"/>
          <w:citation/>
        </w:sdtPr>
        <w:sdtContent>
          <w:r w:rsidRPr="00B47274">
            <w:rPr>
              <w:iCs/>
            </w:rPr>
            <w:fldChar w:fldCharType="begin"/>
          </w:r>
          <w:r w:rsidRPr="00B47274">
            <w:rPr>
              <w:iCs/>
            </w:rPr>
            <w:instrText xml:space="preserve"> CITATION USE16 \l 1033 </w:instrText>
          </w:r>
          <w:r w:rsidRPr="00B47274">
            <w:rPr>
              <w:iCs/>
            </w:rPr>
            <w:fldChar w:fldCharType="separate"/>
          </w:r>
          <w:r w:rsidRPr="005D069B">
            <w:rPr>
              <w:noProof/>
            </w:rPr>
            <w:t>(US Energy Information Administration, 2016)</w:t>
          </w:r>
          <w:r w:rsidRPr="00B47274">
            <w:rPr>
              <w:iCs/>
            </w:rPr>
            <w:fldChar w:fldCharType="end"/>
          </w:r>
        </w:sdtContent>
      </w:sdt>
      <w:r>
        <w:t>. L</w:t>
      </w:r>
      <w:r w:rsidR="00E66383">
        <w:t>’</w:t>
      </w:r>
      <w:r>
        <w:t>Irak exploite 12 raffineries nationales, dont trois sont à grande échelle, avec une capacité nominale totale de 1 million bp</w:t>
      </w:r>
      <w:r w:rsidR="00333CE7">
        <w:t>j</w:t>
      </w:r>
      <w:r>
        <w:t xml:space="preserve"> </w:t>
      </w:r>
      <w:sdt>
        <w:sdtPr>
          <w:rPr>
            <w:iCs/>
          </w:rPr>
          <w:id w:val="-1114136945"/>
          <w:citation/>
        </w:sdtPr>
        <w:sdtContent>
          <w:r w:rsidRPr="00B47274">
            <w:rPr>
              <w:iCs/>
            </w:rPr>
            <w:fldChar w:fldCharType="begin"/>
          </w:r>
          <w:r w:rsidRPr="00B47274">
            <w:rPr>
              <w:iCs/>
            </w:rPr>
            <w:instrText xml:space="preserve"> CITATION Ira10 \l 1033 </w:instrText>
          </w:r>
          <w:r w:rsidRPr="00B47274">
            <w:rPr>
              <w:iCs/>
            </w:rPr>
            <w:fldChar w:fldCharType="separate"/>
          </w:r>
          <w:r w:rsidRPr="005D069B">
            <w:rPr>
              <w:noProof/>
            </w:rPr>
            <w:t>(Iraqi Ministry of Oil, Fossil Fuel Resources, 2010)</w:t>
          </w:r>
          <w:r w:rsidRPr="00B47274">
            <w:rPr>
              <w:iCs/>
            </w:rPr>
            <w:fldChar w:fldCharType="end"/>
          </w:r>
        </w:sdtContent>
      </w:sdt>
      <w:r>
        <w:t xml:space="preserve">. </w:t>
      </w:r>
      <w:r w:rsidR="007F10B5">
        <w:t>S</w:t>
      </w:r>
      <w:r>
        <w:t>uite aux attaques de l</w:t>
      </w:r>
      <w:r w:rsidR="00E66383">
        <w:t>’</w:t>
      </w:r>
      <w:r>
        <w:t>EIIL contre la raffinerie de Baiji en juin 2014, la capacité totale de raffinage national a baissé</w:t>
      </w:r>
      <w:r w:rsidR="007F10B5">
        <w:t xml:space="preserve"> à</w:t>
      </w:r>
      <w:r>
        <w:t xml:space="preserve"> environ 600 000 bp</w:t>
      </w:r>
      <w:r w:rsidR="00333CE7">
        <w:t>j</w:t>
      </w:r>
      <w:r>
        <w:t xml:space="preserve"> </w:t>
      </w:r>
      <w:sdt>
        <w:sdtPr>
          <w:rPr>
            <w:iCs/>
          </w:rPr>
          <w:id w:val="-1513991114"/>
          <w:citation/>
        </w:sdtPr>
        <w:sdtContent>
          <w:r w:rsidRPr="00B47274">
            <w:rPr>
              <w:iCs/>
            </w:rPr>
            <w:fldChar w:fldCharType="begin"/>
          </w:r>
          <w:r w:rsidRPr="00B47274">
            <w:rPr>
              <w:iCs/>
            </w:rPr>
            <w:instrText xml:space="preserve"> CITATION USE16 \l 1033 </w:instrText>
          </w:r>
          <w:r w:rsidRPr="00B47274">
            <w:rPr>
              <w:iCs/>
            </w:rPr>
            <w:fldChar w:fldCharType="separate"/>
          </w:r>
          <w:r w:rsidRPr="005D069B">
            <w:rPr>
              <w:noProof/>
            </w:rPr>
            <w:t>(US Energy Information Administration, 2016)</w:t>
          </w:r>
          <w:r w:rsidRPr="00B47274">
            <w:rPr>
              <w:iCs/>
            </w:rPr>
            <w:fldChar w:fldCharType="end"/>
          </w:r>
        </w:sdtContent>
      </w:sdt>
      <w:r>
        <w:t xml:space="preserve">. Cependant, étant donné que les raffineries produisent plus de </w:t>
      </w:r>
      <w:r w:rsidR="007F10B5">
        <w:t>fioul</w:t>
      </w:r>
      <w:r>
        <w:t xml:space="preserve"> lourd qu</w:t>
      </w:r>
      <w:r w:rsidR="00E66383">
        <w:t>’</w:t>
      </w:r>
      <w:r>
        <w:t>il n</w:t>
      </w:r>
      <w:r w:rsidR="00E66383">
        <w:t>’</w:t>
      </w:r>
      <w:r>
        <w:t>est nécessaire au niveau national, l</w:t>
      </w:r>
      <w:r w:rsidR="00E66383">
        <w:t>’</w:t>
      </w:r>
      <w:r>
        <w:t>Irak importe en moyenne 100 000 bp</w:t>
      </w:r>
      <w:r w:rsidR="00333CE7">
        <w:t>j</w:t>
      </w:r>
      <w:r>
        <w:t xml:space="preserve"> de produits pétroliers plus légers. Il est prévu d</w:t>
      </w:r>
      <w:r w:rsidR="00E66383">
        <w:t>’</w:t>
      </w:r>
      <w:r>
        <w:t>ouvrir quatre nouvelles raffineries d</w:t>
      </w:r>
      <w:r w:rsidR="00E66383">
        <w:t>’</w:t>
      </w:r>
      <w:r>
        <w:t>une capacité combinée de 800 000 bp</w:t>
      </w:r>
      <w:r w:rsidR="00333CE7">
        <w:t>j</w:t>
      </w:r>
      <w:r>
        <w:t xml:space="preserve"> après 2018, afin d</w:t>
      </w:r>
      <w:r w:rsidR="00E66383">
        <w:t>’</w:t>
      </w:r>
      <w:r>
        <w:t>atténuer cette dépendance à l</w:t>
      </w:r>
      <w:r w:rsidR="00E66383">
        <w:t>’</w:t>
      </w:r>
      <w:r>
        <w:t xml:space="preserve">égard des importations </w:t>
      </w:r>
      <w:sdt>
        <w:sdtPr>
          <w:rPr>
            <w:iCs/>
          </w:rPr>
          <w:id w:val="457458460"/>
          <w:citation/>
        </w:sdtPr>
        <w:sdtContent>
          <w:r w:rsidRPr="00B47274">
            <w:rPr>
              <w:iCs/>
            </w:rPr>
            <w:fldChar w:fldCharType="begin"/>
          </w:r>
          <w:r w:rsidRPr="00B47274">
            <w:rPr>
              <w:iCs/>
            </w:rPr>
            <w:instrText xml:space="preserve"> CITATION USE16 \l 1033 </w:instrText>
          </w:r>
          <w:r w:rsidRPr="00B47274">
            <w:rPr>
              <w:iCs/>
            </w:rPr>
            <w:fldChar w:fldCharType="separate"/>
          </w:r>
          <w:r w:rsidRPr="005D069B">
            <w:rPr>
              <w:noProof/>
            </w:rPr>
            <w:t>(US Energy Information Administration, 2016)</w:t>
          </w:r>
          <w:r w:rsidRPr="00B47274">
            <w:rPr>
              <w:iCs/>
            </w:rPr>
            <w:fldChar w:fldCharType="end"/>
          </w:r>
        </w:sdtContent>
      </w:sdt>
      <w:r>
        <w:t xml:space="preserve">. </w:t>
      </w:r>
    </w:p>
    <w:p w14:paraId="129E5DFB" w14:textId="03372B7F" w:rsidR="00635030" w:rsidRPr="00487513" w:rsidRDefault="005D069B" w:rsidP="00487513">
      <w:pPr>
        <w:jc w:val="both"/>
        <w:rPr>
          <w:iCs/>
        </w:rPr>
      </w:pPr>
      <w:r>
        <w:t>La réforme de la réglementation dans le secteur du pétrole et du gaz a longtemps été évoquée, bien que les progrès aient été lents. D</w:t>
      </w:r>
      <w:r w:rsidR="00E66383">
        <w:t>’</w:t>
      </w:r>
      <w:r>
        <w:t xml:space="preserve">abord proposé en 2007, un projet de loi sur les hydrocarbures </w:t>
      </w:r>
      <w:r w:rsidR="007F10B5">
        <w:t>portait sur</w:t>
      </w:r>
      <w:r>
        <w:t xml:space="preserve"> la création d</w:t>
      </w:r>
      <w:r w:rsidR="00E66383">
        <w:t>’</w:t>
      </w:r>
      <w:r>
        <w:t xml:space="preserve">un conseil du pétrole et du gaz </w:t>
      </w:r>
      <w:r w:rsidR="007F10B5">
        <w:t>pour</w:t>
      </w:r>
      <w:r>
        <w:t xml:space="preserve"> superviser le secteur, </w:t>
      </w:r>
      <w:r w:rsidR="00034E33">
        <w:t>d</w:t>
      </w:r>
      <w:r w:rsidR="00E66383">
        <w:t>’</w:t>
      </w:r>
      <w:r>
        <w:t>une entreprise pétrolière nationale, ainsi que des accords de partage des bénéfices par l</w:t>
      </w:r>
      <w:r w:rsidR="00E66383">
        <w:t>’</w:t>
      </w:r>
      <w:r>
        <w:t>entremise d</w:t>
      </w:r>
      <w:r w:rsidR="00E66383">
        <w:t>’</w:t>
      </w:r>
      <w:r>
        <w:t>un fonds de revenus pétroliers et d</w:t>
      </w:r>
      <w:r w:rsidR="00E66383">
        <w:t>’</w:t>
      </w:r>
      <w:r>
        <w:t>un fonds pour l</w:t>
      </w:r>
      <w:r w:rsidR="00E66383">
        <w:t>’</w:t>
      </w:r>
      <w:r>
        <w:t>avenir</w:t>
      </w:r>
      <w:r w:rsidR="00034E33">
        <w:t xml:space="preserve"> </w:t>
      </w:r>
      <w:sdt>
        <w:sdtPr>
          <w:rPr>
            <w:iCs/>
          </w:rPr>
          <w:id w:val="751546735"/>
          <w:citation/>
        </w:sdtPr>
        <w:sdtContent>
          <w:r w:rsidRPr="00B47274">
            <w:rPr>
              <w:iCs/>
            </w:rPr>
            <w:fldChar w:fldCharType="begin"/>
          </w:r>
          <w:r w:rsidRPr="00B47274">
            <w:rPr>
              <w:iCs/>
            </w:rPr>
            <w:instrText xml:space="preserve"> CITATION USG15 \l 1033 </w:instrText>
          </w:r>
          <w:r w:rsidRPr="00B47274">
            <w:rPr>
              <w:iCs/>
            </w:rPr>
            <w:fldChar w:fldCharType="separate"/>
          </w:r>
          <w:r w:rsidRPr="005D069B">
            <w:rPr>
              <w:noProof/>
            </w:rPr>
            <w:t>(US Geological Service, 2015)</w:t>
          </w:r>
          <w:r w:rsidRPr="00B47274">
            <w:rPr>
              <w:iCs/>
            </w:rPr>
            <w:fldChar w:fldCharType="end"/>
          </w:r>
        </w:sdtContent>
      </w:sdt>
      <w:r>
        <w:t>. Il y a également eu des propositions pour convertir le système actuel de CST, par le biais desquels le gouvernement loue les services d</w:t>
      </w:r>
      <w:r w:rsidR="00E66383">
        <w:t>’</w:t>
      </w:r>
      <w:r>
        <w:t xml:space="preserve">entreprises pétrolières pour produire du pétrole à un taux convenu, en système de CPP, dans lequel le gouvernement et les entreprises partagent les coûts et les bénéfices selon une division convenue </w:t>
      </w:r>
      <w:sdt>
        <w:sdtPr>
          <w:rPr>
            <w:iCs/>
          </w:rPr>
          <w:id w:val="-306552166"/>
          <w:citation/>
        </w:sdtPr>
        <w:sdtContent>
          <w:r w:rsidRPr="00B47274">
            <w:rPr>
              <w:iCs/>
            </w:rPr>
            <w:fldChar w:fldCharType="begin"/>
          </w:r>
          <w:r w:rsidRPr="00B47274">
            <w:rPr>
              <w:iCs/>
            </w:rPr>
            <w:instrText xml:space="preserve"> CITATION Ira16 \l 1033 </w:instrText>
          </w:r>
          <w:r w:rsidRPr="00B47274">
            <w:rPr>
              <w:iCs/>
            </w:rPr>
            <w:fldChar w:fldCharType="separate"/>
          </w:r>
          <w:r w:rsidRPr="005D069B">
            <w:rPr>
              <w:noProof/>
            </w:rPr>
            <w:t>(Iraqi Economists, 2016)</w:t>
          </w:r>
          <w:r w:rsidRPr="00B47274">
            <w:rPr>
              <w:iCs/>
            </w:rPr>
            <w:fldChar w:fldCharType="end"/>
          </w:r>
        </w:sdtContent>
      </w:sdt>
      <w:r>
        <w:t>. Fi</w:t>
      </w:r>
      <w:r w:rsidR="00034E33">
        <w:t>n</w:t>
      </w:r>
      <w:r w:rsidR="00A0179E">
        <w:t> </w:t>
      </w:r>
      <w:r>
        <w:t xml:space="preserve">2016, le projet de loi était toujours bloqué en raison de désaccords politiques sur des questions telles que le partage des revenus du pétrole </w:t>
      </w:r>
      <w:sdt>
        <w:sdtPr>
          <w:rPr>
            <w:iCs/>
          </w:rPr>
          <w:id w:val="-668026066"/>
          <w:citation/>
        </w:sdtPr>
        <w:sdtContent>
          <w:r w:rsidRPr="00B47274">
            <w:rPr>
              <w:iCs/>
            </w:rPr>
            <w:fldChar w:fldCharType="begin"/>
          </w:r>
          <w:r w:rsidRPr="00B47274">
            <w:rPr>
              <w:iCs/>
            </w:rPr>
            <w:instrText xml:space="preserve"> CITATION Exp16 \l 1033 </w:instrText>
          </w:r>
          <w:r w:rsidRPr="00B47274">
            <w:rPr>
              <w:iCs/>
            </w:rPr>
            <w:fldChar w:fldCharType="separate"/>
          </w:r>
          <w:r w:rsidRPr="005D069B">
            <w:rPr>
              <w:noProof/>
            </w:rPr>
            <w:t>(Export.gov, 2016)</w:t>
          </w:r>
          <w:r w:rsidRPr="00B47274">
            <w:rPr>
              <w:iCs/>
            </w:rPr>
            <w:fldChar w:fldCharType="end"/>
          </w:r>
        </w:sdtContent>
      </w:sdt>
      <w:r>
        <w:t>. L</w:t>
      </w:r>
      <w:r w:rsidR="00E66383">
        <w:t>’</w:t>
      </w:r>
      <w:r>
        <w:t>Irak se classe au 38</w:t>
      </w:r>
      <w:r w:rsidRPr="00034E33">
        <w:rPr>
          <w:vertAlign w:val="superscript"/>
        </w:rPr>
        <w:t>e</w:t>
      </w:r>
      <w:r>
        <w:t xml:space="preserve"> rang sur 100 sur l</w:t>
      </w:r>
      <w:r w:rsidR="00E66383">
        <w:t>’</w:t>
      </w:r>
      <w:r>
        <w:t>Indice de gouvernance des ressources</w:t>
      </w:r>
      <w:r w:rsidR="00A0179E">
        <w:t> </w:t>
      </w:r>
      <w:r>
        <w:t>2017 de l</w:t>
      </w:r>
      <w:r w:rsidR="00E66383">
        <w:t>’</w:t>
      </w:r>
      <w:r>
        <w:t>Institut de gouvernance des ressources naturelles, un score «</w:t>
      </w:r>
      <w:r w:rsidR="00A0179E">
        <w:t> </w:t>
      </w:r>
      <w:r>
        <w:t>faible</w:t>
      </w:r>
      <w:r w:rsidR="00A0179E">
        <w:t> </w:t>
      </w:r>
      <w:r>
        <w:t>» qui place l</w:t>
      </w:r>
      <w:r w:rsidR="00E66383">
        <w:t>’</w:t>
      </w:r>
      <w:r>
        <w:t>Irak au 69</w:t>
      </w:r>
      <w:r w:rsidRPr="00034E33">
        <w:rPr>
          <w:vertAlign w:val="superscript"/>
        </w:rPr>
        <w:t>e</w:t>
      </w:r>
      <w:r>
        <w:t xml:space="preserve"> rang sur 89 pays </w:t>
      </w:r>
      <w:sdt>
        <w:sdtPr>
          <w:rPr>
            <w:iCs/>
          </w:rPr>
          <w:id w:val="-1578897308"/>
          <w:citation/>
        </w:sdtPr>
        <w:sdtContent>
          <w:r>
            <w:rPr>
              <w:iCs/>
            </w:rPr>
            <w:fldChar w:fldCharType="begin"/>
          </w:r>
          <w:r w:rsidRPr="003627C7">
            <w:rPr>
              <w:iCs/>
            </w:rPr>
            <w:instrText xml:space="preserve"> CITATION NRG17 \l 1044 </w:instrText>
          </w:r>
          <w:r>
            <w:rPr>
              <w:iCs/>
            </w:rPr>
            <w:fldChar w:fldCharType="separate"/>
          </w:r>
          <w:r w:rsidRPr="005D069B">
            <w:rPr>
              <w:noProof/>
            </w:rPr>
            <w:t>(NRGI, 2017)</w:t>
          </w:r>
          <w:r>
            <w:rPr>
              <w:iCs/>
            </w:rPr>
            <w:fldChar w:fldCharType="end"/>
          </w:r>
        </w:sdtContent>
      </w:sdt>
      <w:r>
        <w:t>. Le pays se classait au 161</w:t>
      </w:r>
      <w:r w:rsidRPr="00034E33">
        <w:rPr>
          <w:vertAlign w:val="superscript"/>
        </w:rPr>
        <w:t>e</w:t>
      </w:r>
      <w:r>
        <w:t xml:space="preserve"> rang sur 168 pays sur l</w:t>
      </w:r>
      <w:r w:rsidR="00E66383">
        <w:t>’</w:t>
      </w:r>
      <w:r>
        <w:t xml:space="preserve">Indice de perception de la corruption </w:t>
      </w:r>
      <w:r w:rsidR="00E74A9A">
        <w:t xml:space="preserve">de </w:t>
      </w:r>
      <w:r w:rsidR="00E74A9A" w:rsidRPr="00E74A9A">
        <w:t>201</w:t>
      </w:r>
      <w:r w:rsidR="00E74A9A">
        <w:t>5 de Transparency International</w:t>
      </w:r>
      <w:r w:rsidR="00E74A9A" w:rsidRPr="00E74A9A">
        <w:t xml:space="preserve"> </w:t>
      </w:r>
      <w:sdt>
        <w:sdtPr>
          <w:rPr>
            <w:iCs/>
          </w:rPr>
          <w:id w:val="-1170860824"/>
          <w:citation/>
        </w:sdtPr>
        <w:sdtContent>
          <w:r w:rsidRPr="00B47274">
            <w:rPr>
              <w:iCs/>
            </w:rPr>
            <w:fldChar w:fldCharType="begin"/>
          </w:r>
          <w:r w:rsidRPr="00B47274">
            <w:rPr>
              <w:iCs/>
            </w:rPr>
            <w:instrText xml:space="preserve"> CITATION Tra151 \l 1033 </w:instrText>
          </w:r>
          <w:r w:rsidRPr="00B47274">
            <w:rPr>
              <w:iCs/>
            </w:rPr>
            <w:fldChar w:fldCharType="separate"/>
          </w:r>
          <w:r w:rsidRPr="005D069B">
            <w:rPr>
              <w:noProof/>
            </w:rPr>
            <w:t>(Transparency International, 2015)</w:t>
          </w:r>
          <w:r w:rsidRPr="00B47274">
            <w:rPr>
              <w:iCs/>
            </w:rPr>
            <w:fldChar w:fldCharType="end"/>
          </w:r>
        </w:sdtContent>
      </w:sdt>
      <w:r w:rsidR="00E74A9A">
        <w:rPr>
          <w:iCs/>
        </w:rPr>
        <w:t>,</w:t>
      </w:r>
      <w:r>
        <w:t xml:space="preserve"> au 161</w:t>
      </w:r>
      <w:r w:rsidRPr="00034E33">
        <w:rPr>
          <w:vertAlign w:val="superscript"/>
        </w:rPr>
        <w:t>e</w:t>
      </w:r>
      <w:r>
        <w:t xml:space="preserve"> rang sur 189 pays au classement </w:t>
      </w:r>
      <w:r w:rsidR="00E74A9A">
        <w:t xml:space="preserve">de </w:t>
      </w:r>
      <w:r>
        <w:t>Doing Business</w:t>
      </w:r>
      <w:r w:rsidR="00A0179E">
        <w:t> </w:t>
      </w:r>
      <w:r w:rsidR="00E74A9A">
        <w:t xml:space="preserve">2016 </w:t>
      </w:r>
      <w:r>
        <w:t xml:space="preserve">de la Banque mondiale </w:t>
      </w:r>
      <w:sdt>
        <w:sdtPr>
          <w:rPr>
            <w:iCs/>
          </w:rPr>
          <w:id w:val="-1535957407"/>
          <w:citation/>
        </w:sdtPr>
        <w:sdtContent>
          <w:r w:rsidR="00E74A9A" w:rsidRPr="00E74A9A">
            <w:rPr>
              <w:iCs/>
            </w:rPr>
            <w:fldChar w:fldCharType="begin"/>
          </w:r>
          <w:r w:rsidR="00E74A9A" w:rsidRPr="00E74A9A">
            <w:rPr>
              <w:iCs/>
            </w:rPr>
            <w:instrText xml:space="preserve"> CITATION Wor165 \l 1033 </w:instrText>
          </w:r>
          <w:r w:rsidR="00E74A9A" w:rsidRPr="00E74A9A">
            <w:rPr>
              <w:iCs/>
            </w:rPr>
            <w:fldChar w:fldCharType="separate"/>
          </w:r>
          <w:r w:rsidR="00E74A9A" w:rsidRPr="00E74A9A">
            <w:t>(World Bank, 2016)</w:t>
          </w:r>
          <w:r w:rsidR="00E74A9A" w:rsidRPr="00E74A9A">
            <w:fldChar w:fldCharType="end"/>
          </w:r>
        </w:sdtContent>
      </w:sdt>
      <w:r w:rsidR="00E74A9A" w:rsidRPr="00E74A9A">
        <w:t xml:space="preserve"> </w:t>
      </w:r>
      <w:r>
        <w:t>et au 3</w:t>
      </w:r>
      <w:r w:rsidRPr="00034E33">
        <w:rPr>
          <w:vertAlign w:val="superscript"/>
        </w:rPr>
        <w:t>e</w:t>
      </w:r>
      <w:r>
        <w:t xml:space="preserve"> rang sur 100 sur l</w:t>
      </w:r>
      <w:r w:rsidR="00E66383">
        <w:t>’</w:t>
      </w:r>
      <w:r>
        <w:t>indice sur le budget ouvert</w:t>
      </w:r>
      <w:r w:rsidR="00A0179E">
        <w:t> </w:t>
      </w:r>
      <w:r w:rsidR="00E74A9A">
        <w:t xml:space="preserve">2016 </w:t>
      </w:r>
      <w:r>
        <w:t>du Partenariat budgétaire international</w:t>
      </w:r>
      <w:r w:rsidR="00E74A9A" w:rsidRPr="00E74A9A">
        <w:rPr>
          <w:iCs/>
        </w:rPr>
        <w:t xml:space="preserve"> </w:t>
      </w:r>
      <w:sdt>
        <w:sdtPr>
          <w:rPr>
            <w:iCs/>
          </w:rPr>
          <w:id w:val="163901623"/>
          <w:citation/>
        </w:sdtPr>
        <w:sdtContent>
          <w:r w:rsidR="00E74A9A" w:rsidRPr="00E74A9A">
            <w:rPr>
              <w:iCs/>
            </w:rPr>
            <w:fldChar w:fldCharType="begin"/>
          </w:r>
          <w:r w:rsidR="00E74A9A" w:rsidRPr="00E74A9A">
            <w:rPr>
              <w:iCs/>
            </w:rPr>
            <w:instrText xml:space="preserve"> CITATION Int162 \l 1033 </w:instrText>
          </w:r>
          <w:r w:rsidR="00E74A9A" w:rsidRPr="00E74A9A">
            <w:rPr>
              <w:iCs/>
            </w:rPr>
            <w:fldChar w:fldCharType="separate"/>
          </w:r>
          <w:r w:rsidR="00E74A9A" w:rsidRPr="00E74A9A">
            <w:t>(International Budget Partnership, 2016)</w:t>
          </w:r>
          <w:r w:rsidR="00E74A9A" w:rsidRPr="00E74A9A">
            <w:fldChar w:fldCharType="end"/>
          </w:r>
        </w:sdtContent>
      </w:sdt>
      <w:r>
        <w:t xml:space="preserve">. Un accord de </w:t>
      </w:r>
      <w:r w:rsidR="00E74A9A">
        <w:t>confirmation</w:t>
      </w:r>
      <w:r>
        <w:t xml:space="preserve"> de 5,3</w:t>
      </w:r>
      <w:r w:rsidR="00E74A9A">
        <w:t>4</w:t>
      </w:r>
      <w:r>
        <w:t xml:space="preserve"> milliards de dollars </w:t>
      </w:r>
      <w:r w:rsidR="00E74A9A">
        <w:t xml:space="preserve">US </w:t>
      </w:r>
      <w:r>
        <w:t>sur trois ans conclu avec le FMI en mai 2016 dépend de la réforme des banques d</w:t>
      </w:r>
      <w:r w:rsidR="00E66383">
        <w:t>’</w:t>
      </w:r>
      <w:r>
        <w:t>État et de l</w:t>
      </w:r>
      <w:r w:rsidR="00E66383">
        <w:t>’</w:t>
      </w:r>
      <w:r>
        <w:t xml:space="preserve">apurement des arriérés accumulés par le </w:t>
      </w:r>
      <w:r>
        <w:lastRenderedPageBreak/>
        <w:t>gouvernement vis-à-vis d</w:t>
      </w:r>
      <w:r w:rsidR="00E66383">
        <w:t>’</w:t>
      </w:r>
      <w:r>
        <w:t xml:space="preserve">entreprises pétrolières étrangères en paiement des coûts de production </w:t>
      </w:r>
      <w:sdt>
        <w:sdtPr>
          <w:rPr>
            <w:iCs/>
          </w:rPr>
          <w:id w:val="-1765984689"/>
          <w:citation/>
        </w:sdtPr>
        <w:sdtContent>
          <w:r w:rsidRPr="00B47274">
            <w:rPr>
              <w:iCs/>
            </w:rPr>
            <w:fldChar w:fldCharType="begin"/>
          </w:r>
          <w:r w:rsidRPr="00B47274">
            <w:rPr>
              <w:iCs/>
            </w:rPr>
            <w:instrText xml:space="preserve"> CITATION IMF162 \l 1033 </w:instrText>
          </w:r>
          <w:r w:rsidRPr="00B47274">
            <w:rPr>
              <w:iCs/>
            </w:rPr>
            <w:fldChar w:fldCharType="separate"/>
          </w:r>
          <w:r w:rsidRPr="005D069B">
            <w:rPr>
              <w:noProof/>
            </w:rPr>
            <w:t>(IMF, 2016)</w:t>
          </w:r>
          <w:r w:rsidRPr="00B47274">
            <w:rPr>
              <w:iCs/>
            </w:rPr>
            <w:fldChar w:fldCharType="end"/>
          </w:r>
        </w:sdtContent>
      </w:sdt>
      <w:r>
        <w:t xml:space="preserve">. </w:t>
      </w:r>
    </w:p>
    <w:p w14:paraId="620C5795" w14:textId="2C04AE8A" w:rsidR="00392B71" w:rsidRPr="00487513" w:rsidRDefault="00EB73CC" w:rsidP="00487513">
      <w:pPr>
        <w:spacing w:after="0"/>
        <w:jc w:val="both"/>
        <w:rPr>
          <w:iCs/>
        </w:rPr>
      </w:pPr>
      <w:r>
        <w:t>Comme le prévoit le guide de Validation, le Secrétariat international a réalisé la première phase de la Validation, c</w:t>
      </w:r>
      <w:r w:rsidR="00E66383">
        <w:t>’</w:t>
      </w:r>
      <w:r>
        <w:t>est-à-dire la collecte initiale de données, la poursuite de consultations avec les parties prenantes et la préparation de son évaluation initiale des progrès accomplis au regard des exigences de l</w:t>
      </w:r>
      <w:r w:rsidR="00E66383">
        <w:t>’</w:t>
      </w:r>
      <w:r>
        <w:t>ITIE («</w:t>
      </w:r>
      <w:r w:rsidR="00A0179E">
        <w:t> </w:t>
      </w:r>
      <w:r>
        <w:t>l</w:t>
      </w:r>
      <w:r w:rsidR="00E66383">
        <w:t>’</w:t>
      </w:r>
      <w:r>
        <w:t>évaluation initiale</w:t>
      </w:r>
      <w:r w:rsidR="00A0179E">
        <w:t> </w:t>
      </w:r>
      <w:r>
        <w:t xml:space="preserve">»). La société Adam Smith International (ASI) a été nommée en tant que Validateur Indépendant pour évaluer dans quelle mesure le travail réalisé par le Secrétariat </w:t>
      </w:r>
      <w:r w:rsidR="00E74A9A">
        <w:t>était</w:t>
      </w:r>
      <w:r>
        <w:t xml:space="preserve"> conforme au guide de Validation. En tant que Validateur, ASI a pour responsabilité principale d</w:t>
      </w:r>
      <w:r w:rsidR="00E66383">
        <w:t>’</w:t>
      </w:r>
      <w:r>
        <w:t>examiner et de modifier l</w:t>
      </w:r>
      <w:r w:rsidR="00E66383">
        <w:t>’</w:t>
      </w:r>
      <w:r>
        <w:t>évaluation initiale, selon les besoins, et de fournir une synthèse de son examen indépendant dans le présent rapport de Validation en vue de le soumettre au Conseil d</w:t>
      </w:r>
      <w:r w:rsidR="00E66383">
        <w:t>’</w:t>
      </w:r>
      <w:r>
        <w:t>administration par l</w:t>
      </w:r>
      <w:r w:rsidR="00E66383">
        <w:t>’</w:t>
      </w:r>
      <w:r>
        <w:t xml:space="preserve">intermédiaire du Comité de Validation. </w:t>
      </w:r>
    </w:p>
    <w:p w14:paraId="17302B13" w14:textId="77777777" w:rsidR="00E75A5A" w:rsidRPr="005625E1" w:rsidRDefault="00E75A5A" w:rsidP="00F12713">
      <w:pPr>
        <w:spacing w:after="0" w:line="240" w:lineRule="auto"/>
        <w:rPr>
          <w:rFonts w:cstheme="minorHAnsi"/>
          <w:b/>
          <w:color w:val="365F91" w:themeColor="accent1" w:themeShade="BF"/>
        </w:rPr>
      </w:pPr>
    </w:p>
    <w:p w14:paraId="2DF12C34" w14:textId="77777777" w:rsidR="00171CE0" w:rsidRPr="005625E1" w:rsidRDefault="00171CE0" w:rsidP="00487513">
      <w:pPr>
        <w:pStyle w:val="Paragraphedeliste"/>
        <w:numPr>
          <w:ilvl w:val="0"/>
          <w:numId w:val="2"/>
        </w:numPr>
        <w:spacing w:after="0" w:line="240" w:lineRule="auto"/>
        <w:ind w:left="993"/>
        <w:rPr>
          <w:rFonts w:cstheme="minorHAnsi"/>
          <w:b/>
          <w:color w:val="365F91" w:themeColor="accent1" w:themeShade="BF"/>
        </w:rPr>
      </w:pPr>
      <w:r>
        <w:rPr>
          <w:rFonts w:cstheme="minorHAnsi"/>
          <w:b/>
          <w:color w:val="365F91" w:themeColor="accent1" w:themeShade="BF"/>
        </w:rPr>
        <w:t>Travail réalisé par le Validateur Indépendant</w:t>
      </w:r>
    </w:p>
    <w:p w14:paraId="1839987E" w14:textId="77777777" w:rsidR="00803CB3" w:rsidRPr="00E603A5" w:rsidRDefault="00803CB3" w:rsidP="00E603A5">
      <w:pPr>
        <w:widowControl w:val="0"/>
        <w:suppressAutoHyphens/>
        <w:spacing w:after="0" w:line="240" w:lineRule="auto"/>
        <w:rPr>
          <w:rFonts w:cstheme="minorHAnsi"/>
        </w:rPr>
      </w:pPr>
    </w:p>
    <w:p w14:paraId="17014EBA" w14:textId="2A6A06E2" w:rsidR="00572CE5" w:rsidRPr="00E603A5" w:rsidRDefault="00F64F77" w:rsidP="00E603A5">
      <w:pPr>
        <w:widowControl w:val="0"/>
        <w:suppressAutoHyphens/>
        <w:spacing w:after="0"/>
        <w:jc w:val="both"/>
        <w:rPr>
          <w:rFonts w:eastAsia="Times New Roman" w:cstheme="minorHAnsi"/>
          <w:bCs/>
          <w:color w:val="FF0000"/>
          <w:highlight w:val="yellow"/>
        </w:rPr>
      </w:pPr>
      <w:r>
        <w:t>L</w:t>
      </w:r>
      <w:r w:rsidR="00E66383">
        <w:t>’</w:t>
      </w:r>
      <w:r>
        <w:t>évaluation initiale du Secrétariat a été remise à ASI le 16 juillet 2017. Pour entreprendre cette phase du processus de Validation, notre équipe de Validation a procédé aux étapes suivantes</w:t>
      </w:r>
      <w:r w:rsidR="00A0179E">
        <w:t> </w:t>
      </w:r>
      <w:r>
        <w:t>: (1) Examen approfondi et notation de l</w:t>
      </w:r>
      <w:r w:rsidR="00E66383">
        <w:t>’</w:t>
      </w:r>
      <w:r>
        <w:t>évaluation ITIE par chaque membre de l</w:t>
      </w:r>
      <w:r w:rsidR="00E66383">
        <w:t>’</w:t>
      </w:r>
      <w:r>
        <w:t>équipe</w:t>
      </w:r>
      <w:r w:rsidR="00A0179E">
        <w:t> </w:t>
      </w:r>
      <w:r>
        <w:t>; (2) Examen détaillé et remarques, par le spécialiste multipartite, relativement aux dispositions de l</w:t>
      </w:r>
      <w:r w:rsidR="00E66383">
        <w:t>’</w:t>
      </w:r>
      <w:r w:rsidR="002C3458">
        <w:t>Exigence</w:t>
      </w:r>
      <w:r w:rsidR="00A0179E">
        <w:t> </w:t>
      </w:r>
      <w:r>
        <w:t>1 et du protocole sur la participation de la société civile</w:t>
      </w:r>
      <w:r w:rsidR="00A0179E">
        <w:t> </w:t>
      </w:r>
      <w:r>
        <w:t>; (3) Examen détaillé et remarques, par le spécialiste financier, relativement aux Exigenc</w:t>
      </w:r>
      <w:r w:rsidR="002C3458">
        <w:t xml:space="preserve">es 4, 5 et </w:t>
      </w:r>
      <w:r>
        <w:t>6</w:t>
      </w:r>
      <w:r w:rsidR="00A0179E">
        <w:t> </w:t>
      </w:r>
      <w:r>
        <w:t>; (4) Consolidation des conclusions tirées de ces examens et p</w:t>
      </w:r>
      <w:r w:rsidR="00D65487">
        <w:t>répar</w:t>
      </w:r>
      <w:r>
        <w:t>ation du présent projet de rapport de Validation, envoyé le 6 août 2017 au Secrétariat international.</w:t>
      </w:r>
    </w:p>
    <w:p w14:paraId="54B24071" w14:textId="77777777" w:rsidR="00C71C1F" w:rsidRPr="00F62BD3" w:rsidRDefault="00C71C1F" w:rsidP="00392B71">
      <w:pPr>
        <w:pStyle w:val="Paragraphedeliste"/>
        <w:spacing w:after="0" w:line="240" w:lineRule="auto"/>
        <w:rPr>
          <w:rFonts w:cstheme="minorHAnsi"/>
          <w:b/>
        </w:rPr>
      </w:pPr>
    </w:p>
    <w:p w14:paraId="3AD219A6" w14:textId="62620161" w:rsidR="00572CE5" w:rsidRPr="00E603A5" w:rsidRDefault="00572CE5" w:rsidP="00F12713">
      <w:pPr>
        <w:pStyle w:val="Paragraphedeliste"/>
        <w:numPr>
          <w:ilvl w:val="0"/>
          <w:numId w:val="2"/>
        </w:numPr>
        <w:spacing w:after="0" w:line="240" w:lineRule="auto"/>
        <w:ind w:left="851"/>
        <w:rPr>
          <w:rFonts w:cstheme="minorHAnsi"/>
          <w:b/>
        </w:rPr>
      </w:pPr>
      <w:r>
        <w:rPr>
          <w:rFonts w:cstheme="minorHAnsi"/>
          <w:b/>
          <w:color w:val="365F91" w:themeColor="accent1" w:themeShade="BF"/>
        </w:rPr>
        <w:t>Remarques sur les limites de cette Validation</w:t>
      </w:r>
    </w:p>
    <w:p w14:paraId="7B943A2D" w14:textId="1B6DEA6D" w:rsidR="00573AAF" w:rsidRDefault="00865D33" w:rsidP="00E603A5">
      <w:pPr>
        <w:widowControl w:val="0"/>
        <w:suppressAutoHyphens/>
        <w:spacing w:before="240" w:after="0" w:line="240" w:lineRule="auto"/>
        <w:jc w:val="both"/>
        <w:rPr>
          <w:rFonts w:eastAsia="Times New Roman" w:cstheme="minorHAnsi"/>
        </w:rPr>
      </w:pPr>
      <w:r>
        <w:t>Le Validateur a examiné attentivement l</w:t>
      </w:r>
      <w:r w:rsidR="00E66383">
        <w:t>’</w:t>
      </w:r>
      <w:r>
        <w:t>évaluation initiale du Secrétariat. Une question a été identifiée, relative aux ventes de pétrole brut domestique en ce qui concerne l</w:t>
      </w:r>
      <w:r w:rsidR="00E66383">
        <w:t>’</w:t>
      </w:r>
      <w:r w:rsidR="002C3458">
        <w:t xml:space="preserve">Exigence </w:t>
      </w:r>
      <w:r>
        <w:t>4.1 sur la divulgation exha</w:t>
      </w:r>
      <w:r w:rsidR="008E537B">
        <w:t>ustive des taxes et des revenus</w:t>
      </w:r>
      <w:r>
        <w:t>.</w:t>
      </w:r>
    </w:p>
    <w:p w14:paraId="0F1BFA8B" w14:textId="77777777" w:rsidR="00C7180A" w:rsidRDefault="00C7180A" w:rsidP="00487513">
      <w:pPr>
        <w:widowControl w:val="0"/>
        <w:suppressAutoHyphens/>
        <w:spacing w:after="0" w:line="240" w:lineRule="auto"/>
        <w:jc w:val="both"/>
        <w:rPr>
          <w:rFonts w:eastAsia="Times New Roman" w:cstheme="minorHAnsi"/>
        </w:rPr>
      </w:pPr>
    </w:p>
    <w:p w14:paraId="1888077F" w14:textId="4EFDDD05" w:rsidR="00573AAF" w:rsidRDefault="00C7180A" w:rsidP="00487513">
      <w:pPr>
        <w:widowControl w:val="0"/>
        <w:suppressAutoHyphens/>
        <w:spacing w:after="0" w:line="240" w:lineRule="auto"/>
        <w:jc w:val="both"/>
        <w:rPr>
          <w:rFonts w:eastAsia="Times New Roman" w:cstheme="minorHAnsi"/>
        </w:rPr>
      </w:pPr>
      <w:r>
        <w:t>Après avoir lu le commentaire du Secrétariat international se rapportant à une question spécifique soulevée à ce sujet et après avoir examiné le Livre Source</w:t>
      </w:r>
      <w:r w:rsidR="00A0179E">
        <w:t> </w:t>
      </w:r>
      <w:r>
        <w:t>2005 de l</w:t>
      </w:r>
      <w:r w:rsidR="00E66383">
        <w:t>’</w:t>
      </w:r>
      <w:r>
        <w:t>ITIE, il est recommandé que cette question soit discutée de manière approfondie au sein du Secrétariat international, afin d</w:t>
      </w:r>
      <w:r w:rsidR="00E66383">
        <w:t>’</w:t>
      </w:r>
      <w:r>
        <w:t>établir une pratique et un protocole internes clairs sur la façon de traiter l</w:t>
      </w:r>
      <w:r w:rsidR="00E66383">
        <w:t>’</w:t>
      </w:r>
      <w:r>
        <w:t>ensemble des activités en amont, intermédiaires et en aval en tenant compte de la nouvelle Norme EITIE</w:t>
      </w:r>
      <w:r w:rsidR="00A0179E">
        <w:t> </w:t>
      </w:r>
      <w:r>
        <w:t>2016 pour les Rapports ITIE du pays et le processus de Validation de l</w:t>
      </w:r>
      <w:r w:rsidR="00E66383">
        <w:t>’</w:t>
      </w:r>
      <w:r>
        <w:t>ITIE. En effet, les activités liées aux hydrocarbures ne sont pas nécessairement toujours établies verticalement au sein de</w:t>
      </w:r>
      <w:r w:rsidR="00AC40BE">
        <w:t>s</w:t>
      </w:r>
      <w:r>
        <w:t xml:space="preserve"> entreprise</w:t>
      </w:r>
      <w:r w:rsidR="00AC40BE">
        <w:t>s</w:t>
      </w:r>
      <w:r>
        <w:t xml:space="preserve"> ou de</w:t>
      </w:r>
      <w:r w:rsidR="00AC40BE">
        <w:t>s</w:t>
      </w:r>
      <w:r>
        <w:t xml:space="preserve"> entité</w:t>
      </w:r>
      <w:r w:rsidR="00AC40BE">
        <w:t>s</w:t>
      </w:r>
      <w:r>
        <w:t xml:space="preserve"> juridique</w:t>
      </w:r>
      <w:r w:rsidR="00AC40BE">
        <w:t>s individuelles</w:t>
      </w:r>
      <w:r>
        <w:t>, de sorte qu</w:t>
      </w:r>
      <w:r w:rsidR="00E66383">
        <w:t>’</w:t>
      </w:r>
      <w:r>
        <w:t>elles peuvent être entièrement imposables dans le cadre d</w:t>
      </w:r>
      <w:r w:rsidR="00E66383">
        <w:t>’</w:t>
      </w:r>
      <w:r>
        <w:t xml:space="preserve">une certaine législation. Ces activités pourraient être organisées en des entités juridiques formelles distinctes et, par conséquent, être </w:t>
      </w:r>
      <w:r w:rsidR="00AC40BE">
        <w:t>s</w:t>
      </w:r>
      <w:r>
        <w:t>u</w:t>
      </w:r>
      <w:r w:rsidR="00AC40BE">
        <w:t>jett</w:t>
      </w:r>
      <w:r>
        <w:t xml:space="preserve">es </w:t>
      </w:r>
      <w:r w:rsidR="00AC40BE">
        <w:t xml:space="preserve">à </w:t>
      </w:r>
      <w:r>
        <w:t>des paiements fiscaux et non fiscaux au gouvernement et générer des revenus distincts pour l</w:t>
      </w:r>
      <w:r w:rsidR="00E66383">
        <w:t>’</w:t>
      </w:r>
      <w:r>
        <w:t>État.</w:t>
      </w:r>
    </w:p>
    <w:p w14:paraId="64D315E3" w14:textId="77777777" w:rsidR="00C71C1F" w:rsidRPr="005625E1" w:rsidRDefault="00C71C1F" w:rsidP="00F12713">
      <w:pPr>
        <w:pStyle w:val="Paragraphedeliste"/>
        <w:spacing w:after="0" w:line="240" w:lineRule="auto"/>
        <w:rPr>
          <w:rFonts w:cstheme="minorHAnsi"/>
          <w:b/>
          <w:color w:val="365F91" w:themeColor="accent1" w:themeShade="BF"/>
        </w:rPr>
      </w:pPr>
    </w:p>
    <w:p w14:paraId="14A8ACAE" w14:textId="568F4BDE" w:rsidR="00F62BD3" w:rsidRPr="00E603A5" w:rsidRDefault="00803CB3" w:rsidP="00E603A5">
      <w:pPr>
        <w:pStyle w:val="Paragraphedeliste"/>
        <w:numPr>
          <w:ilvl w:val="0"/>
          <w:numId w:val="2"/>
        </w:numPr>
        <w:spacing w:before="240" w:line="240" w:lineRule="auto"/>
        <w:ind w:left="851" w:hanging="425"/>
        <w:rPr>
          <w:rFonts w:cstheme="minorHAnsi"/>
          <w:b/>
          <w:color w:val="365F91" w:themeColor="accent1" w:themeShade="BF"/>
        </w:rPr>
      </w:pPr>
      <w:r>
        <w:rPr>
          <w:rFonts w:cstheme="minorHAnsi"/>
          <w:b/>
          <w:color w:val="365F91" w:themeColor="accent1" w:themeShade="BF"/>
        </w:rPr>
        <w:t>Remarques sur l</w:t>
      </w:r>
      <w:r w:rsidR="00E66383">
        <w:rPr>
          <w:rFonts w:cstheme="minorHAnsi"/>
          <w:b/>
          <w:color w:val="365F91" w:themeColor="accent1" w:themeShade="BF"/>
        </w:rPr>
        <w:t>’</w:t>
      </w:r>
      <w:r>
        <w:rPr>
          <w:rFonts w:cstheme="minorHAnsi"/>
          <w:b/>
          <w:color w:val="365F91" w:themeColor="accent1" w:themeShade="BF"/>
        </w:rPr>
        <w:t xml:space="preserve">évaluation initiale du Secrétariat international </w:t>
      </w:r>
    </w:p>
    <w:p w14:paraId="7E32F375" w14:textId="472050E8" w:rsidR="00E719C0" w:rsidRPr="00E719C0" w:rsidRDefault="00803CB3" w:rsidP="00487513">
      <w:pPr>
        <w:spacing w:after="0"/>
        <w:jc w:val="both"/>
        <w:rPr>
          <w:rFonts w:eastAsia="Times New Roman" w:cstheme="minorHAnsi"/>
        </w:rPr>
      </w:pPr>
      <w:r>
        <w:t>La collecte initiale des données, les consultations avec les parties prenantes et la rédaction de l</w:t>
      </w:r>
      <w:r w:rsidR="00E66383">
        <w:t>’</w:t>
      </w:r>
      <w:r w:rsidR="00AC40BE">
        <w:t>é</w:t>
      </w:r>
      <w:r>
        <w:t xml:space="preserve">valuation initiale ont été menées par le Secrétariat international, </w:t>
      </w:r>
      <w:r w:rsidR="00B40CB9">
        <w:t>en général</w:t>
      </w:r>
      <w:r w:rsidR="00B40CB9" w:rsidRPr="00B40CB9">
        <w:t xml:space="preserve"> </w:t>
      </w:r>
      <w:r>
        <w:t xml:space="preserve">conformément au guide de Validation 2016. La collecte de données </w:t>
      </w:r>
      <w:r w:rsidR="008E537B">
        <w:t>a été réalisée en trois étapes.</w:t>
      </w:r>
      <w:r>
        <w:t xml:space="preserve"> Tout d</w:t>
      </w:r>
      <w:r w:rsidR="00E66383">
        <w:t>’</w:t>
      </w:r>
      <w:r>
        <w:t>abord, une étude de la documentation disponible concernant la conformité du pays à la Norme ITIE, portant notamment sur les éléments suivants</w:t>
      </w:r>
      <w:r w:rsidR="00A0179E">
        <w:t> </w:t>
      </w:r>
      <w:r>
        <w:t>:</w:t>
      </w:r>
    </w:p>
    <w:p w14:paraId="03B2D900" w14:textId="1F393EBF" w:rsidR="00E719C0" w:rsidRPr="00E719C0" w:rsidRDefault="00E719C0" w:rsidP="00487513">
      <w:pPr>
        <w:numPr>
          <w:ilvl w:val="0"/>
          <w:numId w:val="8"/>
        </w:numPr>
        <w:spacing w:after="0"/>
        <w:jc w:val="both"/>
        <w:rPr>
          <w:rFonts w:eastAsia="Times New Roman" w:cstheme="minorHAnsi"/>
        </w:rPr>
      </w:pPr>
      <w:r>
        <w:lastRenderedPageBreak/>
        <w:t>Le plan de travail de l</w:t>
      </w:r>
      <w:r w:rsidR="00E66383">
        <w:t>’</w:t>
      </w:r>
      <w:r>
        <w:t>ITIE et d</w:t>
      </w:r>
      <w:r w:rsidR="00E66383">
        <w:t>’</w:t>
      </w:r>
      <w:r>
        <w:t>autres documents de planification tels que les budgets et les plans de communication</w:t>
      </w:r>
      <w:r w:rsidR="00A0179E">
        <w:t> </w:t>
      </w:r>
      <w:r>
        <w:t>;</w:t>
      </w:r>
    </w:p>
    <w:p w14:paraId="7F3B9476" w14:textId="7228E167" w:rsidR="00E719C0" w:rsidRPr="00E719C0" w:rsidRDefault="00E719C0" w:rsidP="00487513">
      <w:pPr>
        <w:numPr>
          <w:ilvl w:val="0"/>
          <w:numId w:val="8"/>
        </w:numPr>
        <w:spacing w:after="0"/>
        <w:jc w:val="both"/>
        <w:rPr>
          <w:rFonts w:eastAsia="Times New Roman" w:cstheme="minorHAnsi"/>
        </w:rPr>
      </w:pPr>
      <w:r>
        <w:t>Les Termes de Référence pour le Groupe multipartite et les procès-verbaux des réunions du Groupe multipartite</w:t>
      </w:r>
      <w:r w:rsidR="00A0179E">
        <w:t> </w:t>
      </w:r>
      <w:r>
        <w:t>;</w:t>
      </w:r>
    </w:p>
    <w:p w14:paraId="2BBB6D4D" w14:textId="255C1937" w:rsidR="00E719C0" w:rsidRPr="00E719C0" w:rsidRDefault="00E719C0" w:rsidP="00487513">
      <w:pPr>
        <w:numPr>
          <w:ilvl w:val="0"/>
          <w:numId w:val="8"/>
        </w:numPr>
        <w:spacing w:after="0"/>
        <w:jc w:val="both"/>
        <w:rPr>
          <w:rFonts w:eastAsia="Times New Roman" w:cstheme="minorHAnsi"/>
        </w:rPr>
      </w:pPr>
      <w:r>
        <w:t>Les Rapports ITIE et les informations supplémentaires telles que les rapports de synthèse et les études de cadrage</w:t>
      </w:r>
      <w:r w:rsidR="00A0179E">
        <w:t> </w:t>
      </w:r>
      <w:r>
        <w:t>;</w:t>
      </w:r>
    </w:p>
    <w:p w14:paraId="505CF551" w14:textId="594022EE" w:rsidR="00E719C0" w:rsidRPr="00E719C0" w:rsidRDefault="00E719C0" w:rsidP="00487513">
      <w:pPr>
        <w:numPr>
          <w:ilvl w:val="0"/>
          <w:numId w:val="8"/>
        </w:numPr>
        <w:spacing w:after="0"/>
        <w:jc w:val="both"/>
        <w:rPr>
          <w:rFonts w:eastAsia="Times New Roman" w:cstheme="minorHAnsi"/>
        </w:rPr>
      </w:pPr>
      <w:r>
        <w:t>Les éléments de communication</w:t>
      </w:r>
      <w:r w:rsidR="00A0179E">
        <w:t> </w:t>
      </w:r>
      <w:r>
        <w:t>;</w:t>
      </w:r>
    </w:p>
    <w:p w14:paraId="193C162B" w14:textId="7F62D7CB" w:rsidR="00E719C0" w:rsidRPr="00E719C0" w:rsidRDefault="00E719C0" w:rsidP="00487513">
      <w:pPr>
        <w:numPr>
          <w:ilvl w:val="0"/>
          <w:numId w:val="8"/>
        </w:numPr>
        <w:spacing w:after="0"/>
        <w:jc w:val="both"/>
        <w:rPr>
          <w:rFonts w:eastAsia="Times New Roman" w:cstheme="minorHAnsi"/>
        </w:rPr>
      </w:pPr>
      <w:r>
        <w:t>Les rapports annuels d</w:t>
      </w:r>
      <w:r w:rsidR="00E66383">
        <w:t>’</w:t>
      </w:r>
      <w:r>
        <w:t>avancement ; et</w:t>
      </w:r>
    </w:p>
    <w:p w14:paraId="312B3F1F" w14:textId="53EC36C2" w:rsidR="00E719C0" w:rsidRPr="00E719C0" w:rsidRDefault="00E719C0" w:rsidP="00487513">
      <w:pPr>
        <w:numPr>
          <w:ilvl w:val="0"/>
          <w:numId w:val="8"/>
        </w:numPr>
        <w:spacing w:after="0"/>
        <w:jc w:val="both"/>
        <w:rPr>
          <w:rFonts w:eastAsia="Times New Roman" w:cstheme="minorHAnsi"/>
        </w:rPr>
      </w:pPr>
      <w:r>
        <w:t>Tout</w:t>
      </w:r>
      <w:r w:rsidR="006D058E">
        <w:t>e autre information pertinente pour</w:t>
      </w:r>
      <w:r>
        <w:t xml:space="preserve"> la Validation.</w:t>
      </w:r>
    </w:p>
    <w:p w14:paraId="2E5EFC1C" w14:textId="77777777" w:rsidR="00E719C0" w:rsidRDefault="00E719C0" w:rsidP="00487513">
      <w:pPr>
        <w:spacing w:after="0"/>
        <w:jc w:val="both"/>
        <w:rPr>
          <w:rFonts w:eastAsia="Times New Roman" w:cstheme="minorHAnsi"/>
        </w:rPr>
      </w:pPr>
    </w:p>
    <w:p w14:paraId="127CC6F7" w14:textId="607D0911" w:rsidR="00E719C0" w:rsidRDefault="00E719C0" w:rsidP="00487513">
      <w:pPr>
        <w:spacing w:after="0"/>
        <w:jc w:val="both"/>
        <w:rPr>
          <w:rFonts w:cstheme="minorHAnsi"/>
        </w:rPr>
      </w:pPr>
      <w:r>
        <w:t>Deuxièmement, une visite dans le pays a eu lieu du 1</w:t>
      </w:r>
      <w:r w:rsidRPr="008E537B">
        <w:rPr>
          <w:vertAlign w:val="superscript"/>
        </w:rPr>
        <w:t>er</w:t>
      </w:r>
      <w:r>
        <w:t xml:space="preserve"> au 9 avril 2017. Toutes les réunions se sont déroulées à </w:t>
      </w:r>
      <w:r w:rsidR="00CE6709">
        <w:t>Bagdad</w:t>
      </w:r>
      <w:r>
        <w:t xml:space="preserve">, </w:t>
      </w:r>
      <w:r w:rsidR="008E537B">
        <w:t xml:space="preserve">en </w:t>
      </w:r>
      <w:r>
        <w:t>Irak. Le Secrétariat a rencontré le Groupe multipartite et ses membres, l</w:t>
      </w:r>
      <w:r w:rsidR="00E66383">
        <w:t>’</w:t>
      </w:r>
      <w:r>
        <w:t>Administrateur Indépendant et d</w:t>
      </w:r>
      <w:r w:rsidR="00E66383">
        <w:t>’</w:t>
      </w:r>
      <w:r>
        <w:t>autres parties prenantes clés, y compris des groupes de parties prenantes représentés au Grou</w:t>
      </w:r>
      <w:r w:rsidR="00232D0F">
        <w:t>pe multipartite mais n’y participant pas</w:t>
      </w:r>
      <w:r>
        <w:t xml:space="preserve"> directement.</w:t>
      </w:r>
    </w:p>
    <w:p w14:paraId="3A202C2B" w14:textId="77777777" w:rsidR="00E719C0" w:rsidRDefault="00E719C0" w:rsidP="00487513">
      <w:pPr>
        <w:spacing w:after="0"/>
        <w:jc w:val="both"/>
        <w:rPr>
          <w:rFonts w:cstheme="minorHAnsi"/>
        </w:rPr>
      </w:pPr>
    </w:p>
    <w:p w14:paraId="0E1E6B7D" w14:textId="150C06A9" w:rsidR="00487513" w:rsidRDefault="006B688F" w:rsidP="008C0ECA">
      <w:pPr>
        <w:spacing w:after="0"/>
        <w:jc w:val="both"/>
        <w:rPr>
          <w:rFonts w:cstheme="minorHAnsi"/>
        </w:rPr>
      </w:pPr>
      <w:r>
        <w:t>Enfin, le Secrétariat international a préparé un rapport contenant une évaluation initiale, axée sur le guide de Validation, des progrès réalisés dans l</w:t>
      </w:r>
      <w:r w:rsidR="001862E9">
        <w:t>a satisfaction aux différentes e</w:t>
      </w:r>
      <w:r>
        <w:t>xigences. L</w:t>
      </w:r>
      <w:r w:rsidR="00E66383">
        <w:t>’</w:t>
      </w:r>
      <w:r>
        <w:t>évaluation initiale ne comprenait pas d</w:t>
      </w:r>
      <w:r w:rsidR="00E66383">
        <w:t>’</w:t>
      </w:r>
      <w:r>
        <w:t xml:space="preserve">évaluation générale du degré de conformité. Le rapport, dont un exemplaire a été remis au Coordinateur National (CN), a été transmis au Validateur. </w:t>
      </w:r>
    </w:p>
    <w:p w14:paraId="14236177" w14:textId="3E334AE3" w:rsidR="007C0497" w:rsidRPr="005625E1" w:rsidRDefault="007C0497" w:rsidP="00F12713">
      <w:pPr>
        <w:spacing w:after="0" w:line="240" w:lineRule="auto"/>
        <w:rPr>
          <w:rFonts w:eastAsia="Calibri" w:cstheme="minorHAnsi"/>
          <w:color w:val="FF0000"/>
        </w:rPr>
      </w:pPr>
    </w:p>
    <w:p w14:paraId="33798BBC" w14:textId="4C0755E2" w:rsidR="00F46036" w:rsidRPr="005625E1" w:rsidRDefault="00487513" w:rsidP="00F12713">
      <w:pPr>
        <w:spacing w:after="0" w:line="240" w:lineRule="auto"/>
        <w:rPr>
          <w:rFonts w:cstheme="minorHAnsi"/>
          <w:b/>
          <w:color w:val="365F91" w:themeColor="accent1" w:themeShade="BF"/>
        </w:rPr>
      </w:pPr>
      <w:r>
        <w:rPr>
          <w:rFonts w:cstheme="minorHAnsi"/>
          <w:b/>
          <w:color w:val="365F91" w:themeColor="accent1" w:themeShade="BF"/>
        </w:rPr>
        <w:t xml:space="preserve">3. </w:t>
      </w:r>
      <w:r>
        <w:tab/>
      </w:r>
      <w:r>
        <w:rPr>
          <w:rFonts w:cstheme="minorHAnsi"/>
          <w:b/>
          <w:color w:val="365F91" w:themeColor="accent1" w:themeShade="BF"/>
        </w:rPr>
        <w:t>REMARQUES GÉNÉRALES</w:t>
      </w:r>
    </w:p>
    <w:p w14:paraId="7D60F9DB" w14:textId="7140DC5F" w:rsidR="007C0497" w:rsidRPr="00487513" w:rsidRDefault="007C0497" w:rsidP="00902A78">
      <w:pPr>
        <w:pStyle w:val="Paragraphedeliste"/>
        <w:numPr>
          <w:ilvl w:val="0"/>
          <w:numId w:val="1"/>
        </w:numPr>
        <w:spacing w:before="240" w:after="0" w:line="240" w:lineRule="auto"/>
        <w:rPr>
          <w:rFonts w:cstheme="minorHAnsi"/>
          <w:b/>
          <w:color w:val="365F91" w:themeColor="accent1" w:themeShade="BF"/>
        </w:rPr>
      </w:pPr>
      <w:r>
        <w:rPr>
          <w:rFonts w:cstheme="minorHAnsi"/>
          <w:b/>
          <w:color w:val="365F91" w:themeColor="accent1" w:themeShade="BF"/>
        </w:rPr>
        <w:t>Avancement de la mise en œuvre de l</w:t>
      </w:r>
      <w:r w:rsidR="00E66383">
        <w:rPr>
          <w:rFonts w:cstheme="minorHAnsi"/>
          <w:b/>
          <w:color w:val="365F91" w:themeColor="accent1" w:themeShade="BF"/>
        </w:rPr>
        <w:t>’</w:t>
      </w:r>
      <w:r>
        <w:rPr>
          <w:rFonts w:cstheme="minorHAnsi"/>
          <w:b/>
          <w:color w:val="365F91" w:themeColor="accent1" w:themeShade="BF"/>
        </w:rPr>
        <w:t xml:space="preserve">ITIE </w:t>
      </w:r>
    </w:p>
    <w:p w14:paraId="2D5F1377" w14:textId="23CD0B97" w:rsidR="00484ABD" w:rsidRDefault="00484ABD" w:rsidP="00487513">
      <w:pPr>
        <w:spacing w:before="120"/>
        <w:jc w:val="both"/>
      </w:pPr>
      <w:r>
        <w:t xml:space="preserve">La plupart des cadres réglementaires en matière de pétrole et de gaz reposent sur un modèle </w:t>
      </w:r>
      <w:r w:rsidR="00AC40BE">
        <w:t>en fonction du</w:t>
      </w:r>
      <w:r>
        <w:t>quel des licences sont délivrées à des entreprises privées pour développer des gisements extractifs</w:t>
      </w:r>
      <w:r w:rsidR="00527026">
        <w:t>,</w:t>
      </w:r>
      <w:r>
        <w:t xml:space="preserve"> et ces entreprises versent des paiements au gouvernement, en espèces ou en nature. Sauf dans le cas du Gouvernement régional kurde (GRK), ce n</w:t>
      </w:r>
      <w:r w:rsidR="00E66383">
        <w:t>’</w:t>
      </w:r>
      <w:r>
        <w:t>est pas la structure du secteur en Irak. Au contraire, la grande majorité des transactions dans le secteur pétrolier et gazier irakien sont des transferts gouvernementaux et internes aux entreprises d</w:t>
      </w:r>
      <w:r w:rsidR="00E66383">
        <w:t>’</w:t>
      </w:r>
      <w:r>
        <w:t>État, des revenus tirés de la vente du pétrole d</w:t>
      </w:r>
      <w:r w:rsidR="00E66383">
        <w:t>’</w:t>
      </w:r>
      <w:r>
        <w:t>État aux acheteurs internationaux et, peut-être paradoxalement, des paiements du gouvernement aux entreprises. Cela a des implications sur la manière dont l</w:t>
      </w:r>
      <w:r w:rsidR="00E66383">
        <w:t>’</w:t>
      </w:r>
      <w:r>
        <w:t xml:space="preserve">ITIE est mise en </w:t>
      </w:r>
      <w:r w:rsidR="00AC40BE">
        <w:t>œuvre</w:t>
      </w:r>
      <w:r>
        <w:t xml:space="preserve"> en Irak. </w:t>
      </w:r>
    </w:p>
    <w:p w14:paraId="337A94B9" w14:textId="5C39FB4C" w:rsidR="00484ABD" w:rsidRDefault="00484ABD" w:rsidP="00487513">
      <w:pPr>
        <w:spacing w:before="120"/>
        <w:jc w:val="both"/>
      </w:pPr>
      <w:r>
        <w:t>À l</w:t>
      </w:r>
      <w:r w:rsidR="00E66383">
        <w:t>’</w:t>
      </w:r>
      <w:r>
        <w:t>exception du GRK, le pétrole en Irak est extrait en vertu de ce que l</w:t>
      </w:r>
      <w:r w:rsidR="00E66383">
        <w:t>’</w:t>
      </w:r>
      <w:r>
        <w:t>on appelle les contrats de services techniques (CST). Dans le cadre de CST, également connu</w:t>
      </w:r>
      <w:r w:rsidR="00AC40BE">
        <w:t>s</w:t>
      </w:r>
      <w:r>
        <w:t xml:space="preserve"> sous le nom de contrats de services de gestion des risques, un consortium d</w:t>
      </w:r>
      <w:r w:rsidR="00E66383">
        <w:t>’</w:t>
      </w:r>
      <w:r>
        <w:t>entreprises privées reçoit un droit fixe par baril de pétrole produit au-dessus d</w:t>
      </w:r>
      <w:r w:rsidR="00E66383">
        <w:t>’</w:t>
      </w:r>
      <w:r>
        <w:t>un certain seuil (frais de rémunération) et est remboursé pour ses dépenses engagées dans la production du pétrole (recouvrement des coûts). Ces paiements gouvernementaux aux entreprises peuvent être reçus en espèces ou en nature par les entreprises pétrolières et gazières intégrées verticalement, qui choisissent toujours de prélever leurs paiements de frais de rémunération et de recouvrement des coûts en nature, plutôt qu</w:t>
      </w:r>
      <w:r w:rsidR="00E66383">
        <w:t>’</w:t>
      </w:r>
      <w:r>
        <w:t>en espèces. Il n</w:t>
      </w:r>
      <w:r w:rsidR="00E66383">
        <w:t>’</w:t>
      </w:r>
      <w:r>
        <w:t xml:space="preserve">y a donc que trois types de paiements effectués par les entreprises au gouvernement </w:t>
      </w:r>
      <w:r w:rsidR="00CD6CD1">
        <w:t>dans l</w:t>
      </w:r>
      <w:r w:rsidR="00E66383">
        <w:t>’</w:t>
      </w:r>
      <w:r w:rsidR="00CD6CD1">
        <w:t>Irak contrôlé par Bagdad</w:t>
      </w:r>
      <w:r>
        <w:rPr>
          <w:rStyle w:val="Appelnotedebasdep"/>
        </w:rPr>
        <w:footnoteReference w:id="3"/>
      </w:r>
      <w:r w:rsidR="00CD6CD1">
        <w:t> :</w:t>
      </w:r>
    </w:p>
    <w:p w14:paraId="00A8448B" w14:textId="18125770" w:rsidR="00484ABD" w:rsidRDefault="00484ABD" w:rsidP="00487513">
      <w:pPr>
        <w:pStyle w:val="Paragraphedeliste"/>
        <w:widowControl w:val="0"/>
        <w:numPr>
          <w:ilvl w:val="0"/>
          <w:numId w:val="10"/>
        </w:numPr>
        <w:suppressAutoHyphens/>
        <w:spacing w:before="120" w:after="240" w:line="240" w:lineRule="auto"/>
        <w:ind w:left="426"/>
        <w:contextualSpacing w:val="0"/>
        <w:jc w:val="both"/>
      </w:pPr>
      <w:r>
        <w:lastRenderedPageBreak/>
        <w:t>Le gouvernement déduit l</w:t>
      </w:r>
      <w:r w:rsidR="00E66383">
        <w:t>’</w:t>
      </w:r>
      <w:r>
        <w:t>impôt sur le revenu des sociétés (35</w:t>
      </w:r>
      <w:r w:rsidR="00A0179E">
        <w:t> </w:t>
      </w:r>
      <w:r>
        <w:t>% des frais de rémunération) des frais de rémunération versés aux entreprises. Du fait que ceux-ci sont payés en nature, il en va de même de l</w:t>
      </w:r>
      <w:r w:rsidR="00E66383">
        <w:t>’</w:t>
      </w:r>
      <w:r>
        <w:t>impôt sur le revenu reçu sous forme de pétrole brut. Cette quantité est ensuite vendue par l</w:t>
      </w:r>
      <w:r w:rsidR="00E66383">
        <w:t>’</w:t>
      </w:r>
      <w:r>
        <w:t>Organisation étatique pour la commercialisation des produits pétroliers (SOMO) avec le r</w:t>
      </w:r>
      <w:r w:rsidR="00EA5EEE">
        <w:t>este du pétrole du gouvernement</w:t>
      </w:r>
      <w:r>
        <w:t xml:space="preserve">. </w:t>
      </w:r>
    </w:p>
    <w:p w14:paraId="525A38F9" w14:textId="15D3938A" w:rsidR="00484ABD" w:rsidRDefault="00484ABD" w:rsidP="00487513">
      <w:pPr>
        <w:pStyle w:val="Paragraphedeliste"/>
        <w:widowControl w:val="0"/>
        <w:numPr>
          <w:ilvl w:val="0"/>
          <w:numId w:val="10"/>
        </w:numPr>
        <w:suppressAutoHyphens/>
        <w:spacing w:before="120" w:after="240" w:line="240" w:lineRule="auto"/>
        <w:ind w:left="426"/>
        <w:contextualSpacing w:val="0"/>
        <w:jc w:val="both"/>
      </w:pPr>
      <w:r>
        <w:t>Les entreprises sont également tenues de verser une prime de signature en espèces à la signature d</w:t>
      </w:r>
      <w:r w:rsidR="00E66383">
        <w:t>’</w:t>
      </w:r>
      <w:r>
        <w:t xml:space="preserve">un contrat de services techniques. </w:t>
      </w:r>
    </w:p>
    <w:p w14:paraId="6A48964D" w14:textId="70FEDB6F" w:rsidR="00484ABD" w:rsidRDefault="00484ABD" w:rsidP="00487513">
      <w:pPr>
        <w:pStyle w:val="Paragraphedeliste"/>
        <w:widowControl w:val="0"/>
        <w:numPr>
          <w:ilvl w:val="0"/>
          <w:numId w:val="10"/>
        </w:numPr>
        <w:suppressAutoHyphens/>
        <w:spacing w:before="120" w:after="240" w:line="240" w:lineRule="auto"/>
        <w:ind w:left="426"/>
        <w:contextualSpacing w:val="0"/>
        <w:jc w:val="both"/>
      </w:pPr>
      <w:r>
        <w:t>Enfin, les acheteurs internationaux de pétrole paient pour le pétrole brut qu</w:t>
      </w:r>
      <w:r w:rsidR="00E66383">
        <w:t>’</w:t>
      </w:r>
      <w:r>
        <w:t xml:space="preserve">ils achètent auprès de SOMO. </w:t>
      </w:r>
    </w:p>
    <w:p w14:paraId="7DBAF836" w14:textId="3F3C373B" w:rsidR="00484ABD" w:rsidRPr="00B47274" w:rsidRDefault="00484ABD" w:rsidP="00487513">
      <w:pPr>
        <w:jc w:val="both"/>
      </w:pPr>
      <w:r>
        <w:t xml:space="preserve">Ces trois types de paiements </w:t>
      </w:r>
      <w:r w:rsidR="0055661F">
        <w:t xml:space="preserve">versés </w:t>
      </w:r>
      <w:r>
        <w:t>au gouvernement sont les seuls qui sont strictement pris en compte par l</w:t>
      </w:r>
      <w:r w:rsidR="00E66383">
        <w:t>’</w:t>
      </w:r>
      <w:r>
        <w:t>Exigence</w:t>
      </w:r>
      <w:r w:rsidR="002C3458">
        <w:t> </w:t>
      </w:r>
      <w:r>
        <w:t>4.1 de la Norme ITIE. Bien que 5</w:t>
      </w:r>
      <w:r w:rsidR="00A0179E">
        <w:t> </w:t>
      </w:r>
      <w:r>
        <w:t>% de l</w:t>
      </w:r>
      <w:r w:rsidR="00E66383">
        <w:t>’</w:t>
      </w:r>
      <w:r>
        <w:t>ensemble des recettes tirées des ventes du pétrole a</w:t>
      </w:r>
      <w:r w:rsidR="004872C6">
        <w:t>ura</w:t>
      </w:r>
      <w:r>
        <w:t>ient</w:t>
      </w:r>
      <w:r w:rsidR="004872C6">
        <w:t xml:space="preserve"> dû être</w:t>
      </w:r>
      <w:r>
        <w:t xml:space="preserve"> affectés au Fonds d</w:t>
      </w:r>
      <w:r w:rsidR="00E66383">
        <w:t>’</w:t>
      </w:r>
      <w:r>
        <w:t xml:space="preserve">indemnisation des Nations Unies en 2015, des crises budgétaires répétées ont entraîné le retard du paiement final au fonds en 2017. </w:t>
      </w:r>
    </w:p>
    <w:p w14:paraId="08D13392" w14:textId="48953B4E" w:rsidR="00484ABD" w:rsidRPr="00B47274" w:rsidRDefault="00484ABD" w:rsidP="00487513">
      <w:pPr>
        <w:spacing w:before="120"/>
        <w:jc w:val="both"/>
      </w:pPr>
      <w:r>
        <w:t>La région du Kurdistan irakien a constitué un défi majeur pour la mise en œuvre de l</w:t>
      </w:r>
      <w:r w:rsidR="00E66383">
        <w:t>’</w:t>
      </w:r>
      <w:r>
        <w:t>ITIE. Le gouvernement régional du Kurdistan (GRK) a adopté sa propre loi sur le pétrole et le gaz en 2007 et a octroyé depuis 56 contrats conventionnels de partage de production (CPP). L</w:t>
      </w:r>
      <w:r w:rsidR="00E66383">
        <w:t>’</w:t>
      </w:r>
      <w:r>
        <w:t>industrie du pétrole et du gaz du Kurdistan irakien est dominée par une poignée d</w:t>
      </w:r>
      <w:r w:rsidR="00E66383">
        <w:t>’</w:t>
      </w:r>
      <w:r>
        <w:t>acteurs, quatre entreprises représentant plus de 98</w:t>
      </w:r>
      <w:r w:rsidR="00A0179E">
        <w:t> </w:t>
      </w:r>
      <w:r>
        <w:t xml:space="preserve">% de la production de pétrole et de gaz dans les zones contrôlées par le GRK en 2015 </w:t>
      </w:r>
      <w:sdt>
        <w:sdtPr>
          <w:id w:val="585803673"/>
          <w:citation/>
        </w:sdtPr>
        <w:sdtContent>
          <w:r w:rsidRPr="00B47274">
            <w:fldChar w:fldCharType="begin"/>
          </w:r>
          <w:r w:rsidRPr="00B47274">
            <w:instrText xml:space="preserve"> CITATION Atl16 \l 1033 </w:instrText>
          </w:r>
          <w:r w:rsidRPr="00B47274">
            <w:fldChar w:fldCharType="separate"/>
          </w:r>
          <w:r w:rsidRPr="00484ABD">
            <w:rPr>
              <w:noProof/>
            </w:rPr>
            <w:t>(Atlantic Council, 2016)</w:t>
          </w:r>
          <w:r w:rsidRPr="00B47274">
            <w:fldChar w:fldCharType="end"/>
          </w:r>
        </w:sdtContent>
      </w:sdt>
      <w:r>
        <w:t>. Après l</w:t>
      </w:r>
      <w:r w:rsidR="00E66383">
        <w:t>’</w:t>
      </w:r>
      <w:r>
        <w:t>échec des tentatives visant à engager le GRK dans le processus de déclaration de l</w:t>
      </w:r>
      <w:r w:rsidR="00E66383">
        <w:t>’</w:t>
      </w:r>
      <w:r>
        <w:t>ITIE, l</w:t>
      </w:r>
      <w:r w:rsidR="00E66383">
        <w:t>’</w:t>
      </w:r>
      <w:r>
        <w:t>Irak a demandé et a obtenu une mise en œuvre adaptée auprès du Conseil d</w:t>
      </w:r>
      <w:r w:rsidR="00E66383">
        <w:t>’</w:t>
      </w:r>
      <w:r>
        <w:t>a</w:t>
      </w:r>
      <w:r w:rsidR="00E75635">
        <w:t>d</w:t>
      </w:r>
      <w:r>
        <w:t>ministration de l</w:t>
      </w:r>
      <w:r w:rsidR="00E66383">
        <w:t>’</w:t>
      </w:r>
      <w:r>
        <w:t>ITIE pour exclure cette région des exigences de déclaration de l</w:t>
      </w:r>
      <w:r w:rsidR="00E66383">
        <w:t>’</w:t>
      </w:r>
      <w:r>
        <w:t>ITIE pour le Rapport ITIE</w:t>
      </w:r>
      <w:r w:rsidR="00A0179E">
        <w:t> </w:t>
      </w:r>
      <w:r>
        <w:t>2012. Aucun des rapports suivants de l</w:t>
      </w:r>
      <w:r w:rsidR="00E66383">
        <w:t>’</w:t>
      </w:r>
      <w:r>
        <w:t>ITIE</w:t>
      </w:r>
      <w:r w:rsidR="00EB1CC0">
        <w:t>-</w:t>
      </w:r>
      <w:r>
        <w:t>Irak n</w:t>
      </w:r>
      <w:r w:rsidR="00E66383">
        <w:t>’</w:t>
      </w:r>
      <w:r>
        <w:t>a réussi à assurer la participation du GRK et une nouvelle demande de mise en œuvre adaptée présentée au Conseil d</w:t>
      </w:r>
      <w:r w:rsidR="00E66383">
        <w:t>’</w:t>
      </w:r>
      <w:r>
        <w:t>administration n</w:t>
      </w:r>
      <w:r w:rsidR="00E66383">
        <w:t>’</w:t>
      </w:r>
      <w:r>
        <w:t>a pas abouti non plus. En outre, alors que la demande initiale de mise en œuvre adaptée de l</w:t>
      </w:r>
      <w:r w:rsidR="00E66383">
        <w:t>’</w:t>
      </w:r>
      <w:r>
        <w:t>Irak en 2014 n</w:t>
      </w:r>
      <w:r w:rsidR="00E66383">
        <w:t>’</w:t>
      </w:r>
      <w:r>
        <w:t>empêchait pas le gouvernement fédéral de mener des ac</w:t>
      </w:r>
      <w:r w:rsidR="0049495E">
        <w:t>tivités de sensibilisation auprè</w:t>
      </w:r>
      <w:r>
        <w:t>s des entreprises opé</w:t>
      </w:r>
      <w:r w:rsidR="00527026">
        <w:t>rant dans le GRK, rien n’indique</w:t>
      </w:r>
      <w:r>
        <w:t xml:space="preserve"> que l</w:t>
      </w:r>
      <w:r w:rsidR="00E66383">
        <w:t>’</w:t>
      </w:r>
      <w:r>
        <w:t xml:space="preserve">Administrateur Indépendant (AI), le Groupe multipartite ou le secrétariat national a contacté les quatre entreprises principales opérant dans le Kurdistan irakien pour assurer leur participation aux Rapports ITIE.   </w:t>
      </w:r>
    </w:p>
    <w:p w14:paraId="5CB41691" w14:textId="2E55202A" w:rsidR="00484ABD" w:rsidRPr="00B47274" w:rsidRDefault="00484ABD" w:rsidP="00487513">
      <w:pPr>
        <w:spacing w:before="120"/>
        <w:jc w:val="both"/>
      </w:pPr>
      <w:r>
        <w:t>L</w:t>
      </w:r>
      <w:r w:rsidR="00E66383">
        <w:t>’</w:t>
      </w:r>
      <w:r>
        <w:t xml:space="preserve">Irak a également été confronté au défi de </w:t>
      </w:r>
      <w:r w:rsidR="00EB1CC0">
        <w:t xml:space="preserve">l’extension de </w:t>
      </w:r>
      <w:r>
        <w:t>la déclaration ITIE à son secteur minier dominé par l</w:t>
      </w:r>
      <w:r w:rsidR="00E66383">
        <w:t>’</w:t>
      </w:r>
      <w:r>
        <w:t>État (principalement les</w:t>
      </w:r>
      <w:r w:rsidR="00527026">
        <w:t xml:space="preserve"> matériaux de construction et les</w:t>
      </w:r>
      <w:r>
        <w:t xml:space="preserve"> carrières), dont le gouvernement tire moins de 0,1</w:t>
      </w:r>
      <w:r w:rsidR="00A0179E">
        <w:t> </w:t>
      </w:r>
      <w:r>
        <w:t xml:space="preserve">% des revenus selon les estimations des parties prenantes. Bien que le </w:t>
      </w:r>
      <w:r w:rsidR="00EC7BA6">
        <w:t>Groupe multipartite</w:t>
      </w:r>
      <w:r>
        <w:t xml:space="preserve"> ait systématiquement décidé d</w:t>
      </w:r>
      <w:r w:rsidR="00E66383">
        <w:t>’</w:t>
      </w:r>
      <w:r>
        <w:t xml:space="preserve">inclure le secteur minier général dans le </w:t>
      </w:r>
      <w:r w:rsidR="0074091B">
        <w:t>périmètre</w:t>
      </w:r>
      <w:r>
        <w:t xml:space="preserve"> de sa déclaration ITIE, le cadrage de base concernant les paiements des entreprises au gouvernement dans le secteur n</w:t>
      </w:r>
      <w:r w:rsidR="00E66383">
        <w:t>’</w:t>
      </w:r>
      <w:r>
        <w:t>a pas encore été mené à bien. De même, la structure du secteur minier du Kurdistan n</w:t>
      </w:r>
      <w:r w:rsidR="00E66383">
        <w:t>’</w:t>
      </w:r>
      <w:r>
        <w:t>est pas précisée dans les Rapports ITIE de l</w:t>
      </w:r>
      <w:r w:rsidR="00E66383">
        <w:t>’</w:t>
      </w:r>
      <w:r>
        <w:t>Irak. La structure minière dominée par l</w:t>
      </w:r>
      <w:r w:rsidR="00E66383">
        <w:t>’</w:t>
      </w:r>
      <w:r>
        <w:t>État de l</w:t>
      </w:r>
      <w:r w:rsidR="00E66383">
        <w:t>’</w:t>
      </w:r>
      <w:r>
        <w:t xml:space="preserve">Irak semble </w:t>
      </w:r>
      <w:r w:rsidR="0074091B">
        <w:t>ressembler</w:t>
      </w:r>
      <w:r>
        <w:t xml:space="preserve"> à celle du secteur pétrolier et gazier, ce qui laisse entendre que le </w:t>
      </w:r>
      <w:r w:rsidR="00EC7BA6">
        <w:t>Groupe multipartite</w:t>
      </w:r>
      <w:r>
        <w:t xml:space="preserve"> devra soit rapprocher les ventes de minerais du gouvernement ou bien exclure le secteur du rapprochement par le biais de décisions significatives en matière de matérialité. </w:t>
      </w:r>
    </w:p>
    <w:p w14:paraId="03D2B12A" w14:textId="4D23D67B" w:rsidR="00484ABD" w:rsidRPr="00B47274" w:rsidRDefault="00484ABD" w:rsidP="00487513">
      <w:pPr>
        <w:spacing w:before="120"/>
        <w:jc w:val="both"/>
      </w:pPr>
      <w:r>
        <w:lastRenderedPageBreak/>
        <w:t>L</w:t>
      </w:r>
      <w:r w:rsidR="00E66383">
        <w:t>’</w:t>
      </w:r>
      <w:r>
        <w:t>intégration des divulgations exigées par la Norme ITIE sera dans bien des cas le moyen le plus efficace de mettre en œuvre les mesures correctives découlant de cette Validation. Les sites Internet du ministère des Finances, de la Commission supérieure des comptes, de SOMO et d</w:t>
      </w:r>
      <w:r w:rsidR="00E66383">
        <w:t>’</w:t>
      </w:r>
      <w:r>
        <w:t>autres entités gouvernementales pourraient fournir des données plus ponctuelles sur l</w:t>
      </w:r>
      <w:r w:rsidR="00E66383">
        <w:t>’</w:t>
      </w:r>
      <w:r>
        <w:t>exécution du budget, les revenus pétroliers et gaziers, les allocations et les transferts de pétrodollars, l</w:t>
      </w:r>
      <w:r w:rsidR="00E66383">
        <w:t>’</w:t>
      </w:r>
      <w:r>
        <w:t>impôt sur le revenu des sociétés (IRS) et les revenus des primes de signature, ainsi que d</w:t>
      </w:r>
      <w:r w:rsidR="00E66383">
        <w:t>’</w:t>
      </w:r>
      <w:r>
        <w:t>autres documents tels que des comptes publics audités. En s</w:t>
      </w:r>
      <w:r w:rsidR="00E66383">
        <w:t>’</w:t>
      </w:r>
      <w:r>
        <w:t>appuyant sur les réformes actuelles de la gestion des entreprises d</w:t>
      </w:r>
      <w:r w:rsidR="00E66383">
        <w:t>’</w:t>
      </w:r>
      <w:r>
        <w:t>État, l</w:t>
      </w:r>
      <w:r w:rsidR="00E66383">
        <w:t>’</w:t>
      </w:r>
      <w:r>
        <w:t>ITIE pourrait collaborer avec le ministère du Pétrole</w:t>
      </w:r>
      <w:r w:rsidR="00402384">
        <w:t>,</w:t>
      </w:r>
      <w:r>
        <w:t xml:space="preserve"> les neuf entreprises d</w:t>
      </w:r>
      <w:r w:rsidR="00E66383">
        <w:t>’</w:t>
      </w:r>
      <w:r>
        <w:t>État en amont et SOMO pour divulguer les participations des entreprises d</w:t>
      </w:r>
      <w:r w:rsidR="00E66383">
        <w:t>’</w:t>
      </w:r>
      <w:r>
        <w:t>État, les transactions internes aux entreprises d</w:t>
      </w:r>
      <w:r w:rsidR="00E66383">
        <w:t>’</w:t>
      </w:r>
      <w:r>
        <w:t>État, les prêts et les garanties, ainsi que les dépenses quasi budgétaires. Dans l</w:t>
      </w:r>
      <w:r w:rsidR="00E66383">
        <w:t>’</w:t>
      </w:r>
      <w:r>
        <w:t>industrie du pétrole et du gaz dominée par l</w:t>
      </w:r>
      <w:r w:rsidR="00E66383">
        <w:t>’</w:t>
      </w:r>
      <w:r>
        <w:t>État en Irak, il est extrêmement complexe de démêler les transactions entre les entreprises d</w:t>
      </w:r>
      <w:r w:rsidR="00E66383">
        <w:t>’</w:t>
      </w:r>
      <w:r>
        <w:t>État et le gouvernement conformément aux Exigences</w:t>
      </w:r>
      <w:r w:rsidR="002C3458">
        <w:t> </w:t>
      </w:r>
      <w:r>
        <w:t>2.6 et 4.5 de la Norme. En attendant, il pourrait s</w:t>
      </w:r>
      <w:r w:rsidR="00E66383">
        <w:t>’</w:t>
      </w:r>
      <w:r>
        <w:t>avérer possible de remédier aux faiblesses dans la gestion des licences de pétrole et de gaz, les renégociations de contrats et la propriété réelle grâce à des réformes dans le ministère de tutelle, à savoir le ministère du Pétrole. Il convient de souligner que ces approches auront un impact plus étendu que celui d</w:t>
      </w:r>
      <w:r w:rsidR="00953F64">
        <w:t>’un</w:t>
      </w:r>
      <w:r>
        <w:t xml:space="preserve">e simple aide </w:t>
      </w:r>
      <w:r w:rsidR="00953F64">
        <w:t xml:space="preserve">à </w:t>
      </w:r>
      <w:r>
        <w:t>l</w:t>
      </w:r>
      <w:r w:rsidR="00E66383">
        <w:t>’</w:t>
      </w:r>
      <w:r>
        <w:t xml:space="preserve">Irak </w:t>
      </w:r>
      <w:r w:rsidR="00953F64">
        <w:t>pour qu’il</w:t>
      </w:r>
      <w:r>
        <w:t xml:space="preserve"> se conforme à la Norme ITIE</w:t>
      </w:r>
      <w:r w:rsidR="00953F64">
        <w:t>,</w:t>
      </w:r>
      <w:r>
        <w:t xml:space="preserve"> et </w:t>
      </w:r>
      <w:r w:rsidR="00953F64">
        <w:t xml:space="preserve">qu’elles </w:t>
      </w:r>
      <w:r>
        <w:t>pourraient, par exemple, contribuer à démontrer des progrès par rapport à l</w:t>
      </w:r>
      <w:r w:rsidR="00E66383">
        <w:t>’</w:t>
      </w:r>
      <w:r>
        <w:t xml:space="preserve">accord de </w:t>
      </w:r>
      <w:r w:rsidR="00953F64">
        <w:t>confirmation</w:t>
      </w:r>
      <w:r>
        <w:t xml:space="preserve"> du FMI avec l</w:t>
      </w:r>
      <w:r w:rsidR="00E66383">
        <w:t>’</w:t>
      </w:r>
      <w:r>
        <w:t>Irak.</w:t>
      </w:r>
    </w:p>
    <w:p w14:paraId="23D51BBE" w14:textId="1130FA5E" w:rsidR="00172322" w:rsidRDefault="00172322" w:rsidP="00487513">
      <w:pPr>
        <w:spacing w:after="0" w:line="240" w:lineRule="auto"/>
        <w:jc w:val="both"/>
        <w:rPr>
          <w:rFonts w:cstheme="minorHAnsi"/>
          <w:color w:val="FF0000"/>
        </w:rPr>
      </w:pPr>
    </w:p>
    <w:p w14:paraId="7E8E1DC7" w14:textId="09C2A85D" w:rsidR="005625E1" w:rsidRPr="00487513" w:rsidRDefault="00CE3B4B" w:rsidP="00487513">
      <w:pPr>
        <w:pStyle w:val="Paragraphedeliste"/>
        <w:numPr>
          <w:ilvl w:val="0"/>
          <w:numId w:val="1"/>
        </w:numPr>
        <w:spacing w:after="0" w:line="240" w:lineRule="auto"/>
        <w:jc w:val="both"/>
        <w:rPr>
          <w:rFonts w:cstheme="minorHAnsi"/>
          <w:b/>
          <w:color w:val="365F91" w:themeColor="accent1" w:themeShade="BF"/>
        </w:rPr>
      </w:pPr>
      <w:r>
        <w:rPr>
          <w:rFonts w:cstheme="minorHAnsi"/>
          <w:b/>
          <w:color w:val="365F91" w:themeColor="accent1" w:themeShade="BF"/>
        </w:rPr>
        <w:t>Impact de la mise en œuvre de l</w:t>
      </w:r>
      <w:r w:rsidR="00E66383">
        <w:rPr>
          <w:rFonts w:cstheme="minorHAnsi"/>
          <w:b/>
          <w:color w:val="365F91" w:themeColor="accent1" w:themeShade="BF"/>
        </w:rPr>
        <w:t>’</w:t>
      </w:r>
      <w:r>
        <w:rPr>
          <w:rFonts w:cstheme="minorHAnsi"/>
          <w:b/>
          <w:color w:val="365F91" w:themeColor="accent1" w:themeShade="BF"/>
        </w:rPr>
        <w:t>ITIE</w:t>
      </w:r>
    </w:p>
    <w:p w14:paraId="5126CC61" w14:textId="2855641F" w:rsidR="00484ABD" w:rsidRPr="00B47274" w:rsidRDefault="00484ABD" w:rsidP="00487513">
      <w:pPr>
        <w:spacing w:before="120"/>
        <w:jc w:val="both"/>
      </w:pPr>
      <w:r>
        <w:t>En dépit d</w:t>
      </w:r>
      <w:r w:rsidR="00953F64">
        <w:t xml:space="preserve">es </w:t>
      </w:r>
      <w:r>
        <w:t xml:space="preserve">importants défis pratiques et logistiques </w:t>
      </w:r>
      <w:r w:rsidR="00953F64">
        <w:t>qui se présentent dans</w:t>
      </w:r>
      <w:r>
        <w:t xml:space="preserve"> </w:t>
      </w:r>
      <w:r w:rsidR="00953F64">
        <w:t xml:space="preserve">la </w:t>
      </w:r>
      <w:r>
        <w:t>m</w:t>
      </w:r>
      <w:r w:rsidR="00953F64">
        <w:t>is</w:t>
      </w:r>
      <w:r>
        <w:t xml:space="preserve">e en œuvre </w:t>
      </w:r>
      <w:r w:rsidR="00953F64">
        <w:t xml:space="preserve">de </w:t>
      </w:r>
      <w:r>
        <w:t>l</w:t>
      </w:r>
      <w:r w:rsidR="00E66383">
        <w:t>’</w:t>
      </w:r>
      <w:r>
        <w:t>ITIE en Irak, le petit nombre de grandes entreprises opérant dans le secteur pétrolier et gazier en amont et l</w:t>
      </w:r>
      <w:r w:rsidR="00E66383">
        <w:t>’</w:t>
      </w:r>
      <w:r>
        <w:t>achat de pétrole auprès de SOMO signifie que le nombre d</w:t>
      </w:r>
      <w:r w:rsidR="00E66383">
        <w:t>’</w:t>
      </w:r>
      <w:r>
        <w:t xml:space="preserve">entités déclarantes est connu et gérable. Malgré des défis politiques importants, le périmètre de la déclaration ITIE au Kurdistan irakien est également relativement clair, avec vraisemblablement seules quatre entreprises productrices de pétrole effectuant des paiements significatifs au KRG. </w:t>
      </w:r>
      <w:r w:rsidR="00953F64">
        <w:t>En même temps</w:t>
      </w:r>
      <w:r>
        <w:t>, les revenu</w:t>
      </w:r>
      <w:r w:rsidR="00C91384">
        <w:t xml:space="preserve">s du secteur minier ne sont </w:t>
      </w:r>
      <w:r>
        <w:t>sans doute pas significatifs. Il existe manifestement une marge de manœuvre pour que l</w:t>
      </w:r>
      <w:r w:rsidR="00E66383">
        <w:t>’</w:t>
      </w:r>
      <w:r>
        <w:t>Irak réalise des progrès satisfaisants en regard de toutes les Exigences de la Norme ITIE</w:t>
      </w:r>
      <w:r w:rsidR="00953F64">
        <w:t>, ce</w:t>
      </w:r>
      <w:r>
        <w:t xml:space="preserve"> en prenant des décisions difficiles, mais essentielles, à propos du cadrage, de la matérialité et de la fiabilité des données.</w:t>
      </w:r>
    </w:p>
    <w:p w14:paraId="4B020169" w14:textId="77777777" w:rsidR="00DE717E" w:rsidRDefault="00DE717E" w:rsidP="00AA1BCE">
      <w:pPr>
        <w:spacing w:after="0" w:line="240" w:lineRule="auto"/>
        <w:rPr>
          <w:rFonts w:cstheme="minorHAnsi"/>
        </w:rPr>
      </w:pPr>
    </w:p>
    <w:p w14:paraId="5EEEA9ED" w14:textId="77777777" w:rsidR="00DE717E" w:rsidRDefault="00DE717E" w:rsidP="00AA1BCE">
      <w:pPr>
        <w:spacing w:after="0" w:line="240" w:lineRule="auto"/>
        <w:rPr>
          <w:rFonts w:cstheme="minorHAnsi"/>
        </w:rPr>
      </w:pPr>
    </w:p>
    <w:p w14:paraId="4730C240" w14:textId="3906689E" w:rsidR="00056339" w:rsidRDefault="00E46A1D" w:rsidP="000608BE">
      <w:pPr>
        <w:rPr>
          <w:rFonts w:cstheme="minorHAnsi"/>
          <w:b/>
          <w:color w:val="365F91" w:themeColor="accent1" w:themeShade="BF"/>
        </w:rPr>
      </w:pPr>
      <w:r>
        <w:t>.</w:t>
      </w:r>
      <w:r>
        <w:br w:type="page"/>
      </w:r>
      <w:r>
        <w:rPr>
          <w:rFonts w:cstheme="minorHAnsi"/>
          <w:b/>
          <w:color w:val="365F91" w:themeColor="accent1" w:themeShade="BF"/>
        </w:rPr>
        <w:lastRenderedPageBreak/>
        <w:t>L</w:t>
      </w:r>
      <w:r w:rsidR="00E66383">
        <w:rPr>
          <w:rFonts w:cstheme="minorHAnsi"/>
          <w:b/>
          <w:color w:val="365F91" w:themeColor="accent1" w:themeShade="BF"/>
        </w:rPr>
        <w:t>’</w:t>
      </w:r>
      <w:r>
        <w:rPr>
          <w:rFonts w:cstheme="minorHAnsi"/>
          <w:b/>
          <w:color w:val="365F91" w:themeColor="accent1" w:themeShade="BF"/>
        </w:rPr>
        <w:t xml:space="preserve">évaluation de la conformité réalisée par le Validateur Indépendant </w:t>
      </w:r>
    </w:p>
    <w:p w14:paraId="6A711829" w14:textId="7E9CC165" w:rsidR="002D2440" w:rsidRPr="005625E1" w:rsidRDefault="002D2440" w:rsidP="00F12713">
      <w:pPr>
        <w:spacing w:after="0" w:line="240" w:lineRule="auto"/>
        <w:rPr>
          <w:rFonts w:eastAsia="Calibri" w:cstheme="minorHAnsi"/>
          <w:i/>
          <w:color w:val="365F91" w:themeColor="accent1" w:themeShade="BF"/>
        </w:rPr>
      </w:pPr>
      <w:r>
        <w:rPr>
          <w:rFonts w:cstheme="minorHAnsi"/>
          <w:i/>
          <w:color w:val="365F91" w:themeColor="accent1" w:themeShade="BF"/>
        </w:rPr>
        <w:t>Figure 1 — Évaluation du Validateur</w:t>
      </w:r>
    </w:p>
    <w:tbl>
      <w:tblPr>
        <w:tblW w:w="9945" w:type="dxa"/>
        <w:tblInd w:w="-15" w:type="dxa"/>
        <w:tblLayout w:type="fixed"/>
        <w:tblLook w:val="04A0" w:firstRow="1" w:lastRow="0" w:firstColumn="1" w:lastColumn="0" w:noHBand="0" w:noVBand="1"/>
      </w:tblPr>
      <w:tblGrid>
        <w:gridCol w:w="2127"/>
        <w:gridCol w:w="573"/>
        <w:gridCol w:w="940"/>
        <w:gridCol w:w="266"/>
        <w:gridCol w:w="2756"/>
        <w:gridCol w:w="421"/>
        <w:gridCol w:w="602"/>
        <w:gridCol w:w="491"/>
        <w:gridCol w:w="470"/>
        <w:gridCol w:w="467"/>
        <w:gridCol w:w="832"/>
      </w:tblGrid>
      <w:tr w:rsidR="005D069B" w:rsidRPr="00B47274" w14:paraId="30721A92" w14:textId="77777777" w:rsidTr="005D069B">
        <w:trPr>
          <w:gridAfter w:val="1"/>
          <w:wAfter w:w="832" w:type="dxa"/>
          <w:trHeight w:val="142"/>
        </w:trPr>
        <w:tc>
          <w:tcPr>
            <w:tcW w:w="6662" w:type="dxa"/>
            <w:gridSpan w:val="5"/>
            <w:tcBorders>
              <w:top w:val="single" w:sz="12" w:space="0" w:color="auto"/>
              <w:left w:val="single" w:sz="12" w:space="0" w:color="auto"/>
              <w:bottom w:val="single" w:sz="4" w:space="0" w:color="auto"/>
              <w:right w:val="single" w:sz="4" w:space="0" w:color="auto"/>
            </w:tcBorders>
            <w:shd w:val="clear" w:color="000000" w:fill="366092"/>
            <w:noWrap/>
            <w:vAlign w:val="bottom"/>
          </w:tcPr>
          <w:p w14:paraId="7FBA54AA" w14:textId="283B45A8" w:rsidR="005D069B" w:rsidRPr="00B47274" w:rsidRDefault="005D069B" w:rsidP="005D069B">
            <w:pPr>
              <w:spacing w:after="0" w:line="240" w:lineRule="auto"/>
              <w:rPr>
                <w:rFonts w:cs="Times New Roman"/>
                <w:b/>
                <w:bCs/>
                <w:color w:val="FFFFFF"/>
              </w:rPr>
            </w:pPr>
            <w:r>
              <w:rPr>
                <w:b/>
                <w:color w:val="FFFFFF"/>
              </w:rPr>
              <w:t xml:space="preserve">Exigences </w:t>
            </w:r>
            <w:r w:rsidR="00394D1E">
              <w:rPr>
                <w:b/>
                <w:color w:val="FFFFFF"/>
              </w:rPr>
              <w:t>de l’</w:t>
            </w:r>
            <w:r>
              <w:rPr>
                <w:b/>
                <w:color w:val="FFFFFF"/>
              </w:rPr>
              <w:t>ITIE</w:t>
            </w:r>
          </w:p>
        </w:tc>
        <w:tc>
          <w:tcPr>
            <w:tcW w:w="2451" w:type="dxa"/>
            <w:gridSpan w:val="5"/>
            <w:tcBorders>
              <w:top w:val="single" w:sz="12" w:space="0" w:color="auto"/>
              <w:left w:val="single" w:sz="4" w:space="0" w:color="auto"/>
              <w:bottom w:val="single" w:sz="4" w:space="0" w:color="auto"/>
              <w:right w:val="single" w:sz="12" w:space="0" w:color="auto"/>
            </w:tcBorders>
            <w:shd w:val="clear" w:color="000000" w:fill="366092"/>
            <w:vAlign w:val="center"/>
          </w:tcPr>
          <w:p w14:paraId="2A4EE9F5" w14:textId="77777777" w:rsidR="005D069B" w:rsidRPr="00B47274" w:rsidRDefault="005D069B" w:rsidP="005D069B">
            <w:pPr>
              <w:spacing w:after="0" w:line="240" w:lineRule="auto"/>
              <w:jc w:val="center"/>
              <w:rPr>
                <w:rFonts w:cs="Times New Roman"/>
                <w:b/>
                <w:bCs/>
                <w:color w:val="FFFFFF"/>
              </w:rPr>
            </w:pPr>
            <w:r>
              <w:rPr>
                <w:b/>
                <w:color w:val="FFFFFF"/>
              </w:rPr>
              <w:t>NIVEAU DE PROGRÈS</w:t>
            </w:r>
          </w:p>
        </w:tc>
      </w:tr>
      <w:tr w:rsidR="005D069B" w:rsidRPr="00B47274" w14:paraId="47D4DA58" w14:textId="77777777" w:rsidTr="005D069B">
        <w:trPr>
          <w:gridAfter w:val="1"/>
          <w:wAfter w:w="832" w:type="dxa"/>
          <w:trHeight w:val="1187"/>
        </w:trPr>
        <w:tc>
          <w:tcPr>
            <w:tcW w:w="2700" w:type="dxa"/>
            <w:gridSpan w:val="2"/>
            <w:tcBorders>
              <w:top w:val="single" w:sz="4" w:space="0" w:color="auto"/>
              <w:left w:val="single" w:sz="12" w:space="0" w:color="auto"/>
              <w:bottom w:val="nil"/>
              <w:right w:val="nil"/>
            </w:tcBorders>
            <w:shd w:val="clear" w:color="000000" w:fill="F2F2F2"/>
            <w:noWrap/>
            <w:vAlign w:val="bottom"/>
            <w:hideMark/>
          </w:tcPr>
          <w:p w14:paraId="24722038" w14:textId="77777777" w:rsidR="005D069B" w:rsidRPr="00B47274" w:rsidRDefault="005D069B" w:rsidP="005D069B">
            <w:pPr>
              <w:spacing w:after="0" w:line="240" w:lineRule="auto"/>
              <w:rPr>
                <w:rFonts w:cs="Times New Roman"/>
                <w:color w:val="000000"/>
              </w:rPr>
            </w:pPr>
            <w:r>
              <w:rPr>
                <w:color w:val="000000"/>
              </w:rPr>
              <w:t> </w:t>
            </w:r>
          </w:p>
        </w:tc>
        <w:tc>
          <w:tcPr>
            <w:tcW w:w="940" w:type="dxa"/>
            <w:tcBorders>
              <w:top w:val="single" w:sz="4" w:space="0" w:color="auto"/>
              <w:left w:val="nil"/>
              <w:bottom w:val="nil"/>
              <w:right w:val="nil"/>
            </w:tcBorders>
            <w:shd w:val="clear" w:color="000000" w:fill="F2F2F2"/>
            <w:noWrap/>
            <w:vAlign w:val="bottom"/>
            <w:hideMark/>
          </w:tcPr>
          <w:p w14:paraId="494ABB44" w14:textId="77777777" w:rsidR="005D069B" w:rsidRPr="00B47274" w:rsidRDefault="005D069B" w:rsidP="005D069B">
            <w:pPr>
              <w:spacing w:after="0" w:line="240" w:lineRule="auto"/>
              <w:rPr>
                <w:rFonts w:cs="Times New Roman"/>
                <w:color w:val="000000"/>
              </w:rPr>
            </w:pPr>
            <w:r>
              <w:rPr>
                <w:color w:val="000000"/>
              </w:rPr>
              <w:t> </w:t>
            </w:r>
          </w:p>
        </w:tc>
        <w:tc>
          <w:tcPr>
            <w:tcW w:w="266" w:type="dxa"/>
            <w:tcBorders>
              <w:top w:val="single" w:sz="4" w:space="0" w:color="auto"/>
              <w:left w:val="nil"/>
              <w:bottom w:val="nil"/>
              <w:right w:val="nil"/>
            </w:tcBorders>
            <w:shd w:val="clear" w:color="000000" w:fill="F2F2F2"/>
            <w:noWrap/>
            <w:vAlign w:val="bottom"/>
            <w:hideMark/>
          </w:tcPr>
          <w:p w14:paraId="52FEFF03" w14:textId="77777777" w:rsidR="005D069B" w:rsidRPr="00B47274" w:rsidRDefault="005D069B" w:rsidP="005D069B">
            <w:pPr>
              <w:spacing w:after="0" w:line="240" w:lineRule="auto"/>
              <w:rPr>
                <w:rFonts w:cs="Times New Roman"/>
                <w:color w:val="000000"/>
              </w:rPr>
            </w:pPr>
            <w:r>
              <w:rPr>
                <w:color w:val="000000"/>
              </w:rPr>
              <w:t> </w:t>
            </w:r>
          </w:p>
        </w:tc>
        <w:tc>
          <w:tcPr>
            <w:tcW w:w="2756" w:type="dxa"/>
            <w:tcBorders>
              <w:top w:val="single" w:sz="4" w:space="0" w:color="auto"/>
              <w:left w:val="nil"/>
              <w:bottom w:val="nil"/>
              <w:right w:val="single" w:sz="8" w:space="0" w:color="auto"/>
            </w:tcBorders>
            <w:shd w:val="clear" w:color="000000" w:fill="F2F2F2"/>
            <w:noWrap/>
            <w:vAlign w:val="center"/>
            <w:hideMark/>
          </w:tcPr>
          <w:p w14:paraId="1B89F1BB" w14:textId="77777777" w:rsidR="005D069B" w:rsidRPr="00B47274" w:rsidRDefault="005D069B" w:rsidP="005D069B">
            <w:pPr>
              <w:spacing w:after="0" w:line="240" w:lineRule="auto"/>
              <w:rPr>
                <w:rFonts w:cs="Times New Roman"/>
                <w:b/>
                <w:bCs/>
                <w:color w:val="FFFFFF"/>
              </w:rPr>
            </w:pPr>
            <w:r>
              <w:rPr>
                <w:b/>
                <w:color w:val="FFFFFF"/>
              </w:rPr>
              <w:t> </w:t>
            </w:r>
          </w:p>
        </w:tc>
        <w:tc>
          <w:tcPr>
            <w:tcW w:w="421" w:type="dxa"/>
            <w:tcBorders>
              <w:top w:val="single" w:sz="4" w:space="0" w:color="auto"/>
              <w:left w:val="single" w:sz="4" w:space="0" w:color="000000" w:themeColor="text1"/>
              <w:right w:val="single" w:sz="12" w:space="0" w:color="auto"/>
            </w:tcBorders>
            <w:shd w:val="clear" w:color="000000" w:fill="F2F2F2"/>
            <w:textDirection w:val="btLr"/>
          </w:tcPr>
          <w:p w14:paraId="160B4C08" w14:textId="77777777" w:rsidR="005D069B" w:rsidRPr="00B47274" w:rsidRDefault="005D069B" w:rsidP="005D069B">
            <w:pPr>
              <w:spacing w:after="0" w:line="240" w:lineRule="auto"/>
              <w:rPr>
                <w:rFonts w:cs="Times New Roman"/>
                <w:bCs/>
                <w:color w:val="000000"/>
              </w:rPr>
            </w:pPr>
            <w:r>
              <w:rPr>
                <w:color w:val="000000"/>
              </w:rPr>
              <w:t>Aucun</w:t>
            </w:r>
          </w:p>
        </w:tc>
        <w:tc>
          <w:tcPr>
            <w:tcW w:w="602" w:type="dxa"/>
            <w:tcBorders>
              <w:top w:val="single" w:sz="4" w:space="0" w:color="auto"/>
              <w:left w:val="single" w:sz="4" w:space="0" w:color="000000" w:themeColor="text1"/>
              <w:right w:val="single" w:sz="12" w:space="0" w:color="auto"/>
            </w:tcBorders>
            <w:shd w:val="clear" w:color="000000" w:fill="F2F2F2"/>
            <w:textDirection w:val="btLr"/>
          </w:tcPr>
          <w:p w14:paraId="4A70921E" w14:textId="77777777" w:rsidR="005D069B" w:rsidRPr="00B47274" w:rsidRDefault="005D069B" w:rsidP="005D069B">
            <w:pPr>
              <w:spacing w:after="0" w:line="240" w:lineRule="auto"/>
              <w:rPr>
                <w:rFonts w:cs="Times New Roman"/>
                <w:bCs/>
                <w:color w:val="000000"/>
              </w:rPr>
            </w:pPr>
            <w:r>
              <w:rPr>
                <w:color w:val="000000"/>
              </w:rPr>
              <w:t>Insuffisant</w:t>
            </w:r>
          </w:p>
        </w:tc>
        <w:tc>
          <w:tcPr>
            <w:tcW w:w="491" w:type="dxa"/>
            <w:tcBorders>
              <w:top w:val="single" w:sz="4" w:space="0" w:color="auto"/>
              <w:left w:val="single" w:sz="4" w:space="0" w:color="000000" w:themeColor="text1"/>
              <w:right w:val="single" w:sz="12" w:space="0" w:color="auto"/>
            </w:tcBorders>
            <w:shd w:val="clear" w:color="000000" w:fill="F2F2F2"/>
            <w:textDirection w:val="btLr"/>
          </w:tcPr>
          <w:p w14:paraId="5BA2601D" w14:textId="77777777" w:rsidR="005D069B" w:rsidRPr="00B47274" w:rsidRDefault="005D069B" w:rsidP="005D069B">
            <w:pPr>
              <w:spacing w:after="0" w:line="240" w:lineRule="auto"/>
              <w:rPr>
                <w:rFonts w:cs="Times New Roman"/>
                <w:bCs/>
                <w:color w:val="000000"/>
              </w:rPr>
            </w:pPr>
            <w:r>
              <w:rPr>
                <w:color w:val="000000"/>
              </w:rPr>
              <w:t xml:space="preserve"> Significatif</w:t>
            </w:r>
          </w:p>
        </w:tc>
        <w:tc>
          <w:tcPr>
            <w:tcW w:w="470" w:type="dxa"/>
            <w:tcBorders>
              <w:top w:val="single" w:sz="4" w:space="0" w:color="auto"/>
              <w:left w:val="single" w:sz="4" w:space="0" w:color="000000" w:themeColor="text1"/>
              <w:right w:val="single" w:sz="12" w:space="0" w:color="auto"/>
            </w:tcBorders>
            <w:shd w:val="clear" w:color="000000" w:fill="F2F2F2"/>
            <w:textDirection w:val="btLr"/>
          </w:tcPr>
          <w:p w14:paraId="7F4E22DB" w14:textId="77777777" w:rsidR="005D069B" w:rsidRPr="00B47274" w:rsidRDefault="005D069B" w:rsidP="005D069B">
            <w:pPr>
              <w:spacing w:after="0" w:line="240" w:lineRule="auto"/>
              <w:rPr>
                <w:rFonts w:cs="Times New Roman"/>
                <w:bCs/>
                <w:color w:val="000000"/>
              </w:rPr>
            </w:pPr>
            <w:r>
              <w:rPr>
                <w:color w:val="000000"/>
              </w:rPr>
              <w:t xml:space="preserve"> Satisfaisant</w:t>
            </w:r>
          </w:p>
        </w:tc>
        <w:tc>
          <w:tcPr>
            <w:tcW w:w="467" w:type="dxa"/>
            <w:tcBorders>
              <w:top w:val="single" w:sz="4" w:space="0" w:color="auto"/>
              <w:left w:val="single" w:sz="4" w:space="0" w:color="000000" w:themeColor="text1"/>
              <w:right w:val="single" w:sz="12" w:space="0" w:color="auto"/>
            </w:tcBorders>
            <w:shd w:val="clear" w:color="000000" w:fill="F2F2F2"/>
            <w:textDirection w:val="btLr"/>
            <w:vAlign w:val="center"/>
          </w:tcPr>
          <w:p w14:paraId="739C2218" w14:textId="0865C684" w:rsidR="005D069B" w:rsidRPr="00B47274" w:rsidRDefault="001D7AA3" w:rsidP="005D069B">
            <w:pPr>
              <w:spacing w:after="0" w:line="240" w:lineRule="auto"/>
              <w:rPr>
                <w:rFonts w:cs="Times New Roman"/>
                <w:bCs/>
                <w:color w:val="000000"/>
              </w:rPr>
            </w:pPr>
            <w:r>
              <w:rPr>
                <w:color w:val="000000"/>
              </w:rPr>
              <w:t>Dépassé</w:t>
            </w:r>
          </w:p>
        </w:tc>
      </w:tr>
      <w:tr w:rsidR="005D069B" w:rsidRPr="00B47274" w14:paraId="7EB2E275" w14:textId="77777777" w:rsidTr="005D069B">
        <w:trPr>
          <w:trHeight w:val="287"/>
        </w:trPr>
        <w:tc>
          <w:tcPr>
            <w:tcW w:w="2127" w:type="dxa"/>
            <w:tcBorders>
              <w:left w:val="single" w:sz="12" w:space="0" w:color="auto"/>
              <w:bottom w:val="single" w:sz="12" w:space="0" w:color="auto"/>
            </w:tcBorders>
            <w:shd w:val="clear" w:color="000000" w:fill="F2F2F2"/>
            <w:noWrap/>
            <w:vAlign w:val="bottom"/>
            <w:hideMark/>
          </w:tcPr>
          <w:p w14:paraId="4BC943E6" w14:textId="77777777" w:rsidR="005D069B" w:rsidRPr="00B47274" w:rsidRDefault="005D069B" w:rsidP="005D069B">
            <w:pPr>
              <w:spacing w:after="0" w:line="240" w:lineRule="auto"/>
              <w:rPr>
                <w:rFonts w:cs="Times New Roman"/>
                <w:b/>
                <w:bCs/>
                <w:color w:val="000000"/>
              </w:rPr>
            </w:pPr>
            <w:r>
              <w:rPr>
                <w:b/>
                <w:color w:val="000000"/>
              </w:rPr>
              <w:t>Catégories</w:t>
            </w:r>
          </w:p>
        </w:tc>
        <w:tc>
          <w:tcPr>
            <w:tcW w:w="4535" w:type="dxa"/>
            <w:gridSpan w:val="4"/>
            <w:tcBorders>
              <w:bottom w:val="single" w:sz="12" w:space="0" w:color="auto"/>
              <w:right w:val="single" w:sz="8" w:space="0" w:color="auto"/>
            </w:tcBorders>
            <w:shd w:val="clear" w:color="000000" w:fill="F2F2F2"/>
            <w:noWrap/>
            <w:vAlign w:val="center"/>
            <w:hideMark/>
          </w:tcPr>
          <w:p w14:paraId="033EB7E8" w14:textId="77777777" w:rsidR="005D069B" w:rsidRPr="00B47274" w:rsidRDefault="005D069B" w:rsidP="005D069B">
            <w:pPr>
              <w:spacing w:after="0" w:line="240" w:lineRule="auto"/>
              <w:rPr>
                <w:rFonts w:cs="Times New Roman"/>
                <w:b/>
                <w:bCs/>
                <w:color w:val="000000"/>
              </w:rPr>
            </w:pPr>
            <w:r>
              <w:rPr>
                <w:b/>
                <w:color w:val="000000"/>
              </w:rPr>
              <w:t>Exigences</w:t>
            </w:r>
          </w:p>
        </w:tc>
        <w:tc>
          <w:tcPr>
            <w:tcW w:w="421" w:type="dxa"/>
            <w:tcBorders>
              <w:left w:val="single" w:sz="4" w:space="0" w:color="000000" w:themeColor="text1"/>
              <w:bottom w:val="single" w:sz="12" w:space="0" w:color="auto"/>
              <w:right w:val="single" w:sz="12" w:space="0" w:color="auto"/>
            </w:tcBorders>
            <w:shd w:val="clear" w:color="auto" w:fill="C00000"/>
          </w:tcPr>
          <w:p w14:paraId="18220198" w14:textId="77777777" w:rsidR="005D069B" w:rsidRPr="00B47274" w:rsidRDefault="005D069B" w:rsidP="005D069B">
            <w:pPr>
              <w:spacing w:after="0" w:line="240" w:lineRule="auto"/>
              <w:rPr>
                <w:rFonts w:cs="Times New Roman"/>
                <w:b/>
                <w:bCs/>
                <w:color w:val="C00000"/>
              </w:rPr>
            </w:pPr>
          </w:p>
        </w:tc>
        <w:tc>
          <w:tcPr>
            <w:tcW w:w="602" w:type="dxa"/>
            <w:tcBorders>
              <w:left w:val="single" w:sz="4" w:space="0" w:color="000000" w:themeColor="text1"/>
              <w:bottom w:val="single" w:sz="12" w:space="0" w:color="auto"/>
              <w:right w:val="single" w:sz="12" w:space="0" w:color="auto"/>
            </w:tcBorders>
            <w:shd w:val="clear" w:color="auto" w:fill="FAA725"/>
          </w:tcPr>
          <w:p w14:paraId="6BA3F48B" w14:textId="77777777" w:rsidR="005D069B" w:rsidRPr="00B47274" w:rsidRDefault="005D069B" w:rsidP="005D069B">
            <w:pPr>
              <w:spacing w:after="0" w:line="240" w:lineRule="auto"/>
              <w:rPr>
                <w:rFonts w:cs="Times New Roman"/>
                <w:b/>
                <w:bCs/>
                <w:color w:val="C00000"/>
              </w:rPr>
            </w:pPr>
          </w:p>
        </w:tc>
        <w:tc>
          <w:tcPr>
            <w:tcW w:w="491" w:type="dxa"/>
            <w:tcBorders>
              <w:left w:val="single" w:sz="4" w:space="0" w:color="000000" w:themeColor="text1"/>
              <w:bottom w:val="single" w:sz="12" w:space="0" w:color="auto"/>
              <w:right w:val="single" w:sz="12" w:space="0" w:color="auto"/>
            </w:tcBorders>
            <w:shd w:val="clear" w:color="auto" w:fill="84AE43"/>
            <w:vAlign w:val="bottom"/>
          </w:tcPr>
          <w:p w14:paraId="0BE95E8D" w14:textId="77777777" w:rsidR="005D069B" w:rsidRPr="00B47274" w:rsidRDefault="005D069B" w:rsidP="005D069B">
            <w:pPr>
              <w:spacing w:after="0" w:line="240" w:lineRule="auto"/>
              <w:rPr>
                <w:rFonts w:cs="Times New Roman"/>
                <w:b/>
                <w:bCs/>
                <w:color w:val="000000"/>
              </w:rPr>
            </w:pPr>
            <w:r>
              <w:rPr>
                <w:color w:val="000000"/>
              </w:rPr>
              <w:t> </w:t>
            </w:r>
          </w:p>
        </w:tc>
        <w:tc>
          <w:tcPr>
            <w:tcW w:w="470" w:type="dxa"/>
            <w:tcBorders>
              <w:left w:val="single" w:sz="4" w:space="0" w:color="000000" w:themeColor="text1"/>
              <w:bottom w:val="single" w:sz="12" w:space="0" w:color="auto"/>
              <w:right w:val="single" w:sz="12" w:space="0" w:color="auto"/>
            </w:tcBorders>
            <w:shd w:val="clear" w:color="auto" w:fill="217020"/>
            <w:vAlign w:val="bottom"/>
          </w:tcPr>
          <w:p w14:paraId="12DD09FD" w14:textId="77777777" w:rsidR="005D069B" w:rsidRPr="00B47274" w:rsidRDefault="005D069B" w:rsidP="005D069B">
            <w:pPr>
              <w:spacing w:after="0" w:line="240" w:lineRule="auto"/>
              <w:rPr>
                <w:rFonts w:cs="Times New Roman"/>
                <w:b/>
                <w:bCs/>
                <w:color w:val="000000"/>
              </w:rPr>
            </w:pPr>
            <w:r>
              <w:rPr>
                <w:color w:val="000000"/>
              </w:rPr>
              <w:t> </w:t>
            </w:r>
          </w:p>
        </w:tc>
        <w:tc>
          <w:tcPr>
            <w:tcW w:w="467" w:type="dxa"/>
            <w:tcBorders>
              <w:left w:val="single" w:sz="4" w:space="0" w:color="000000" w:themeColor="text1"/>
              <w:bottom w:val="single" w:sz="12" w:space="0" w:color="auto"/>
              <w:right w:val="single" w:sz="12" w:space="0" w:color="auto"/>
            </w:tcBorders>
            <w:shd w:val="clear" w:color="000000" w:fill="0076AF"/>
            <w:vAlign w:val="center"/>
          </w:tcPr>
          <w:p w14:paraId="44D4DC51" w14:textId="77777777" w:rsidR="005D069B" w:rsidRPr="00B47274" w:rsidRDefault="005D069B" w:rsidP="005D069B">
            <w:pPr>
              <w:spacing w:after="0" w:line="240" w:lineRule="auto"/>
              <w:rPr>
                <w:rFonts w:cs="Times New Roman"/>
                <w:b/>
                <w:bCs/>
                <w:color w:val="000000"/>
              </w:rPr>
            </w:pPr>
            <w:r>
              <w:rPr>
                <w:color w:val="000000"/>
              </w:rPr>
              <w:t> </w:t>
            </w:r>
          </w:p>
        </w:tc>
        <w:tc>
          <w:tcPr>
            <w:tcW w:w="832" w:type="dxa"/>
            <w:vAlign w:val="bottom"/>
          </w:tcPr>
          <w:p w14:paraId="3514EC1D" w14:textId="77777777" w:rsidR="005D069B" w:rsidRPr="00B47274" w:rsidRDefault="005D069B" w:rsidP="005D069B">
            <w:pPr>
              <w:spacing w:after="0" w:line="240" w:lineRule="auto"/>
            </w:pPr>
            <w:r>
              <w:rPr>
                <w:color w:val="000000"/>
              </w:rPr>
              <w:t> </w:t>
            </w:r>
          </w:p>
        </w:tc>
      </w:tr>
      <w:tr w:rsidR="005D069B" w:rsidRPr="00B47274" w14:paraId="6E75C08F" w14:textId="77777777" w:rsidTr="00E72398">
        <w:trPr>
          <w:gridAfter w:val="1"/>
          <w:wAfter w:w="832" w:type="dxa"/>
          <w:trHeight w:val="53"/>
        </w:trPr>
        <w:tc>
          <w:tcPr>
            <w:tcW w:w="2127" w:type="dxa"/>
            <w:vMerge w:val="restart"/>
            <w:tcBorders>
              <w:top w:val="single" w:sz="12" w:space="0" w:color="auto"/>
              <w:left w:val="single" w:sz="12" w:space="0" w:color="auto"/>
              <w:bottom w:val="single" w:sz="4" w:space="0" w:color="auto"/>
              <w:right w:val="single" w:sz="4" w:space="0" w:color="auto"/>
            </w:tcBorders>
            <w:shd w:val="clear" w:color="000000" w:fill="BFBFBF"/>
            <w:noWrap/>
            <w:vAlign w:val="center"/>
            <w:hideMark/>
          </w:tcPr>
          <w:p w14:paraId="2FA69F1C" w14:textId="77777777" w:rsidR="005D069B" w:rsidRPr="00B47274" w:rsidRDefault="005D069B" w:rsidP="005D069B">
            <w:pPr>
              <w:spacing w:after="0" w:line="240" w:lineRule="auto"/>
              <w:rPr>
                <w:rFonts w:cs="Times New Roman"/>
                <w:b/>
                <w:bCs/>
                <w:color w:val="000000"/>
              </w:rPr>
            </w:pPr>
            <w:r>
              <w:rPr>
                <w:b/>
                <w:color w:val="000000"/>
              </w:rPr>
              <w:t>Suivi exercé par le Groupe multipartite</w:t>
            </w:r>
          </w:p>
        </w:tc>
        <w:tc>
          <w:tcPr>
            <w:tcW w:w="4535" w:type="dxa"/>
            <w:gridSpan w:val="4"/>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632D1B6" w14:textId="437D6AED" w:rsidR="005D069B" w:rsidRPr="00B47274" w:rsidRDefault="005D069B" w:rsidP="00A0179E">
            <w:pPr>
              <w:spacing w:after="0" w:line="240" w:lineRule="auto"/>
              <w:rPr>
                <w:rFonts w:cs="Times New Roman"/>
                <w:color w:val="000000"/>
              </w:rPr>
            </w:pPr>
            <w:r>
              <w:rPr>
                <w:color w:val="000000"/>
              </w:rPr>
              <w:t>Engagement de l</w:t>
            </w:r>
            <w:r w:rsidR="00E66383">
              <w:rPr>
                <w:color w:val="000000"/>
              </w:rPr>
              <w:t>’</w:t>
            </w:r>
            <w:r>
              <w:rPr>
                <w:color w:val="000000"/>
              </w:rPr>
              <w:t>État (n</w:t>
            </w:r>
            <w:r w:rsidR="00CC10A6">
              <w:rPr>
                <w:color w:val="000000"/>
              </w:rPr>
              <w:t>°</w:t>
            </w:r>
            <w:r w:rsidR="00A0179E">
              <w:rPr>
                <w:color w:val="000000"/>
              </w:rPr>
              <w:t> </w:t>
            </w:r>
            <w:r>
              <w:rPr>
                <w:color w:val="000000"/>
              </w:rPr>
              <w:t>1.1)</w:t>
            </w:r>
          </w:p>
        </w:tc>
        <w:tc>
          <w:tcPr>
            <w:tcW w:w="421" w:type="dxa"/>
            <w:tcBorders>
              <w:top w:val="single" w:sz="12" w:space="0" w:color="auto"/>
              <w:left w:val="single" w:sz="4" w:space="0" w:color="auto"/>
              <w:bottom w:val="single" w:sz="4" w:space="0" w:color="auto"/>
              <w:right w:val="single" w:sz="4" w:space="0" w:color="auto"/>
            </w:tcBorders>
            <w:shd w:val="clear" w:color="auto" w:fill="auto"/>
          </w:tcPr>
          <w:p w14:paraId="06A3F31C" w14:textId="77777777" w:rsidR="005D069B" w:rsidRPr="00B47274" w:rsidRDefault="005D069B" w:rsidP="005D069B">
            <w:pPr>
              <w:spacing w:after="0" w:line="240" w:lineRule="auto"/>
              <w:rPr>
                <w:rFonts w:cs="Times New Roman"/>
                <w:color w:val="000000"/>
              </w:rPr>
            </w:pPr>
          </w:p>
        </w:tc>
        <w:tc>
          <w:tcPr>
            <w:tcW w:w="602" w:type="dxa"/>
            <w:tcBorders>
              <w:top w:val="single" w:sz="12" w:space="0" w:color="auto"/>
              <w:left w:val="single" w:sz="4" w:space="0" w:color="auto"/>
              <w:bottom w:val="single" w:sz="4" w:space="0" w:color="auto"/>
              <w:right w:val="single" w:sz="4" w:space="0" w:color="auto"/>
            </w:tcBorders>
            <w:shd w:val="clear" w:color="auto" w:fill="FAA725"/>
            <w:noWrap/>
            <w:vAlign w:val="bottom"/>
            <w:hideMark/>
          </w:tcPr>
          <w:p w14:paraId="5AB2314B"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12" w:space="0" w:color="auto"/>
              <w:left w:val="single" w:sz="4" w:space="0" w:color="auto"/>
              <w:bottom w:val="single" w:sz="4" w:space="0" w:color="auto"/>
              <w:right w:val="single" w:sz="4" w:space="0" w:color="auto"/>
            </w:tcBorders>
            <w:shd w:val="clear" w:color="auto" w:fill="FFFFFF" w:themeFill="background1"/>
            <w:noWrap/>
            <w:vAlign w:val="bottom"/>
            <w:hideMark/>
          </w:tcPr>
          <w:p w14:paraId="0119E5F6"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5997CE6E"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2FD7376B"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6D6E54AF" w14:textId="77777777" w:rsidTr="00E72398">
        <w:trPr>
          <w:gridAfter w:val="1"/>
          <w:wAfter w:w="832" w:type="dxa"/>
          <w:trHeight w:val="281"/>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36693319"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DA1760" w14:textId="3D7BF00C" w:rsidR="005D069B" w:rsidRPr="00B47274" w:rsidRDefault="005D069B" w:rsidP="00A0179E">
            <w:pPr>
              <w:spacing w:after="0" w:line="240" w:lineRule="auto"/>
              <w:rPr>
                <w:rFonts w:cs="Times New Roman"/>
                <w:color w:val="000000"/>
              </w:rPr>
            </w:pPr>
            <w:r>
              <w:rPr>
                <w:color w:val="000000"/>
              </w:rPr>
              <w:t>Engagement des entreprises (n°</w:t>
            </w:r>
            <w:r w:rsidR="00A0179E">
              <w:rPr>
                <w:color w:val="000000"/>
              </w:rPr>
              <w:t> </w:t>
            </w:r>
            <w:r>
              <w:rPr>
                <w:color w:val="000000"/>
              </w:rPr>
              <w:t>1.2)</w:t>
            </w:r>
          </w:p>
        </w:tc>
        <w:tc>
          <w:tcPr>
            <w:tcW w:w="421" w:type="dxa"/>
            <w:tcBorders>
              <w:top w:val="single" w:sz="4" w:space="0" w:color="auto"/>
              <w:left w:val="single" w:sz="4" w:space="0" w:color="auto"/>
              <w:bottom w:val="single" w:sz="4" w:space="0" w:color="auto"/>
              <w:right w:val="single" w:sz="4" w:space="0" w:color="auto"/>
            </w:tcBorders>
          </w:tcPr>
          <w:p w14:paraId="55BFC126"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4" w:space="0" w:color="auto"/>
              <w:right w:val="single" w:sz="4" w:space="0" w:color="auto"/>
            </w:tcBorders>
            <w:shd w:val="clear" w:color="auto" w:fill="FAA725"/>
            <w:noWrap/>
            <w:vAlign w:val="bottom"/>
            <w:hideMark/>
          </w:tcPr>
          <w:p w14:paraId="3861B1A3"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88419"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06A4D"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039B0729"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4062DAFA" w14:textId="77777777" w:rsidTr="00E72398">
        <w:trPr>
          <w:gridAfter w:val="1"/>
          <w:wAfter w:w="832" w:type="dxa"/>
          <w:trHeight w:val="53"/>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3CB39E88"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D5A30B" w14:textId="37ADDB17" w:rsidR="005D069B" w:rsidRPr="00B47274" w:rsidRDefault="005D069B" w:rsidP="00A0179E">
            <w:pPr>
              <w:spacing w:after="0" w:line="240" w:lineRule="auto"/>
              <w:rPr>
                <w:rFonts w:cs="Times New Roman"/>
                <w:color w:val="000000"/>
              </w:rPr>
            </w:pPr>
            <w:r>
              <w:rPr>
                <w:color w:val="000000"/>
              </w:rPr>
              <w:t>Implication de la société civile (n°</w:t>
            </w:r>
            <w:r w:rsidR="00A0179E">
              <w:rPr>
                <w:color w:val="000000"/>
              </w:rPr>
              <w:t> </w:t>
            </w:r>
            <w:r>
              <w:rPr>
                <w:color w:val="000000"/>
              </w:rPr>
              <w:t>1.3)</w:t>
            </w:r>
          </w:p>
        </w:tc>
        <w:tc>
          <w:tcPr>
            <w:tcW w:w="421" w:type="dxa"/>
            <w:tcBorders>
              <w:top w:val="single" w:sz="4" w:space="0" w:color="auto"/>
              <w:left w:val="single" w:sz="4" w:space="0" w:color="auto"/>
              <w:bottom w:val="single" w:sz="4" w:space="0" w:color="auto"/>
              <w:right w:val="single" w:sz="4" w:space="0" w:color="auto"/>
            </w:tcBorders>
          </w:tcPr>
          <w:p w14:paraId="0BDCBC75"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697B7"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71EB2"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4" w:space="0" w:color="auto"/>
              <w:right w:val="single" w:sz="4" w:space="0" w:color="auto"/>
            </w:tcBorders>
            <w:shd w:val="clear" w:color="auto" w:fill="217020"/>
            <w:noWrap/>
            <w:vAlign w:val="bottom"/>
            <w:hideMark/>
          </w:tcPr>
          <w:p w14:paraId="32117CFD"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3F4C628"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55A1F277" w14:textId="77777777" w:rsidTr="00E72398">
        <w:trPr>
          <w:gridAfter w:val="1"/>
          <w:wAfter w:w="832" w:type="dxa"/>
          <w:trHeight w:val="323"/>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2B77789F"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5B3066" w14:textId="56B4D00E" w:rsidR="005D069B" w:rsidRPr="00B47274" w:rsidRDefault="005D069B" w:rsidP="00A0179E">
            <w:pPr>
              <w:spacing w:after="0" w:line="240" w:lineRule="auto"/>
              <w:rPr>
                <w:rFonts w:cs="Times New Roman"/>
                <w:color w:val="000000"/>
              </w:rPr>
            </w:pPr>
            <w:r>
              <w:rPr>
                <w:color w:val="000000"/>
              </w:rPr>
              <w:t>Gouvernance du Groupe multipartite (n°</w:t>
            </w:r>
            <w:r w:rsidR="00A0179E">
              <w:rPr>
                <w:color w:val="000000"/>
              </w:rPr>
              <w:t> </w:t>
            </w:r>
            <w:r>
              <w:rPr>
                <w:color w:val="000000"/>
              </w:rPr>
              <w:t>1.4)</w:t>
            </w:r>
          </w:p>
        </w:tc>
        <w:tc>
          <w:tcPr>
            <w:tcW w:w="421" w:type="dxa"/>
            <w:tcBorders>
              <w:top w:val="single" w:sz="4" w:space="0" w:color="auto"/>
              <w:left w:val="single" w:sz="4" w:space="0" w:color="auto"/>
              <w:bottom w:val="single" w:sz="4" w:space="0" w:color="auto"/>
              <w:right w:val="single" w:sz="4" w:space="0" w:color="auto"/>
            </w:tcBorders>
          </w:tcPr>
          <w:p w14:paraId="425C7B37"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4" w:space="0" w:color="auto"/>
              <w:right w:val="single" w:sz="4" w:space="0" w:color="auto"/>
            </w:tcBorders>
            <w:shd w:val="clear" w:color="auto" w:fill="FAA725"/>
            <w:noWrap/>
            <w:vAlign w:val="bottom"/>
            <w:hideMark/>
          </w:tcPr>
          <w:p w14:paraId="70EFD5BA"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73E3A"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B0213"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59B65ED"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1D1B8E30" w14:textId="77777777" w:rsidTr="00E72398">
        <w:trPr>
          <w:gridAfter w:val="1"/>
          <w:wAfter w:w="832" w:type="dxa"/>
          <w:trHeight w:val="53"/>
        </w:trPr>
        <w:tc>
          <w:tcPr>
            <w:tcW w:w="2127" w:type="dxa"/>
            <w:vMerge/>
            <w:tcBorders>
              <w:top w:val="single" w:sz="4" w:space="0" w:color="auto"/>
              <w:left w:val="single" w:sz="12" w:space="0" w:color="auto"/>
              <w:bottom w:val="single" w:sz="12" w:space="0" w:color="auto"/>
              <w:right w:val="single" w:sz="4" w:space="0" w:color="auto"/>
            </w:tcBorders>
            <w:vAlign w:val="center"/>
            <w:hideMark/>
          </w:tcPr>
          <w:p w14:paraId="40DF9001"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5BA448DC" w14:textId="719E7ECD" w:rsidR="005D069B" w:rsidRPr="00B47274" w:rsidRDefault="005D069B" w:rsidP="00A0179E">
            <w:pPr>
              <w:spacing w:after="0" w:line="240" w:lineRule="auto"/>
              <w:rPr>
                <w:rFonts w:cs="Times New Roman"/>
                <w:color w:val="000000"/>
              </w:rPr>
            </w:pPr>
            <w:r>
              <w:rPr>
                <w:color w:val="000000"/>
              </w:rPr>
              <w:t>Plan de travail (</w:t>
            </w:r>
            <w:bookmarkStart w:id="0" w:name="_GoBack"/>
            <w:r>
              <w:rPr>
                <w:color w:val="000000"/>
              </w:rPr>
              <w:t>n°</w:t>
            </w:r>
            <w:bookmarkEnd w:id="0"/>
            <w:r w:rsidR="00A0179E">
              <w:rPr>
                <w:color w:val="000000"/>
              </w:rPr>
              <w:t> </w:t>
            </w:r>
            <w:r>
              <w:rPr>
                <w:color w:val="000000"/>
              </w:rPr>
              <w:t>1.5)</w:t>
            </w:r>
          </w:p>
        </w:tc>
        <w:tc>
          <w:tcPr>
            <w:tcW w:w="421" w:type="dxa"/>
            <w:tcBorders>
              <w:top w:val="single" w:sz="4" w:space="0" w:color="auto"/>
              <w:left w:val="single" w:sz="4" w:space="0" w:color="auto"/>
              <w:bottom w:val="single" w:sz="12" w:space="0" w:color="auto"/>
              <w:right w:val="single" w:sz="4" w:space="0" w:color="auto"/>
            </w:tcBorders>
          </w:tcPr>
          <w:p w14:paraId="488BF93C"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3CE5606B"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12" w:space="0" w:color="auto"/>
              <w:right w:val="single" w:sz="4" w:space="0" w:color="auto"/>
            </w:tcBorders>
            <w:shd w:val="clear" w:color="auto" w:fill="84AE43"/>
            <w:noWrap/>
            <w:vAlign w:val="bottom"/>
            <w:hideMark/>
          </w:tcPr>
          <w:p w14:paraId="46B0B8BF"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04AC42FE"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F92C850"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740AEABC" w14:textId="77777777" w:rsidTr="005D069B">
        <w:trPr>
          <w:gridAfter w:val="1"/>
          <w:wAfter w:w="832" w:type="dxa"/>
          <w:trHeight w:val="53"/>
        </w:trPr>
        <w:tc>
          <w:tcPr>
            <w:tcW w:w="2127" w:type="dxa"/>
            <w:vMerge w:val="restart"/>
            <w:tcBorders>
              <w:top w:val="single" w:sz="12" w:space="0" w:color="auto"/>
              <w:left w:val="single" w:sz="12" w:space="0" w:color="auto"/>
              <w:bottom w:val="single" w:sz="4" w:space="0" w:color="auto"/>
              <w:right w:val="single" w:sz="4" w:space="0" w:color="auto"/>
            </w:tcBorders>
            <w:shd w:val="clear" w:color="000000" w:fill="BFBFBF"/>
            <w:noWrap/>
            <w:vAlign w:val="center"/>
            <w:hideMark/>
          </w:tcPr>
          <w:p w14:paraId="452A9B35" w14:textId="77777777" w:rsidR="005D069B" w:rsidRPr="00B47274" w:rsidRDefault="005D069B" w:rsidP="005D069B">
            <w:pPr>
              <w:spacing w:after="0" w:line="240" w:lineRule="auto"/>
              <w:rPr>
                <w:rFonts w:cs="Times New Roman"/>
                <w:b/>
                <w:bCs/>
                <w:color w:val="000000"/>
              </w:rPr>
            </w:pPr>
            <w:r>
              <w:rPr>
                <w:b/>
                <w:color w:val="000000"/>
              </w:rPr>
              <w:t>Licences et contrats</w:t>
            </w:r>
          </w:p>
        </w:tc>
        <w:tc>
          <w:tcPr>
            <w:tcW w:w="4535" w:type="dxa"/>
            <w:gridSpan w:val="4"/>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E911CF2" w14:textId="687376E1" w:rsidR="005D069B" w:rsidRPr="00B47274" w:rsidRDefault="005D069B" w:rsidP="005D069B">
            <w:pPr>
              <w:spacing w:after="0" w:line="240" w:lineRule="auto"/>
              <w:rPr>
                <w:rFonts w:cs="Times New Roman"/>
                <w:color w:val="000000"/>
              </w:rPr>
            </w:pPr>
            <w:r>
              <w:rPr>
                <w:color w:val="000000"/>
              </w:rPr>
              <w:t>Cadre légal (n°</w:t>
            </w:r>
            <w:r w:rsidR="00A0179E">
              <w:rPr>
                <w:color w:val="000000"/>
              </w:rPr>
              <w:t> </w:t>
            </w:r>
            <w:r>
              <w:rPr>
                <w:color w:val="000000"/>
              </w:rPr>
              <w:t>2.1)</w:t>
            </w:r>
          </w:p>
        </w:tc>
        <w:tc>
          <w:tcPr>
            <w:tcW w:w="421" w:type="dxa"/>
            <w:tcBorders>
              <w:top w:val="single" w:sz="12" w:space="0" w:color="auto"/>
              <w:left w:val="single" w:sz="4" w:space="0" w:color="auto"/>
              <w:bottom w:val="single" w:sz="4" w:space="0" w:color="auto"/>
              <w:right w:val="single" w:sz="4" w:space="0" w:color="auto"/>
            </w:tcBorders>
          </w:tcPr>
          <w:p w14:paraId="70101779" w14:textId="77777777" w:rsidR="005D069B" w:rsidRPr="00B47274" w:rsidRDefault="005D069B" w:rsidP="005D069B">
            <w:pPr>
              <w:spacing w:after="0" w:line="240" w:lineRule="auto"/>
              <w:rPr>
                <w:rFonts w:cs="Times New Roman"/>
                <w:color w:val="000000"/>
              </w:rPr>
            </w:pPr>
          </w:p>
        </w:tc>
        <w:tc>
          <w:tcPr>
            <w:tcW w:w="602" w:type="dxa"/>
            <w:tcBorders>
              <w:top w:val="single" w:sz="12" w:space="0" w:color="auto"/>
              <w:left w:val="single" w:sz="4" w:space="0" w:color="auto"/>
              <w:bottom w:val="single" w:sz="4" w:space="0" w:color="auto"/>
              <w:right w:val="single" w:sz="4" w:space="0" w:color="auto"/>
            </w:tcBorders>
            <w:shd w:val="clear" w:color="auto" w:fill="FAA727"/>
            <w:noWrap/>
            <w:vAlign w:val="bottom"/>
            <w:hideMark/>
          </w:tcPr>
          <w:p w14:paraId="34617990"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1A8165DA"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712D1C2E"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A9F158E"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7AFAF234" w14:textId="77777777" w:rsidTr="005D069B">
        <w:trPr>
          <w:gridAfter w:val="1"/>
          <w:wAfter w:w="832" w:type="dxa"/>
          <w:trHeight w:val="53"/>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61DC1BB1"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1F36A2" w14:textId="30A4920C" w:rsidR="005D069B" w:rsidRPr="00B47274" w:rsidRDefault="005D069B" w:rsidP="005D069B">
            <w:pPr>
              <w:spacing w:after="0" w:line="240" w:lineRule="auto"/>
              <w:rPr>
                <w:rFonts w:cs="Times New Roman"/>
                <w:color w:val="000000"/>
              </w:rPr>
            </w:pPr>
            <w:r>
              <w:rPr>
                <w:color w:val="000000"/>
              </w:rPr>
              <w:t>Octrois des licences (n°</w:t>
            </w:r>
            <w:r w:rsidR="00A0179E">
              <w:rPr>
                <w:color w:val="000000"/>
              </w:rPr>
              <w:t> </w:t>
            </w:r>
            <w:r>
              <w:rPr>
                <w:color w:val="000000"/>
              </w:rPr>
              <w:t>2.2)</w:t>
            </w:r>
          </w:p>
        </w:tc>
        <w:tc>
          <w:tcPr>
            <w:tcW w:w="421" w:type="dxa"/>
            <w:tcBorders>
              <w:top w:val="single" w:sz="4" w:space="0" w:color="auto"/>
              <w:left w:val="single" w:sz="4" w:space="0" w:color="auto"/>
              <w:bottom w:val="single" w:sz="4" w:space="0" w:color="auto"/>
              <w:right w:val="single" w:sz="4" w:space="0" w:color="auto"/>
            </w:tcBorders>
          </w:tcPr>
          <w:p w14:paraId="4C7FBCD1"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4" w:space="0" w:color="auto"/>
              <w:right w:val="single" w:sz="4" w:space="0" w:color="auto"/>
            </w:tcBorders>
            <w:shd w:val="clear" w:color="auto" w:fill="FAA727"/>
            <w:noWrap/>
            <w:vAlign w:val="bottom"/>
            <w:hideMark/>
          </w:tcPr>
          <w:p w14:paraId="5B7B8134"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89B95"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567FD"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432BFB"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06E726CB" w14:textId="77777777" w:rsidTr="005D069B">
        <w:trPr>
          <w:gridAfter w:val="1"/>
          <w:wAfter w:w="832" w:type="dxa"/>
          <w:trHeight w:val="53"/>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082AB3AC"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3B8DD8" w14:textId="348396F3" w:rsidR="005D069B" w:rsidRPr="00B47274" w:rsidRDefault="005D069B" w:rsidP="005D069B">
            <w:pPr>
              <w:spacing w:after="0" w:line="240" w:lineRule="auto"/>
              <w:rPr>
                <w:rFonts w:cs="Times New Roman"/>
                <w:color w:val="000000"/>
              </w:rPr>
            </w:pPr>
            <w:r>
              <w:rPr>
                <w:color w:val="000000"/>
              </w:rPr>
              <w:t>Registre des licences (n°</w:t>
            </w:r>
            <w:r w:rsidR="00A0179E">
              <w:rPr>
                <w:color w:val="000000"/>
              </w:rPr>
              <w:t> </w:t>
            </w:r>
            <w:r>
              <w:rPr>
                <w:color w:val="000000"/>
              </w:rPr>
              <w:t>2.3)</w:t>
            </w:r>
          </w:p>
        </w:tc>
        <w:tc>
          <w:tcPr>
            <w:tcW w:w="421" w:type="dxa"/>
            <w:tcBorders>
              <w:top w:val="single" w:sz="4" w:space="0" w:color="auto"/>
              <w:left w:val="single" w:sz="4" w:space="0" w:color="auto"/>
              <w:bottom w:val="single" w:sz="4" w:space="0" w:color="auto"/>
              <w:right w:val="single" w:sz="4" w:space="0" w:color="auto"/>
            </w:tcBorders>
          </w:tcPr>
          <w:p w14:paraId="2CBD98CC"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4" w:space="0" w:color="auto"/>
              <w:right w:val="single" w:sz="4" w:space="0" w:color="auto"/>
            </w:tcBorders>
            <w:shd w:val="clear" w:color="auto" w:fill="FAA929"/>
            <w:noWrap/>
            <w:vAlign w:val="bottom"/>
            <w:hideMark/>
          </w:tcPr>
          <w:p w14:paraId="009B9138"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ED347"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C4501"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100045"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272B9D70" w14:textId="77777777" w:rsidTr="005D069B">
        <w:trPr>
          <w:gridAfter w:val="1"/>
          <w:wAfter w:w="832" w:type="dxa"/>
          <w:trHeight w:val="53"/>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6CC7F769"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6B63CA" w14:textId="3742B1C8" w:rsidR="005D069B" w:rsidRPr="00B47274" w:rsidRDefault="005D069B" w:rsidP="005D069B">
            <w:pPr>
              <w:spacing w:after="0" w:line="240" w:lineRule="auto"/>
              <w:rPr>
                <w:rFonts w:cs="Times New Roman"/>
                <w:color w:val="000000"/>
              </w:rPr>
            </w:pPr>
            <w:r>
              <w:rPr>
                <w:color w:val="000000"/>
              </w:rPr>
              <w:t>Politique sur la divulgation des contrats (n°</w:t>
            </w:r>
            <w:r w:rsidR="00A0179E">
              <w:rPr>
                <w:color w:val="000000"/>
              </w:rPr>
              <w:t> </w:t>
            </w:r>
            <w:r>
              <w:rPr>
                <w:color w:val="000000"/>
              </w:rPr>
              <w:t>2.4)</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08E024E9"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4" w:space="0" w:color="auto"/>
              <w:right w:val="single" w:sz="4" w:space="0" w:color="auto"/>
            </w:tcBorders>
            <w:shd w:val="clear" w:color="auto" w:fill="FAA929"/>
            <w:noWrap/>
            <w:vAlign w:val="bottom"/>
            <w:hideMark/>
          </w:tcPr>
          <w:p w14:paraId="19F4C109"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E2732"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29A75"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56FC468E"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33D5A38A" w14:textId="77777777" w:rsidTr="005D069B">
        <w:trPr>
          <w:gridAfter w:val="1"/>
          <w:wAfter w:w="832" w:type="dxa"/>
          <w:trHeight w:val="53"/>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4F43A216"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ADFC02" w14:textId="14AB26C4" w:rsidR="005D069B" w:rsidRPr="00B47274" w:rsidRDefault="005D069B" w:rsidP="005D069B">
            <w:pPr>
              <w:spacing w:after="0" w:line="240" w:lineRule="auto"/>
              <w:rPr>
                <w:rFonts w:cs="Times New Roman"/>
                <w:color w:val="000000"/>
              </w:rPr>
            </w:pPr>
            <w:r>
              <w:rPr>
                <w:color w:val="000000"/>
              </w:rPr>
              <w:t>Propriété réelle (n°</w:t>
            </w:r>
            <w:r w:rsidR="00A0179E">
              <w:rPr>
                <w:color w:val="000000"/>
              </w:rPr>
              <w:t> </w:t>
            </w:r>
            <w:r>
              <w:rPr>
                <w:color w:val="000000"/>
              </w:rPr>
              <w:t>2.5)</w:t>
            </w:r>
          </w:p>
        </w:tc>
        <w:tc>
          <w:tcPr>
            <w:tcW w:w="421" w:type="dxa"/>
            <w:tcBorders>
              <w:top w:val="single" w:sz="4" w:space="0" w:color="auto"/>
              <w:left w:val="single" w:sz="4" w:space="0" w:color="auto"/>
              <w:bottom w:val="single" w:sz="4" w:space="0" w:color="auto"/>
              <w:right w:val="single" w:sz="4" w:space="0" w:color="auto"/>
            </w:tcBorders>
            <w:shd w:val="clear" w:color="000000" w:fill="D9D9D9"/>
          </w:tcPr>
          <w:p w14:paraId="5DA9C6A5"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53693C3"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9CF884B"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9AC60AB"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4" w:space="0" w:color="auto"/>
              <w:right w:val="single" w:sz="12" w:space="0" w:color="auto"/>
            </w:tcBorders>
            <w:shd w:val="clear" w:color="000000" w:fill="D9D9D9"/>
            <w:noWrap/>
            <w:vAlign w:val="bottom"/>
            <w:hideMark/>
          </w:tcPr>
          <w:p w14:paraId="0505352D"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27F27492" w14:textId="77777777" w:rsidTr="005D069B">
        <w:trPr>
          <w:gridAfter w:val="1"/>
          <w:wAfter w:w="832" w:type="dxa"/>
          <w:trHeight w:val="310"/>
        </w:trPr>
        <w:tc>
          <w:tcPr>
            <w:tcW w:w="2127" w:type="dxa"/>
            <w:vMerge/>
            <w:tcBorders>
              <w:top w:val="single" w:sz="4" w:space="0" w:color="auto"/>
              <w:left w:val="single" w:sz="12" w:space="0" w:color="auto"/>
              <w:bottom w:val="single" w:sz="12" w:space="0" w:color="auto"/>
              <w:right w:val="single" w:sz="4" w:space="0" w:color="auto"/>
            </w:tcBorders>
            <w:vAlign w:val="center"/>
            <w:hideMark/>
          </w:tcPr>
          <w:p w14:paraId="25EFB4B5"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77F459D8" w14:textId="04FAF045" w:rsidR="005D069B" w:rsidRPr="00B47274" w:rsidRDefault="005D069B" w:rsidP="005D069B">
            <w:pPr>
              <w:spacing w:after="0" w:line="240" w:lineRule="auto"/>
              <w:rPr>
                <w:rFonts w:cs="Times New Roman"/>
                <w:color w:val="000000"/>
              </w:rPr>
            </w:pPr>
            <w:r>
              <w:rPr>
                <w:color w:val="000000"/>
              </w:rPr>
              <w:t>Participation de l</w:t>
            </w:r>
            <w:r w:rsidR="00E66383">
              <w:rPr>
                <w:color w:val="000000"/>
              </w:rPr>
              <w:t>’</w:t>
            </w:r>
            <w:r>
              <w:rPr>
                <w:color w:val="000000"/>
              </w:rPr>
              <w:t>État (n°</w:t>
            </w:r>
            <w:r w:rsidR="00A0179E">
              <w:rPr>
                <w:color w:val="000000"/>
              </w:rPr>
              <w:t> </w:t>
            </w:r>
            <w:r>
              <w:rPr>
                <w:color w:val="000000"/>
              </w:rPr>
              <w:t>2.6)</w:t>
            </w:r>
          </w:p>
        </w:tc>
        <w:tc>
          <w:tcPr>
            <w:tcW w:w="421" w:type="dxa"/>
            <w:tcBorders>
              <w:top w:val="single" w:sz="4" w:space="0" w:color="auto"/>
              <w:left w:val="single" w:sz="4" w:space="0" w:color="auto"/>
              <w:bottom w:val="single" w:sz="12" w:space="0" w:color="auto"/>
              <w:right w:val="single" w:sz="4" w:space="0" w:color="auto"/>
            </w:tcBorders>
            <w:shd w:val="clear" w:color="auto" w:fill="FFFFFF" w:themeFill="background1"/>
          </w:tcPr>
          <w:p w14:paraId="7427A85B"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12" w:space="0" w:color="auto"/>
              <w:right w:val="single" w:sz="4" w:space="0" w:color="auto"/>
            </w:tcBorders>
            <w:shd w:val="clear" w:color="auto" w:fill="FAA727"/>
            <w:noWrap/>
            <w:vAlign w:val="bottom"/>
            <w:hideMark/>
          </w:tcPr>
          <w:p w14:paraId="307292B0"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12" w:space="0" w:color="auto"/>
              <w:right w:val="single" w:sz="4" w:space="0" w:color="auto"/>
            </w:tcBorders>
            <w:shd w:val="clear" w:color="auto" w:fill="FFFFFF" w:themeFill="background1"/>
            <w:noWrap/>
            <w:vAlign w:val="bottom"/>
            <w:hideMark/>
          </w:tcPr>
          <w:p w14:paraId="36722582"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12" w:space="0" w:color="auto"/>
              <w:right w:val="single" w:sz="4" w:space="0" w:color="auto"/>
            </w:tcBorders>
            <w:shd w:val="clear" w:color="auto" w:fill="FFFFFF" w:themeFill="background1"/>
            <w:noWrap/>
            <w:vAlign w:val="bottom"/>
            <w:hideMark/>
          </w:tcPr>
          <w:p w14:paraId="5415AF36"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12" w:space="0" w:color="auto"/>
              <w:right w:val="single" w:sz="12" w:space="0" w:color="auto"/>
            </w:tcBorders>
            <w:shd w:val="clear" w:color="auto" w:fill="FFFFFF" w:themeFill="background1"/>
            <w:noWrap/>
            <w:vAlign w:val="bottom"/>
            <w:hideMark/>
          </w:tcPr>
          <w:p w14:paraId="5EEF934A"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117E9FF0" w14:textId="77777777" w:rsidTr="005D069B">
        <w:trPr>
          <w:gridAfter w:val="1"/>
          <w:wAfter w:w="832" w:type="dxa"/>
          <w:trHeight w:val="304"/>
        </w:trPr>
        <w:tc>
          <w:tcPr>
            <w:tcW w:w="2127" w:type="dxa"/>
            <w:vMerge w:val="restart"/>
            <w:tcBorders>
              <w:top w:val="single" w:sz="12" w:space="0" w:color="auto"/>
              <w:left w:val="single" w:sz="12" w:space="0" w:color="auto"/>
              <w:bottom w:val="single" w:sz="4" w:space="0" w:color="auto"/>
              <w:right w:val="single" w:sz="4" w:space="0" w:color="auto"/>
            </w:tcBorders>
            <w:shd w:val="clear" w:color="000000" w:fill="BFBFBF"/>
            <w:noWrap/>
            <w:vAlign w:val="center"/>
            <w:hideMark/>
          </w:tcPr>
          <w:p w14:paraId="1B6ED417" w14:textId="77777777" w:rsidR="005D069B" w:rsidRPr="00B47274" w:rsidRDefault="005D069B" w:rsidP="005D069B">
            <w:pPr>
              <w:spacing w:after="0" w:line="240" w:lineRule="auto"/>
              <w:rPr>
                <w:rFonts w:cs="Times New Roman"/>
                <w:b/>
                <w:bCs/>
                <w:color w:val="000000"/>
              </w:rPr>
            </w:pPr>
            <w:r>
              <w:rPr>
                <w:b/>
                <w:color w:val="000000"/>
              </w:rPr>
              <w:t>Suivi de la production</w:t>
            </w:r>
          </w:p>
        </w:tc>
        <w:tc>
          <w:tcPr>
            <w:tcW w:w="4535" w:type="dxa"/>
            <w:gridSpan w:val="4"/>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05CB4209" w14:textId="29E029FC" w:rsidR="005D069B" w:rsidRPr="00B47274" w:rsidRDefault="005D069B" w:rsidP="005D069B">
            <w:pPr>
              <w:spacing w:after="0" w:line="240" w:lineRule="auto"/>
              <w:rPr>
                <w:rFonts w:cs="Times New Roman"/>
                <w:color w:val="000000"/>
              </w:rPr>
            </w:pPr>
            <w:r>
              <w:rPr>
                <w:color w:val="000000"/>
              </w:rPr>
              <w:t>Données sur les activités d</w:t>
            </w:r>
            <w:r w:rsidR="00E66383">
              <w:rPr>
                <w:color w:val="000000"/>
              </w:rPr>
              <w:t>’</w:t>
            </w:r>
            <w:r>
              <w:rPr>
                <w:color w:val="000000"/>
              </w:rPr>
              <w:t>exploration (n°</w:t>
            </w:r>
            <w:r w:rsidR="00A0179E">
              <w:rPr>
                <w:color w:val="000000"/>
              </w:rPr>
              <w:t> </w:t>
            </w:r>
            <w:r>
              <w:rPr>
                <w:color w:val="000000"/>
              </w:rPr>
              <w:t>3.1)</w:t>
            </w:r>
          </w:p>
        </w:tc>
        <w:tc>
          <w:tcPr>
            <w:tcW w:w="421" w:type="dxa"/>
            <w:tcBorders>
              <w:top w:val="single" w:sz="12" w:space="0" w:color="auto"/>
              <w:left w:val="single" w:sz="4" w:space="0" w:color="auto"/>
              <w:bottom w:val="single" w:sz="4" w:space="0" w:color="auto"/>
              <w:right w:val="single" w:sz="4" w:space="0" w:color="auto"/>
            </w:tcBorders>
            <w:shd w:val="clear" w:color="auto" w:fill="FFFFFF" w:themeFill="background1"/>
          </w:tcPr>
          <w:p w14:paraId="61B11847" w14:textId="77777777" w:rsidR="005D069B" w:rsidRPr="00B47274" w:rsidRDefault="005D069B" w:rsidP="005D069B">
            <w:pPr>
              <w:spacing w:after="0" w:line="240" w:lineRule="auto"/>
              <w:rPr>
                <w:rFonts w:cs="Times New Roman"/>
                <w:color w:val="000000"/>
              </w:rPr>
            </w:pPr>
          </w:p>
        </w:tc>
        <w:tc>
          <w:tcPr>
            <w:tcW w:w="602" w:type="dxa"/>
            <w:tcBorders>
              <w:top w:val="single" w:sz="12" w:space="0" w:color="auto"/>
              <w:left w:val="single" w:sz="4" w:space="0" w:color="auto"/>
              <w:bottom w:val="single" w:sz="4" w:space="0" w:color="auto"/>
              <w:right w:val="single" w:sz="4" w:space="0" w:color="auto"/>
            </w:tcBorders>
            <w:shd w:val="clear" w:color="auto" w:fill="FFFFFF" w:themeFill="background1"/>
            <w:noWrap/>
            <w:vAlign w:val="bottom"/>
            <w:hideMark/>
          </w:tcPr>
          <w:p w14:paraId="61FD40CB"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12" w:space="0" w:color="auto"/>
              <w:left w:val="single" w:sz="4" w:space="0" w:color="auto"/>
              <w:bottom w:val="single" w:sz="4" w:space="0" w:color="auto"/>
              <w:right w:val="single" w:sz="4" w:space="0" w:color="auto"/>
            </w:tcBorders>
            <w:shd w:val="clear" w:color="auto" w:fill="FFFFFF" w:themeFill="background1"/>
            <w:noWrap/>
            <w:vAlign w:val="bottom"/>
            <w:hideMark/>
          </w:tcPr>
          <w:p w14:paraId="4BABA641"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12" w:space="0" w:color="auto"/>
              <w:left w:val="single" w:sz="4" w:space="0" w:color="auto"/>
              <w:bottom w:val="single" w:sz="4" w:space="0" w:color="auto"/>
              <w:right w:val="single" w:sz="4" w:space="0" w:color="auto"/>
            </w:tcBorders>
            <w:shd w:val="clear" w:color="auto" w:fill="217020"/>
            <w:noWrap/>
            <w:vAlign w:val="bottom"/>
            <w:hideMark/>
          </w:tcPr>
          <w:p w14:paraId="1315E4C8"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12" w:space="0" w:color="auto"/>
              <w:left w:val="single" w:sz="4" w:space="0" w:color="auto"/>
              <w:bottom w:val="single" w:sz="4" w:space="0" w:color="auto"/>
              <w:right w:val="single" w:sz="12" w:space="0" w:color="auto"/>
            </w:tcBorders>
            <w:shd w:val="clear" w:color="auto" w:fill="FFFFFF" w:themeFill="background1"/>
            <w:noWrap/>
            <w:vAlign w:val="bottom"/>
            <w:hideMark/>
          </w:tcPr>
          <w:p w14:paraId="49F685FA"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417D625C" w14:textId="77777777" w:rsidTr="005D069B">
        <w:trPr>
          <w:gridAfter w:val="1"/>
          <w:wAfter w:w="832" w:type="dxa"/>
          <w:trHeight w:val="262"/>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41CA850B"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5EBC15" w14:textId="17B774C0" w:rsidR="005D069B" w:rsidRPr="00B47274" w:rsidRDefault="005D069B" w:rsidP="005D069B">
            <w:pPr>
              <w:spacing w:after="0" w:line="240" w:lineRule="auto"/>
              <w:rPr>
                <w:rFonts w:cs="Times New Roman"/>
                <w:color w:val="000000"/>
              </w:rPr>
            </w:pPr>
            <w:r>
              <w:rPr>
                <w:color w:val="000000"/>
              </w:rPr>
              <w:t>Données sur les activités de production (n°</w:t>
            </w:r>
            <w:r w:rsidR="00A0179E">
              <w:rPr>
                <w:color w:val="000000"/>
              </w:rPr>
              <w:t> </w:t>
            </w:r>
            <w:r>
              <w:rPr>
                <w:color w:val="000000"/>
              </w:rPr>
              <w:t>3.2)</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tcPr>
          <w:p w14:paraId="7A62373C"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EDEF30"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4" w:space="0" w:color="auto"/>
              <w:right w:val="single" w:sz="4" w:space="0" w:color="auto"/>
            </w:tcBorders>
            <w:shd w:val="clear" w:color="auto" w:fill="84AE43"/>
            <w:noWrap/>
            <w:vAlign w:val="bottom"/>
            <w:hideMark/>
          </w:tcPr>
          <w:p w14:paraId="56FDB79D"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79DE32"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044E0E0B"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3E65CAAF" w14:textId="77777777" w:rsidTr="005D069B">
        <w:trPr>
          <w:gridAfter w:val="1"/>
          <w:wAfter w:w="832" w:type="dxa"/>
          <w:trHeight w:val="300"/>
        </w:trPr>
        <w:tc>
          <w:tcPr>
            <w:tcW w:w="2127" w:type="dxa"/>
            <w:vMerge/>
            <w:tcBorders>
              <w:top w:val="single" w:sz="4" w:space="0" w:color="auto"/>
              <w:left w:val="single" w:sz="12" w:space="0" w:color="auto"/>
              <w:bottom w:val="single" w:sz="12" w:space="0" w:color="auto"/>
              <w:right w:val="single" w:sz="4" w:space="0" w:color="auto"/>
            </w:tcBorders>
            <w:vAlign w:val="center"/>
            <w:hideMark/>
          </w:tcPr>
          <w:p w14:paraId="02333D44"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02C20504" w14:textId="7406B92C" w:rsidR="005D069B" w:rsidRPr="00B47274" w:rsidRDefault="005D069B" w:rsidP="005D069B">
            <w:pPr>
              <w:spacing w:after="0" w:line="240" w:lineRule="auto"/>
              <w:rPr>
                <w:rFonts w:cs="Times New Roman"/>
                <w:color w:val="000000"/>
              </w:rPr>
            </w:pPr>
            <w:r>
              <w:rPr>
                <w:color w:val="000000"/>
              </w:rPr>
              <w:t>Données sur les exportations (n°</w:t>
            </w:r>
            <w:r w:rsidR="00A0179E">
              <w:rPr>
                <w:color w:val="000000"/>
              </w:rPr>
              <w:t> </w:t>
            </w:r>
            <w:r>
              <w:rPr>
                <w:color w:val="000000"/>
              </w:rPr>
              <w:t>3.3)</w:t>
            </w:r>
          </w:p>
        </w:tc>
        <w:tc>
          <w:tcPr>
            <w:tcW w:w="421" w:type="dxa"/>
            <w:tcBorders>
              <w:top w:val="single" w:sz="4" w:space="0" w:color="auto"/>
              <w:left w:val="single" w:sz="4" w:space="0" w:color="auto"/>
              <w:bottom w:val="single" w:sz="12" w:space="0" w:color="auto"/>
              <w:right w:val="single" w:sz="4" w:space="0" w:color="auto"/>
            </w:tcBorders>
            <w:shd w:val="clear" w:color="auto" w:fill="FFFFFF" w:themeFill="background1"/>
          </w:tcPr>
          <w:p w14:paraId="68471D7B"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12" w:space="0" w:color="auto"/>
              <w:right w:val="single" w:sz="4" w:space="0" w:color="auto"/>
            </w:tcBorders>
            <w:shd w:val="clear" w:color="auto" w:fill="FFFFFF" w:themeFill="background1"/>
            <w:noWrap/>
            <w:vAlign w:val="bottom"/>
            <w:hideMark/>
          </w:tcPr>
          <w:p w14:paraId="0B42DCE9"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12" w:space="0" w:color="auto"/>
              <w:right w:val="single" w:sz="4" w:space="0" w:color="auto"/>
            </w:tcBorders>
            <w:shd w:val="clear" w:color="auto" w:fill="FFFFFF" w:themeFill="background1"/>
            <w:noWrap/>
            <w:vAlign w:val="bottom"/>
            <w:hideMark/>
          </w:tcPr>
          <w:p w14:paraId="1F2191B1"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12" w:space="0" w:color="auto"/>
              <w:right w:val="single" w:sz="4" w:space="0" w:color="auto"/>
            </w:tcBorders>
            <w:shd w:val="clear" w:color="auto" w:fill="217020"/>
            <w:noWrap/>
            <w:vAlign w:val="bottom"/>
            <w:hideMark/>
          </w:tcPr>
          <w:p w14:paraId="65DEEBDF"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12" w:space="0" w:color="auto"/>
              <w:right w:val="single" w:sz="12" w:space="0" w:color="auto"/>
            </w:tcBorders>
            <w:shd w:val="clear" w:color="auto" w:fill="FFFFFF" w:themeFill="background1"/>
            <w:noWrap/>
            <w:vAlign w:val="bottom"/>
            <w:hideMark/>
          </w:tcPr>
          <w:p w14:paraId="340BA92C"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6E36CC13" w14:textId="77777777" w:rsidTr="005D069B">
        <w:trPr>
          <w:gridAfter w:val="1"/>
          <w:wAfter w:w="832" w:type="dxa"/>
          <w:trHeight w:val="285"/>
        </w:trPr>
        <w:tc>
          <w:tcPr>
            <w:tcW w:w="2127" w:type="dxa"/>
            <w:vMerge w:val="restart"/>
            <w:tcBorders>
              <w:top w:val="single" w:sz="12" w:space="0" w:color="auto"/>
              <w:left w:val="single" w:sz="12" w:space="0" w:color="auto"/>
              <w:bottom w:val="single" w:sz="4" w:space="0" w:color="auto"/>
              <w:right w:val="single" w:sz="4" w:space="0" w:color="auto"/>
            </w:tcBorders>
            <w:shd w:val="clear" w:color="000000" w:fill="BFBFBF"/>
            <w:noWrap/>
            <w:vAlign w:val="center"/>
            <w:hideMark/>
          </w:tcPr>
          <w:p w14:paraId="621D8346" w14:textId="77777777" w:rsidR="005D069B" w:rsidRPr="00B47274" w:rsidRDefault="005D069B" w:rsidP="005D069B">
            <w:pPr>
              <w:spacing w:after="0" w:line="240" w:lineRule="auto"/>
              <w:rPr>
                <w:rFonts w:cs="Times New Roman"/>
                <w:b/>
                <w:bCs/>
                <w:color w:val="000000"/>
              </w:rPr>
            </w:pPr>
            <w:r>
              <w:rPr>
                <w:b/>
                <w:color w:val="000000"/>
              </w:rPr>
              <w:t>Collecte de revenus</w:t>
            </w:r>
          </w:p>
        </w:tc>
        <w:tc>
          <w:tcPr>
            <w:tcW w:w="4535" w:type="dxa"/>
            <w:gridSpan w:val="4"/>
            <w:tcBorders>
              <w:top w:val="single" w:sz="12" w:space="0" w:color="auto"/>
              <w:left w:val="single" w:sz="4" w:space="0" w:color="auto"/>
              <w:bottom w:val="single" w:sz="4" w:space="0" w:color="auto"/>
              <w:right w:val="single" w:sz="4" w:space="0" w:color="auto"/>
            </w:tcBorders>
            <w:shd w:val="clear" w:color="000000" w:fill="FFFFFF"/>
            <w:noWrap/>
            <w:vAlign w:val="center"/>
            <w:hideMark/>
          </w:tcPr>
          <w:p w14:paraId="2141FD42" w14:textId="40FABB81" w:rsidR="005D069B" w:rsidRPr="00B47274" w:rsidRDefault="005D069B" w:rsidP="005D069B">
            <w:pPr>
              <w:spacing w:after="0" w:line="240" w:lineRule="auto"/>
              <w:rPr>
                <w:rFonts w:cs="Times New Roman"/>
                <w:color w:val="000000"/>
              </w:rPr>
            </w:pPr>
            <w:r>
              <w:rPr>
                <w:color w:val="000000"/>
              </w:rPr>
              <w:t>Exhaustivité (n°</w:t>
            </w:r>
            <w:r w:rsidR="00A0179E">
              <w:rPr>
                <w:color w:val="000000"/>
              </w:rPr>
              <w:t> </w:t>
            </w:r>
            <w:r>
              <w:rPr>
                <w:color w:val="000000"/>
              </w:rPr>
              <w:t>4.1)</w:t>
            </w:r>
          </w:p>
        </w:tc>
        <w:tc>
          <w:tcPr>
            <w:tcW w:w="421" w:type="dxa"/>
            <w:tcBorders>
              <w:top w:val="single" w:sz="12" w:space="0" w:color="auto"/>
              <w:left w:val="single" w:sz="4" w:space="0" w:color="auto"/>
              <w:bottom w:val="single" w:sz="4" w:space="0" w:color="auto"/>
              <w:right w:val="single" w:sz="4" w:space="0" w:color="auto"/>
            </w:tcBorders>
            <w:shd w:val="clear" w:color="auto" w:fill="FFFFFF" w:themeFill="background1"/>
          </w:tcPr>
          <w:p w14:paraId="7B9D84DF" w14:textId="77777777" w:rsidR="005D069B" w:rsidRPr="00B47274" w:rsidRDefault="005D069B" w:rsidP="005D069B">
            <w:pPr>
              <w:spacing w:after="0" w:line="240" w:lineRule="auto"/>
              <w:rPr>
                <w:rFonts w:cs="Times New Roman"/>
                <w:color w:val="000000"/>
              </w:rPr>
            </w:pPr>
          </w:p>
        </w:tc>
        <w:tc>
          <w:tcPr>
            <w:tcW w:w="602" w:type="dxa"/>
            <w:tcBorders>
              <w:top w:val="single" w:sz="12" w:space="0" w:color="auto"/>
              <w:left w:val="single" w:sz="4" w:space="0" w:color="auto"/>
              <w:bottom w:val="single" w:sz="4" w:space="0" w:color="auto"/>
              <w:right w:val="single" w:sz="4" w:space="0" w:color="auto"/>
            </w:tcBorders>
            <w:shd w:val="clear" w:color="auto" w:fill="FAA727"/>
            <w:noWrap/>
            <w:vAlign w:val="bottom"/>
            <w:hideMark/>
          </w:tcPr>
          <w:p w14:paraId="64FF4C2E"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12" w:space="0" w:color="auto"/>
              <w:left w:val="single" w:sz="4" w:space="0" w:color="auto"/>
              <w:bottom w:val="single" w:sz="4" w:space="0" w:color="auto"/>
              <w:right w:val="single" w:sz="4" w:space="0" w:color="auto"/>
            </w:tcBorders>
            <w:shd w:val="clear" w:color="auto" w:fill="FFFFFF" w:themeFill="background1"/>
            <w:noWrap/>
            <w:vAlign w:val="bottom"/>
            <w:hideMark/>
          </w:tcPr>
          <w:p w14:paraId="311A7394"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12" w:space="0" w:color="auto"/>
              <w:left w:val="single" w:sz="4" w:space="0" w:color="auto"/>
              <w:bottom w:val="single" w:sz="4" w:space="0" w:color="auto"/>
              <w:right w:val="single" w:sz="4" w:space="0" w:color="auto"/>
            </w:tcBorders>
            <w:shd w:val="clear" w:color="auto" w:fill="FFFFFF" w:themeFill="background1"/>
            <w:noWrap/>
            <w:vAlign w:val="bottom"/>
            <w:hideMark/>
          </w:tcPr>
          <w:p w14:paraId="5ED0B9B3"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12" w:space="0" w:color="auto"/>
              <w:left w:val="single" w:sz="4" w:space="0" w:color="auto"/>
              <w:bottom w:val="single" w:sz="4" w:space="0" w:color="auto"/>
              <w:right w:val="single" w:sz="12" w:space="0" w:color="auto"/>
            </w:tcBorders>
            <w:shd w:val="clear" w:color="auto" w:fill="FFFFFF" w:themeFill="background1"/>
            <w:noWrap/>
            <w:vAlign w:val="bottom"/>
            <w:hideMark/>
          </w:tcPr>
          <w:p w14:paraId="0870E611"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2F8BE8DA" w14:textId="77777777" w:rsidTr="005D069B">
        <w:trPr>
          <w:gridAfter w:val="1"/>
          <w:wAfter w:w="832" w:type="dxa"/>
          <w:trHeight w:val="53"/>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473FF40E"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82A05D" w14:textId="6DF81AB4" w:rsidR="005D069B" w:rsidRPr="00B47274" w:rsidRDefault="005D069B" w:rsidP="005D069B">
            <w:pPr>
              <w:spacing w:after="0" w:line="240" w:lineRule="auto"/>
              <w:rPr>
                <w:rFonts w:cs="Times New Roman"/>
                <w:color w:val="000000"/>
              </w:rPr>
            </w:pPr>
            <w:r>
              <w:rPr>
                <w:color w:val="000000"/>
              </w:rPr>
              <w:t>Revenus en nature (n°</w:t>
            </w:r>
            <w:r w:rsidR="00A0179E">
              <w:rPr>
                <w:color w:val="000000"/>
              </w:rPr>
              <w:t> </w:t>
            </w:r>
            <w:r>
              <w:rPr>
                <w:color w:val="000000"/>
              </w:rPr>
              <w:t>4.2)</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tcPr>
          <w:p w14:paraId="5D4F0379"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45242E" w14:textId="1184F772"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9CFC7" w14:textId="113B55F5"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4E1AE" w14:textId="3AE21394" w:rsidR="005D069B" w:rsidRPr="00B47274" w:rsidRDefault="0097024C"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4" w:space="0" w:color="auto"/>
              <w:right w:val="single" w:sz="12" w:space="0" w:color="auto"/>
            </w:tcBorders>
            <w:shd w:val="clear" w:color="auto" w:fill="0070C0"/>
            <w:noWrap/>
            <w:vAlign w:val="bottom"/>
            <w:hideMark/>
          </w:tcPr>
          <w:p w14:paraId="0082A8A1"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67238B88" w14:textId="77777777" w:rsidTr="005D069B">
        <w:trPr>
          <w:gridAfter w:val="1"/>
          <w:wAfter w:w="832" w:type="dxa"/>
          <w:trHeight w:val="77"/>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2570CE29"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A1CD80" w14:textId="6225593C" w:rsidR="005D069B" w:rsidRPr="00B47274" w:rsidRDefault="005D069B" w:rsidP="005D069B">
            <w:pPr>
              <w:spacing w:after="0" w:line="240" w:lineRule="auto"/>
              <w:rPr>
                <w:rFonts w:cs="Times New Roman"/>
                <w:color w:val="000000"/>
              </w:rPr>
            </w:pPr>
            <w:r>
              <w:rPr>
                <w:color w:val="000000"/>
              </w:rPr>
              <w:t>Accords de troc (n°</w:t>
            </w:r>
            <w:r w:rsidR="00A0179E">
              <w:rPr>
                <w:color w:val="000000"/>
              </w:rPr>
              <w:t> </w:t>
            </w:r>
            <w:r>
              <w:rPr>
                <w:color w:val="000000"/>
              </w:rPr>
              <w:t>4.3)</w:t>
            </w:r>
          </w:p>
        </w:tc>
        <w:tc>
          <w:tcPr>
            <w:tcW w:w="421" w:type="dxa"/>
            <w:tcBorders>
              <w:top w:val="single" w:sz="4" w:space="0" w:color="auto"/>
              <w:left w:val="single" w:sz="4" w:space="0" w:color="auto"/>
              <w:bottom w:val="single" w:sz="4" w:space="0" w:color="auto"/>
              <w:right w:val="single" w:sz="4" w:space="0" w:color="auto"/>
            </w:tcBorders>
            <w:shd w:val="diagStripe" w:color="D9D9D9" w:themeColor="background1" w:themeShade="D9" w:fill="FFFFFF" w:themeFill="background1"/>
          </w:tcPr>
          <w:p w14:paraId="21559E73"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4" w:space="0" w:color="auto"/>
              <w:right w:val="single" w:sz="4" w:space="0" w:color="auto"/>
            </w:tcBorders>
            <w:shd w:val="diagStripe" w:color="D9D9D9" w:themeColor="background1" w:themeShade="D9" w:fill="FFFFFF" w:themeFill="background1"/>
            <w:noWrap/>
            <w:vAlign w:val="bottom"/>
            <w:hideMark/>
          </w:tcPr>
          <w:p w14:paraId="6CAC7612"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4" w:space="0" w:color="auto"/>
              <w:right w:val="single" w:sz="4" w:space="0" w:color="auto"/>
            </w:tcBorders>
            <w:shd w:val="diagStripe" w:color="D9D9D9" w:themeColor="background1" w:themeShade="D9" w:fill="FFFFFF" w:themeFill="background1"/>
            <w:noWrap/>
            <w:vAlign w:val="bottom"/>
            <w:hideMark/>
          </w:tcPr>
          <w:p w14:paraId="2F3A77A4" w14:textId="761B999B"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4" w:space="0" w:color="auto"/>
              <w:right w:val="single" w:sz="4" w:space="0" w:color="auto"/>
            </w:tcBorders>
            <w:shd w:val="diagStripe" w:color="D9D9D9" w:themeColor="background1" w:themeShade="D9" w:fill="FFFFFF" w:themeFill="background1"/>
            <w:noWrap/>
            <w:vAlign w:val="bottom"/>
            <w:hideMark/>
          </w:tcPr>
          <w:p w14:paraId="710CA604"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4" w:space="0" w:color="auto"/>
              <w:right w:val="single" w:sz="12" w:space="0" w:color="auto"/>
            </w:tcBorders>
            <w:shd w:val="diagStripe" w:color="D9D9D9" w:themeColor="background1" w:themeShade="D9" w:fill="FFFFFF" w:themeFill="background1"/>
            <w:noWrap/>
            <w:vAlign w:val="bottom"/>
            <w:hideMark/>
          </w:tcPr>
          <w:p w14:paraId="0D49E6AF"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771B5536" w14:textId="77777777" w:rsidTr="005D069B">
        <w:trPr>
          <w:gridAfter w:val="1"/>
          <w:wAfter w:w="832" w:type="dxa"/>
          <w:trHeight w:val="53"/>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59ACD6F1"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BEC307" w14:textId="4DDD37BA" w:rsidR="005D069B" w:rsidRPr="00B47274" w:rsidRDefault="005D069B" w:rsidP="005D069B">
            <w:pPr>
              <w:spacing w:after="0" w:line="240" w:lineRule="auto"/>
              <w:rPr>
                <w:rFonts w:cs="Times New Roman"/>
                <w:color w:val="000000"/>
              </w:rPr>
            </w:pPr>
            <w:r>
              <w:rPr>
                <w:color w:val="000000"/>
              </w:rPr>
              <w:t>Revenus issus du transport (n°</w:t>
            </w:r>
            <w:r w:rsidR="00A0179E">
              <w:rPr>
                <w:color w:val="000000"/>
              </w:rPr>
              <w:t> </w:t>
            </w:r>
            <w:r>
              <w:rPr>
                <w:color w:val="000000"/>
              </w:rPr>
              <w:t>4.4)</w:t>
            </w:r>
          </w:p>
        </w:tc>
        <w:tc>
          <w:tcPr>
            <w:tcW w:w="421" w:type="dxa"/>
            <w:tcBorders>
              <w:top w:val="single" w:sz="4" w:space="0" w:color="auto"/>
              <w:left w:val="single" w:sz="4" w:space="0" w:color="auto"/>
              <w:bottom w:val="single" w:sz="4" w:space="0" w:color="auto"/>
              <w:right w:val="single" w:sz="4" w:space="0" w:color="auto"/>
            </w:tcBorders>
            <w:shd w:val="diagStripe" w:color="D9D9D9" w:themeColor="background1" w:themeShade="D9" w:fill="FFFFFF" w:themeFill="background1"/>
          </w:tcPr>
          <w:p w14:paraId="6F4CB776" w14:textId="6ED839A6"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4" w:space="0" w:color="auto"/>
              <w:right w:val="single" w:sz="4" w:space="0" w:color="auto"/>
            </w:tcBorders>
            <w:shd w:val="diagStripe" w:color="D9D9D9" w:themeColor="background1" w:themeShade="D9" w:fill="FFFFFF" w:themeFill="background1"/>
            <w:noWrap/>
            <w:vAlign w:val="bottom"/>
            <w:hideMark/>
          </w:tcPr>
          <w:p w14:paraId="6D27147D" w14:textId="1AE4AD49" w:rsidR="005D069B" w:rsidRPr="00B47274" w:rsidRDefault="004A0B48"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4" w:space="0" w:color="auto"/>
              <w:right w:val="single" w:sz="4" w:space="0" w:color="auto"/>
            </w:tcBorders>
            <w:shd w:val="diagStripe" w:color="D9D9D9" w:themeColor="background1" w:themeShade="D9" w:fill="FFFFFF" w:themeFill="background1"/>
            <w:noWrap/>
            <w:vAlign w:val="center"/>
            <w:hideMark/>
          </w:tcPr>
          <w:p w14:paraId="0F49EB89" w14:textId="049B448C" w:rsidR="005D069B" w:rsidRPr="00B47274" w:rsidRDefault="005D069B" w:rsidP="005D069B">
            <w:pPr>
              <w:spacing w:after="0" w:line="240" w:lineRule="auto"/>
              <w:jc w:val="center"/>
              <w:rPr>
                <w:rFonts w:cs="Times New Roman"/>
                <w:color w:val="00B050"/>
              </w:rPr>
            </w:pPr>
            <w:r>
              <w:rPr>
                <w:color w:val="00B050"/>
              </w:rPr>
              <w:t> </w:t>
            </w:r>
          </w:p>
        </w:tc>
        <w:tc>
          <w:tcPr>
            <w:tcW w:w="470" w:type="dxa"/>
            <w:tcBorders>
              <w:top w:val="single" w:sz="4" w:space="0" w:color="auto"/>
              <w:left w:val="single" w:sz="4" w:space="0" w:color="auto"/>
              <w:bottom w:val="single" w:sz="4" w:space="0" w:color="auto"/>
              <w:right w:val="single" w:sz="4" w:space="0" w:color="auto"/>
            </w:tcBorders>
            <w:shd w:val="diagStripe" w:color="D9D9D9" w:themeColor="background1" w:themeShade="D9" w:fill="FFFFFF" w:themeFill="background1"/>
            <w:noWrap/>
            <w:vAlign w:val="center"/>
            <w:hideMark/>
          </w:tcPr>
          <w:p w14:paraId="21DD9E72" w14:textId="77777777" w:rsidR="005D069B" w:rsidRPr="00B47274" w:rsidRDefault="005D069B" w:rsidP="005D069B">
            <w:pPr>
              <w:spacing w:after="0" w:line="240" w:lineRule="auto"/>
              <w:jc w:val="center"/>
              <w:rPr>
                <w:rFonts w:cs="Times New Roman"/>
                <w:color w:val="00B050"/>
              </w:rPr>
            </w:pPr>
            <w:r>
              <w:rPr>
                <w:color w:val="00B050"/>
              </w:rPr>
              <w:t> </w:t>
            </w:r>
          </w:p>
        </w:tc>
        <w:tc>
          <w:tcPr>
            <w:tcW w:w="467" w:type="dxa"/>
            <w:tcBorders>
              <w:top w:val="single" w:sz="4" w:space="0" w:color="auto"/>
              <w:left w:val="single" w:sz="4" w:space="0" w:color="auto"/>
              <w:bottom w:val="single" w:sz="4" w:space="0" w:color="auto"/>
              <w:right w:val="single" w:sz="12" w:space="0" w:color="auto"/>
            </w:tcBorders>
            <w:shd w:val="diagStripe" w:color="D9D9D9" w:themeColor="background1" w:themeShade="D9" w:fill="FFFFFF" w:themeFill="background1"/>
            <w:noWrap/>
            <w:vAlign w:val="center"/>
            <w:hideMark/>
          </w:tcPr>
          <w:p w14:paraId="4E142D51" w14:textId="77777777" w:rsidR="005D069B" w:rsidRPr="00B47274" w:rsidRDefault="005D069B" w:rsidP="005D069B">
            <w:pPr>
              <w:spacing w:after="0" w:line="240" w:lineRule="auto"/>
              <w:jc w:val="center"/>
              <w:rPr>
                <w:rFonts w:cs="Times New Roman"/>
                <w:color w:val="00B050"/>
              </w:rPr>
            </w:pPr>
            <w:r>
              <w:rPr>
                <w:color w:val="00B050"/>
              </w:rPr>
              <w:t> </w:t>
            </w:r>
          </w:p>
        </w:tc>
      </w:tr>
      <w:tr w:rsidR="005D069B" w:rsidRPr="00B47274" w14:paraId="13FB16EE" w14:textId="77777777" w:rsidTr="005D069B">
        <w:trPr>
          <w:gridAfter w:val="1"/>
          <w:wAfter w:w="832" w:type="dxa"/>
          <w:trHeight w:val="53"/>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6EA1022F"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DDB1CC" w14:textId="3AAFA7BF" w:rsidR="005D069B" w:rsidRPr="00B47274" w:rsidRDefault="005D069B" w:rsidP="005D069B">
            <w:pPr>
              <w:spacing w:after="0" w:line="240" w:lineRule="auto"/>
              <w:rPr>
                <w:rFonts w:cs="Times New Roman"/>
                <w:color w:val="000000"/>
              </w:rPr>
            </w:pPr>
            <w:r>
              <w:rPr>
                <w:color w:val="000000"/>
              </w:rPr>
              <w:t>Transactions des entreprises d</w:t>
            </w:r>
            <w:r w:rsidR="00E66383">
              <w:rPr>
                <w:color w:val="000000"/>
              </w:rPr>
              <w:t>’</w:t>
            </w:r>
            <w:r>
              <w:rPr>
                <w:color w:val="000000"/>
              </w:rPr>
              <w:t>État (n°</w:t>
            </w:r>
            <w:r w:rsidR="00A0179E">
              <w:rPr>
                <w:color w:val="000000"/>
              </w:rPr>
              <w:t> </w:t>
            </w:r>
            <w:r>
              <w:rPr>
                <w:color w:val="000000"/>
              </w:rPr>
              <w:t>4.5)</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tcPr>
          <w:p w14:paraId="20FAA82B" w14:textId="6B11B670"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1230EB" w14:textId="0276998F"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4" w:space="0" w:color="auto"/>
              <w:right w:val="single" w:sz="4" w:space="0" w:color="auto"/>
            </w:tcBorders>
            <w:shd w:val="clear" w:color="auto" w:fill="83AE43"/>
            <w:noWrap/>
            <w:vAlign w:val="center"/>
            <w:hideMark/>
          </w:tcPr>
          <w:p w14:paraId="13EB8329" w14:textId="77777777" w:rsidR="005D069B" w:rsidRPr="00B47274" w:rsidRDefault="005D069B" w:rsidP="005D069B">
            <w:pPr>
              <w:spacing w:after="0" w:line="240" w:lineRule="auto"/>
              <w:jc w:val="center"/>
              <w:rPr>
                <w:rFonts w:cs="Times New Roman"/>
                <w:color w:val="00B050"/>
              </w:rPr>
            </w:pPr>
            <w:r>
              <w:rPr>
                <w:color w:val="00B050"/>
              </w:rPr>
              <w:t> </w:t>
            </w: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1382ED"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00929F6F"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3A04AC2E" w14:textId="77777777" w:rsidTr="005D069B">
        <w:trPr>
          <w:gridAfter w:val="1"/>
          <w:wAfter w:w="832" w:type="dxa"/>
          <w:trHeight w:val="281"/>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22AB6562"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5D1311" w14:textId="7FC327AB" w:rsidR="005D069B" w:rsidRPr="00B47274" w:rsidRDefault="005D069B" w:rsidP="005D069B">
            <w:pPr>
              <w:spacing w:after="0" w:line="240" w:lineRule="auto"/>
              <w:rPr>
                <w:rFonts w:cs="Times New Roman"/>
                <w:color w:val="000000"/>
              </w:rPr>
            </w:pPr>
            <w:r>
              <w:rPr>
                <w:color w:val="000000"/>
              </w:rPr>
              <w:t>Paiements directs infranationaux (n°</w:t>
            </w:r>
            <w:r w:rsidR="00A0179E">
              <w:rPr>
                <w:color w:val="000000"/>
              </w:rPr>
              <w:t> </w:t>
            </w:r>
            <w:r>
              <w:rPr>
                <w:color w:val="000000"/>
              </w:rPr>
              <w:t>4.6)</w:t>
            </w:r>
          </w:p>
        </w:tc>
        <w:tc>
          <w:tcPr>
            <w:tcW w:w="421" w:type="dxa"/>
            <w:tcBorders>
              <w:top w:val="single" w:sz="4" w:space="0" w:color="auto"/>
              <w:left w:val="single" w:sz="4" w:space="0" w:color="auto"/>
              <w:bottom w:val="single" w:sz="4" w:space="0" w:color="auto"/>
              <w:right w:val="single" w:sz="4" w:space="0" w:color="auto"/>
            </w:tcBorders>
            <w:shd w:val="clear" w:color="auto" w:fill="C00000"/>
          </w:tcPr>
          <w:p w14:paraId="21B146AF"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F17F0E"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A40541"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6A638B"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4A79B43F"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6A09627A" w14:textId="77777777" w:rsidTr="005D069B">
        <w:trPr>
          <w:gridAfter w:val="1"/>
          <w:wAfter w:w="832" w:type="dxa"/>
          <w:trHeight w:val="53"/>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604E2BA3"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CFEA2" w14:textId="7CD5D0CA" w:rsidR="005D069B" w:rsidRPr="00B47274" w:rsidRDefault="005D069B" w:rsidP="005D069B">
            <w:pPr>
              <w:spacing w:after="0" w:line="240" w:lineRule="auto"/>
              <w:rPr>
                <w:rFonts w:cs="Times New Roman"/>
                <w:color w:val="000000"/>
              </w:rPr>
            </w:pPr>
            <w:r>
              <w:rPr>
                <w:color w:val="000000"/>
              </w:rPr>
              <w:t>Désagrégation (n°</w:t>
            </w:r>
            <w:r w:rsidR="00A0179E">
              <w:rPr>
                <w:color w:val="000000"/>
              </w:rPr>
              <w:t> </w:t>
            </w:r>
            <w:r>
              <w:rPr>
                <w:color w:val="000000"/>
              </w:rPr>
              <w:t>4.7)</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tcPr>
          <w:p w14:paraId="6BF14E56"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73001"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4" w:space="0" w:color="auto"/>
              <w:right w:val="single" w:sz="4" w:space="0" w:color="auto"/>
            </w:tcBorders>
            <w:shd w:val="clear" w:color="auto" w:fill="83AE43"/>
            <w:noWrap/>
            <w:vAlign w:val="bottom"/>
            <w:hideMark/>
          </w:tcPr>
          <w:p w14:paraId="62D96C74"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229307"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2B6F5B2C"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6E1A4500" w14:textId="77777777" w:rsidTr="005D069B">
        <w:trPr>
          <w:gridAfter w:val="1"/>
          <w:wAfter w:w="832" w:type="dxa"/>
          <w:trHeight w:val="56"/>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0513C4B5"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6DF3D2" w14:textId="31B7D762" w:rsidR="005D069B" w:rsidRPr="00B47274" w:rsidRDefault="005D069B" w:rsidP="005D069B">
            <w:pPr>
              <w:spacing w:after="0" w:line="240" w:lineRule="auto"/>
              <w:rPr>
                <w:rFonts w:cs="Times New Roman"/>
                <w:color w:val="000000"/>
              </w:rPr>
            </w:pPr>
            <w:r>
              <w:rPr>
                <w:color w:val="000000"/>
              </w:rPr>
              <w:t>Ponctualité des données (n°</w:t>
            </w:r>
            <w:r w:rsidR="00A0179E">
              <w:rPr>
                <w:color w:val="000000"/>
              </w:rPr>
              <w:t> </w:t>
            </w:r>
            <w:r>
              <w:rPr>
                <w:color w:val="000000"/>
              </w:rPr>
              <w:t>4.8)</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tcPr>
          <w:p w14:paraId="2F2FB59A"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56A784"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65533D"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4" w:space="0" w:color="auto"/>
              <w:right w:val="single" w:sz="4" w:space="0" w:color="auto"/>
            </w:tcBorders>
            <w:shd w:val="clear" w:color="auto" w:fill="217020"/>
            <w:noWrap/>
            <w:vAlign w:val="bottom"/>
            <w:hideMark/>
          </w:tcPr>
          <w:p w14:paraId="19370E4C"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702C49DB"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60629110" w14:textId="77777777" w:rsidTr="005D069B">
        <w:trPr>
          <w:gridAfter w:val="1"/>
          <w:wAfter w:w="832" w:type="dxa"/>
          <w:trHeight w:val="300"/>
        </w:trPr>
        <w:tc>
          <w:tcPr>
            <w:tcW w:w="2127" w:type="dxa"/>
            <w:vMerge/>
            <w:tcBorders>
              <w:top w:val="single" w:sz="4" w:space="0" w:color="auto"/>
              <w:left w:val="single" w:sz="12" w:space="0" w:color="auto"/>
              <w:bottom w:val="single" w:sz="12" w:space="0" w:color="auto"/>
              <w:right w:val="single" w:sz="4" w:space="0" w:color="auto"/>
            </w:tcBorders>
            <w:vAlign w:val="center"/>
            <w:hideMark/>
          </w:tcPr>
          <w:p w14:paraId="00D60751"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12" w:space="0" w:color="auto"/>
              <w:right w:val="single" w:sz="4" w:space="0" w:color="auto"/>
            </w:tcBorders>
            <w:shd w:val="clear" w:color="000000" w:fill="FFFFFF"/>
            <w:noWrap/>
            <w:vAlign w:val="center"/>
            <w:hideMark/>
          </w:tcPr>
          <w:p w14:paraId="2DE35AB6" w14:textId="74CEAA22" w:rsidR="005D069B" w:rsidRPr="00B47274" w:rsidRDefault="005D069B" w:rsidP="005D069B">
            <w:pPr>
              <w:spacing w:after="0" w:line="240" w:lineRule="auto"/>
              <w:rPr>
                <w:rFonts w:cs="Times New Roman"/>
                <w:color w:val="000000"/>
              </w:rPr>
            </w:pPr>
            <w:r>
              <w:rPr>
                <w:color w:val="000000"/>
              </w:rPr>
              <w:t>Qualité des données (n°</w:t>
            </w:r>
            <w:r w:rsidR="00A0179E">
              <w:rPr>
                <w:color w:val="000000"/>
              </w:rPr>
              <w:t> </w:t>
            </w:r>
            <w:r>
              <w:rPr>
                <w:color w:val="000000"/>
              </w:rPr>
              <w:t>4.9)</w:t>
            </w:r>
          </w:p>
        </w:tc>
        <w:tc>
          <w:tcPr>
            <w:tcW w:w="421" w:type="dxa"/>
            <w:tcBorders>
              <w:top w:val="single" w:sz="4" w:space="0" w:color="auto"/>
              <w:left w:val="single" w:sz="4" w:space="0" w:color="auto"/>
              <w:bottom w:val="single" w:sz="12" w:space="0" w:color="auto"/>
              <w:right w:val="single" w:sz="4" w:space="0" w:color="auto"/>
            </w:tcBorders>
            <w:shd w:val="clear" w:color="auto" w:fill="FFFFFF" w:themeFill="background1"/>
          </w:tcPr>
          <w:p w14:paraId="061BB903"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12" w:space="0" w:color="auto"/>
              <w:right w:val="single" w:sz="4" w:space="0" w:color="auto"/>
            </w:tcBorders>
            <w:shd w:val="clear" w:color="auto" w:fill="FAA727"/>
            <w:noWrap/>
            <w:vAlign w:val="bottom"/>
            <w:hideMark/>
          </w:tcPr>
          <w:p w14:paraId="70954C3D"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12" w:space="0" w:color="auto"/>
              <w:right w:val="single" w:sz="4" w:space="0" w:color="auto"/>
            </w:tcBorders>
            <w:shd w:val="clear" w:color="auto" w:fill="FFFFFF" w:themeFill="background1"/>
            <w:noWrap/>
            <w:vAlign w:val="bottom"/>
            <w:hideMark/>
          </w:tcPr>
          <w:p w14:paraId="2A9AC5CC"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12" w:space="0" w:color="auto"/>
              <w:right w:val="single" w:sz="4" w:space="0" w:color="auto"/>
            </w:tcBorders>
            <w:shd w:val="clear" w:color="auto" w:fill="FFFFFF" w:themeFill="background1"/>
            <w:noWrap/>
            <w:vAlign w:val="bottom"/>
            <w:hideMark/>
          </w:tcPr>
          <w:p w14:paraId="0EA2E81F"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12" w:space="0" w:color="auto"/>
              <w:right w:val="single" w:sz="12" w:space="0" w:color="auto"/>
            </w:tcBorders>
            <w:shd w:val="clear" w:color="auto" w:fill="FFFFFF" w:themeFill="background1"/>
            <w:noWrap/>
            <w:vAlign w:val="bottom"/>
            <w:hideMark/>
          </w:tcPr>
          <w:p w14:paraId="1AAFABE8"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43A9DF94" w14:textId="77777777" w:rsidTr="005D069B">
        <w:trPr>
          <w:gridAfter w:val="1"/>
          <w:wAfter w:w="832" w:type="dxa"/>
          <w:trHeight w:val="300"/>
        </w:trPr>
        <w:tc>
          <w:tcPr>
            <w:tcW w:w="2127" w:type="dxa"/>
            <w:vMerge w:val="restart"/>
            <w:tcBorders>
              <w:top w:val="single" w:sz="12" w:space="0" w:color="auto"/>
              <w:left w:val="single" w:sz="12" w:space="0" w:color="auto"/>
              <w:bottom w:val="single" w:sz="4" w:space="0" w:color="auto"/>
              <w:right w:val="single" w:sz="4" w:space="0" w:color="auto"/>
            </w:tcBorders>
            <w:shd w:val="clear" w:color="000000" w:fill="BFBFBF"/>
            <w:vAlign w:val="center"/>
            <w:hideMark/>
          </w:tcPr>
          <w:p w14:paraId="4063EBFA" w14:textId="77777777" w:rsidR="005D069B" w:rsidRPr="00B47274" w:rsidRDefault="005D069B" w:rsidP="005D069B">
            <w:pPr>
              <w:spacing w:after="0" w:line="240" w:lineRule="auto"/>
              <w:rPr>
                <w:rFonts w:cs="Times New Roman"/>
                <w:b/>
                <w:bCs/>
                <w:color w:val="000000"/>
              </w:rPr>
            </w:pPr>
            <w:r>
              <w:rPr>
                <w:b/>
                <w:color w:val="000000"/>
              </w:rPr>
              <w:t>Affectation des revenus</w:t>
            </w:r>
          </w:p>
        </w:tc>
        <w:tc>
          <w:tcPr>
            <w:tcW w:w="4535" w:type="dxa"/>
            <w:gridSpan w:val="4"/>
            <w:tcBorders>
              <w:top w:val="single" w:sz="12" w:space="0" w:color="auto"/>
              <w:left w:val="single" w:sz="4" w:space="0" w:color="auto"/>
              <w:bottom w:val="single" w:sz="4" w:space="0" w:color="auto"/>
              <w:right w:val="single" w:sz="4" w:space="0" w:color="auto"/>
            </w:tcBorders>
            <w:shd w:val="clear" w:color="000000" w:fill="FFFFFF"/>
            <w:vAlign w:val="center"/>
            <w:hideMark/>
          </w:tcPr>
          <w:p w14:paraId="5460B581" w14:textId="3761CAE5" w:rsidR="005D069B" w:rsidRPr="00B47274" w:rsidRDefault="005D069B" w:rsidP="005D069B">
            <w:pPr>
              <w:spacing w:after="0" w:line="240" w:lineRule="auto"/>
              <w:rPr>
                <w:rFonts w:cs="Times New Roman"/>
                <w:color w:val="000000"/>
              </w:rPr>
            </w:pPr>
            <w:r>
              <w:rPr>
                <w:color w:val="000000"/>
              </w:rPr>
              <w:t>Répartition des revenus (n°</w:t>
            </w:r>
            <w:r w:rsidR="00A0179E">
              <w:rPr>
                <w:color w:val="000000"/>
              </w:rPr>
              <w:t> </w:t>
            </w:r>
            <w:r>
              <w:rPr>
                <w:color w:val="000000"/>
              </w:rPr>
              <w:t>5.1)</w:t>
            </w:r>
          </w:p>
        </w:tc>
        <w:tc>
          <w:tcPr>
            <w:tcW w:w="421" w:type="dxa"/>
            <w:tcBorders>
              <w:top w:val="single" w:sz="12" w:space="0" w:color="auto"/>
              <w:left w:val="single" w:sz="4" w:space="0" w:color="auto"/>
              <w:bottom w:val="single" w:sz="4" w:space="0" w:color="auto"/>
              <w:right w:val="single" w:sz="4" w:space="0" w:color="auto"/>
            </w:tcBorders>
          </w:tcPr>
          <w:p w14:paraId="1D1FEDFB" w14:textId="77777777" w:rsidR="005D069B" w:rsidRPr="00B47274" w:rsidRDefault="005D069B" w:rsidP="005D069B">
            <w:pPr>
              <w:spacing w:after="0" w:line="240" w:lineRule="auto"/>
              <w:rPr>
                <w:rFonts w:cs="Times New Roman"/>
                <w:color w:val="000000"/>
              </w:rPr>
            </w:pPr>
          </w:p>
        </w:tc>
        <w:tc>
          <w:tcPr>
            <w:tcW w:w="602" w:type="dxa"/>
            <w:tcBorders>
              <w:top w:val="single" w:sz="12" w:space="0" w:color="auto"/>
              <w:left w:val="single" w:sz="4" w:space="0" w:color="auto"/>
              <w:bottom w:val="single" w:sz="4" w:space="0" w:color="auto"/>
              <w:right w:val="single" w:sz="4" w:space="0" w:color="auto"/>
            </w:tcBorders>
            <w:shd w:val="clear" w:color="auto" w:fill="FAA727"/>
            <w:noWrap/>
            <w:vAlign w:val="bottom"/>
            <w:hideMark/>
          </w:tcPr>
          <w:p w14:paraId="6CF98109"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AD821B8"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12" w:space="0" w:color="auto"/>
              <w:left w:val="single" w:sz="4" w:space="0" w:color="auto"/>
              <w:bottom w:val="single" w:sz="4" w:space="0" w:color="auto"/>
              <w:right w:val="single" w:sz="4" w:space="0" w:color="auto"/>
            </w:tcBorders>
            <w:shd w:val="clear" w:color="000000" w:fill="auto"/>
            <w:noWrap/>
            <w:vAlign w:val="bottom"/>
            <w:hideMark/>
          </w:tcPr>
          <w:p w14:paraId="1092559B"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8EAD2E7"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722892F7" w14:textId="77777777" w:rsidTr="005D069B">
        <w:trPr>
          <w:gridAfter w:val="1"/>
          <w:wAfter w:w="832" w:type="dxa"/>
          <w:trHeight w:val="300"/>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66F30DAD"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56088AE" w14:textId="3DB18670" w:rsidR="005D069B" w:rsidRPr="00B47274" w:rsidRDefault="005D069B" w:rsidP="005D069B">
            <w:pPr>
              <w:spacing w:after="0" w:line="240" w:lineRule="auto"/>
              <w:rPr>
                <w:rFonts w:cs="Times New Roman"/>
                <w:color w:val="000000"/>
              </w:rPr>
            </w:pPr>
            <w:r>
              <w:rPr>
                <w:color w:val="000000"/>
              </w:rPr>
              <w:t>Transferts infranationaux (n°</w:t>
            </w:r>
            <w:r w:rsidR="00A0179E">
              <w:rPr>
                <w:color w:val="000000"/>
              </w:rPr>
              <w:t> </w:t>
            </w:r>
            <w:r>
              <w:rPr>
                <w:color w:val="000000"/>
              </w:rPr>
              <w:t>5.2)</w:t>
            </w:r>
          </w:p>
        </w:tc>
        <w:tc>
          <w:tcPr>
            <w:tcW w:w="421" w:type="dxa"/>
            <w:tcBorders>
              <w:top w:val="single" w:sz="4" w:space="0" w:color="auto"/>
              <w:left w:val="single" w:sz="4" w:space="0" w:color="auto"/>
              <w:bottom w:val="single" w:sz="4" w:space="0" w:color="auto"/>
              <w:right w:val="single" w:sz="4" w:space="0" w:color="auto"/>
            </w:tcBorders>
          </w:tcPr>
          <w:p w14:paraId="33684517"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4" w:space="0" w:color="auto"/>
              <w:right w:val="single" w:sz="4" w:space="0" w:color="auto"/>
            </w:tcBorders>
            <w:shd w:val="clear" w:color="auto" w:fill="FAA929"/>
            <w:noWrap/>
            <w:vAlign w:val="bottom"/>
            <w:hideMark/>
          </w:tcPr>
          <w:p w14:paraId="422F60F1"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2EA6D25F"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151AA"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F06C7B6"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45CD85A0" w14:textId="77777777" w:rsidTr="005D069B">
        <w:trPr>
          <w:gridAfter w:val="1"/>
          <w:wAfter w:w="832" w:type="dxa"/>
          <w:trHeight w:val="300"/>
        </w:trPr>
        <w:tc>
          <w:tcPr>
            <w:tcW w:w="2127" w:type="dxa"/>
            <w:vMerge/>
            <w:tcBorders>
              <w:top w:val="single" w:sz="4" w:space="0" w:color="auto"/>
              <w:left w:val="single" w:sz="12" w:space="0" w:color="auto"/>
              <w:bottom w:val="single" w:sz="12" w:space="0" w:color="auto"/>
              <w:right w:val="single" w:sz="4" w:space="0" w:color="auto"/>
            </w:tcBorders>
            <w:vAlign w:val="center"/>
            <w:hideMark/>
          </w:tcPr>
          <w:p w14:paraId="199B05B1"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12" w:space="0" w:color="auto"/>
              <w:right w:val="single" w:sz="4" w:space="0" w:color="auto"/>
            </w:tcBorders>
            <w:shd w:val="clear" w:color="000000" w:fill="FFFFFF"/>
            <w:vAlign w:val="center"/>
            <w:hideMark/>
          </w:tcPr>
          <w:p w14:paraId="6B3629CB" w14:textId="5E7F48F5" w:rsidR="005D069B" w:rsidRPr="00B47274" w:rsidRDefault="005D069B" w:rsidP="005D069B">
            <w:pPr>
              <w:spacing w:after="0" w:line="240" w:lineRule="auto"/>
              <w:rPr>
                <w:rFonts w:cs="Times New Roman"/>
                <w:color w:val="000000"/>
              </w:rPr>
            </w:pPr>
            <w:r>
              <w:rPr>
                <w:color w:val="000000"/>
              </w:rPr>
              <w:t>Gestion des revenus et des dépenses (n°</w:t>
            </w:r>
            <w:r w:rsidR="00A0179E">
              <w:rPr>
                <w:color w:val="000000"/>
              </w:rPr>
              <w:t> </w:t>
            </w:r>
            <w:r>
              <w:rPr>
                <w:color w:val="000000"/>
              </w:rPr>
              <w:t>5.3)</w:t>
            </w:r>
          </w:p>
        </w:tc>
        <w:tc>
          <w:tcPr>
            <w:tcW w:w="421" w:type="dxa"/>
            <w:tcBorders>
              <w:top w:val="single" w:sz="4" w:space="0" w:color="auto"/>
              <w:left w:val="single" w:sz="4" w:space="0" w:color="auto"/>
              <w:bottom w:val="single" w:sz="12" w:space="0" w:color="auto"/>
              <w:right w:val="single" w:sz="4" w:space="0" w:color="auto"/>
            </w:tcBorders>
            <w:shd w:val="clear" w:color="000000" w:fill="D9D9D9"/>
          </w:tcPr>
          <w:p w14:paraId="17EE506D"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12" w:space="0" w:color="auto"/>
              <w:right w:val="single" w:sz="4" w:space="0" w:color="auto"/>
            </w:tcBorders>
            <w:shd w:val="clear" w:color="000000" w:fill="D9D9D9"/>
            <w:noWrap/>
            <w:vAlign w:val="bottom"/>
            <w:hideMark/>
          </w:tcPr>
          <w:p w14:paraId="2C902CDB"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12" w:space="0" w:color="auto"/>
              <w:right w:val="single" w:sz="4" w:space="0" w:color="auto"/>
            </w:tcBorders>
            <w:shd w:val="clear" w:color="000000" w:fill="D9D9D9"/>
            <w:noWrap/>
            <w:vAlign w:val="bottom"/>
            <w:hideMark/>
          </w:tcPr>
          <w:p w14:paraId="32159D6F"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12" w:space="0" w:color="auto"/>
              <w:right w:val="single" w:sz="4" w:space="0" w:color="auto"/>
            </w:tcBorders>
            <w:shd w:val="clear" w:color="000000" w:fill="D9D9D9"/>
            <w:noWrap/>
            <w:vAlign w:val="bottom"/>
            <w:hideMark/>
          </w:tcPr>
          <w:p w14:paraId="024576EE"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12" w:space="0" w:color="auto"/>
              <w:right w:val="single" w:sz="12" w:space="0" w:color="auto"/>
            </w:tcBorders>
            <w:shd w:val="clear" w:color="000000" w:fill="D9D9D9"/>
            <w:noWrap/>
            <w:vAlign w:val="bottom"/>
            <w:hideMark/>
          </w:tcPr>
          <w:p w14:paraId="3DF04681"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42404A13" w14:textId="77777777" w:rsidTr="005D069B">
        <w:trPr>
          <w:gridAfter w:val="1"/>
          <w:wAfter w:w="832" w:type="dxa"/>
          <w:trHeight w:val="300"/>
        </w:trPr>
        <w:tc>
          <w:tcPr>
            <w:tcW w:w="2127" w:type="dxa"/>
            <w:vMerge w:val="restart"/>
            <w:tcBorders>
              <w:top w:val="single" w:sz="12" w:space="0" w:color="auto"/>
              <w:left w:val="single" w:sz="12" w:space="0" w:color="auto"/>
              <w:bottom w:val="single" w:sz="4" w:space="0" w:color="auto"/>
              <w:right w:val="single" w:sz="4" w:space="0" w:color="auto"/>
            </w:tcBorders>
            <w:shd w:val="clear" w:color="000000" w:fill="BFBFBF"/>
            <w:vAlign w:val="center"/>
            <w:hideMark/>
          </w:tcPr>
          <w:p w14:paraId="788C35E5" w14:textId="77777777" w:rsidR="005D069B" w:rsidRPr="00B47274" w:rsidRDefault="005D069B" w:rsidP="005D069B">
            <w:pPr>
              <w:spacing w:after="0" w:line="240" w:lineRule="auto"/>
              <w:rPr>
                <w:rFonts w:cs="Times New Roman"/>
                <w:b/>
                <w:bCs/>
                <w:color w:val="000000"/>
              </w:rPr>
            </w:pPr>
            <w:r>
              <w:rPr>
                <w:b/>
                <w:color w:val="000000"/>
              </w:rPr>
              <w:t>Contribution socioéconomique</w:t>
            </w:r>
          </w:p>
          <w:p w14:paraId="35FC8C2D"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12" w:space="0" w:color="auto"/>
              <w:left w:val="single" w:sz="4" w:space="0" w:color="auto"/>
              <w:bottom w:val="single" w:sz="4" w:space="0" w:color="auto"/>
              <w:right w:val="single" w:sz="4" w:space="0" w:color="auto"/>
            </w:tcBorders>
            <w:shd w:val="clear" w:color="000000" w:fill="FFFFFF"/>
            <w:vAlign w:val="center"/>
            <w:hideMark/>
          </w:tcPr>
          <w:p w14:paraId="349A6919" w14:textId="073B6C80" w:rsidR="005D069B" w:rsidRPr="00B47274" w:rsidRDefault="005D069B" w:rsidP="005D069B">
            <w:pPr>
              <w:spacing w:after="0" w:line="240" w:lineRule="auto"/>
              <w:rPr>
                <w:rFonts w:cs="Times New Roman"/>
                <w:color w:val="000000"/>
              </w:rPr>
            </w:pPr>
            <w:r>
              <w:rPr>
                <w:color w:val="000000"/>
              </w:rPr>
              <w:t>Dépenses sociales obligatoires (n°</w:t>
            </w:r>
            <w:r w:rsidR="00A0179E">
              <w:rPr>
                <w:color w:val="000000"/>
              </w:rPr>
              <w:t> </w:t>
            </w:r>
            <w:r>
              <w:rPr>
                <w:color w:val="000000"/>
              </w:rPr>
              <w:t>6.1)</w:t>
            </w:r>
          </w:p>
        </w:tc>
        <w:tc>
          <w:tcPr>
            <w:tcW w:w="421" w:type="dxa"/>
            <w:tcBorders>
              <w:top w:val="single" w:sz="12" w:space="0" w:color="auto"/>
              <w:left w:val="single" w:sz="4" w:space="0" w:color="auto"/>
              <w:bottom w:val="single" w:sz="4" w:space="0" w:color="auto"/>
              <w:right w:val="single" w:sz="4" w:space="0" w:color="auto"/>
            </w:tcBorders>
          </w:tcPr>
          <w:p w14:paraId="22BEBA40" w14:textId="77777777" w:rsidR="005D069B" w:rsidRPr="00B47274" w:rsidRDefault="005D069B" w:rsidP="005D069B">
            <w:pPr>
              <w:spacing w:after="0" w:line="240" w:lineRule="auto"/>
              <w:rPr>
                <w:rFonts w:cs="Times New Roman"/>
                <w:color w:val="000000"/>
              </w:rPr>
            </w:pPr>
          </w:p>
        </w:tc>
        <w:tc>
          <w:tcPr>
            <w:tcW w:w="602" w:type="dxa"/>
            <w:tcBorders>
              <w:top w:val="single" w:sz="12" w:space="0" w:color="auto"/>
              <w:left w:val="single" w:sz="4" w:space="0" w:color="auto"/>
              <w:bottom w:val="single" w:sz="4" w:space="0" w:color="auto"/>
              <w:right w:val="single" w:sz="4" w:space="0" w:color="auto"/>
            </w:tcBorders>
            <w:shd w:val="clear" w:color="auto" w:fill="FAA929"/>
            <w:noWrap/>
            <w:vAlign w:val="bottom"/>
            <w:hideMark/>
          </w:tcPr>
          <w:p w14:paraId="09FBFEBF"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2368A288"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002FF747"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4B2E174A"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53B71C31" w14:textId="77777777" w:rsidTr="005D069B">
        <w:trPr>
          <w:gridAfter w:val="1"/>
          <w:wAfter w:w="832" w:type="dxa"/>
          <w:trHeight w:val="300"/>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37669B1C"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65963B3" w14:textId="541EC9C7" w:rsidR="005D069B" w:rsidRPr="00B47274" w:rsidRDefault="005D069B" w:rsidP="005D069B">
            <w:pPr>
              <w:spacing w:after="0" w:line="240" w:lineRule="auto"/>
              <w:rPr>
                <w:rFonts w:cs="Times New Roman"/>
                <w:color w:val="000000"/>
              </w:rPr>
            </w:pPr>
            <w:r>
              <w:rPr>
                <w:color w:val="000000"/>
              </w:rPr>
              <w:t>Dépenses quasi fiscales des entreprises d</w:t>
            </w:r>
            <w:r w:rsidR="00E66383">
              <w:rPr>
                <w:color w:val="000000"/>
              </w:rPr>
              <w:t>’</w:t>
            </w:r>
            <w:r>
              <w:rPr>
                <w:color w:val="000000"/>
              </w:rPr>
              <w:t>État (n°</w:t>
            </w:r>
            <w:r w:rsidR="00A0179E">
              <w:rPr>
                <w:color w:val="000000"/>
              </w:rPr>
              <w:t> </w:t>
            </w:r>
            <w:r>
              <w:rPr>
                <w:color w:val="000000"/>
              </w:rPr>
              <w:t>6.2)</w:t>
            </w:r>
          </w:p>
        </w:tc>
        <w:tc>
          <w:tcPr>
            <w:tcW w:w="421" w:type="dxa"/>
            <w:tcBorders>
              <w:top w:val="single" w:sz="4" w:space="0" w:color="auto"/>
              <w:left w:val="single" w:sz="4" w:space="0" w:color="auto"/>
              <w:bottom w:val="single" w:sz="4" w:space="0" w:color="auto"/>
              <w:right w:val="single" w:sz="4" w:space="0" w:color="auto"/>
            </w:tcBorders>
            <w:shd w:val="diagStripe" w:color="D9D9D9" w:themeColor="background1" w:themeShade="D9" w:fill="auto"/>
          </w:tcPr>
          <w:p w14:paraId="5E52C4C2"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4" w:space="0" w:color="auto"/>
              <w:right w:val="single" w:sz="4" w:space="0" w:color="auto"/>
            </w:tcBorders>
            <w:shd w:val="diagStripe" w:color="D9D9D9" w:themeColor="background1" w:themeShade="D9" w:fill="auto"/>
            <w:noWrap/>
            <w:vAlign w:val="bottom"/>
            <w:hideMark/>
          </w:tcPr>
          <w:p w14:paraId="285334B3"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4" w:space="0" w:color="auto"/>
              <w:right w:val="single" w:sz="4" w:space="0" w:color="auto"/>
            </w:tcBorders>
            <w:shd w:val="diagStripe" w:color="D9D9D9" w:themeColor="background1" w:themeShade="D9" w:fill="auto"/>
            <w:noWrap/>
            <w:vAlign w:val="bottom"/>
            <w:hideMark/>
          </w:tcPr>
          <w:p w14:paraId="1B1971EC"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4" w:space="0" w:color="auto"/>
              <w:right w:val="single" w:sz="4" w:space="0" w:color="auto"/>
            </w:tcBorders>
            <w:shd w:val="diagStripe" w:color="D9D9D9" w:themeColor="background1" w:themeShade="D9" w:fill="auto"/>
            <w:noWrap/>
            <w:vAlign w:val="bottom"/>
            <w:hideMark/>
          </w:tcPr>
          <w:p w14:paraId="3A343BBC"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4" w:space="0" w:color="auto"/>
              <w:right w:val="single" w:sz="12" w:space="0" w:color="auto"/>
            </w:tcBorders>
            <w:shd w:val="diagStripe" w:color="D9D9D9" w:themeColor="background1" w:themeShade="D9" w:fill="auto"/>
            <w:noWrap/>
            <w:vAlign w:val="bottom"/>
            <w:hideMark/>
          </w:tcPr>
          <w:p w14:paraId="00E45C57"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233484C8" w14:textId="77777777" w:rsidTr="005D069B">
        <w:trPr>
          <w:gridAfter w:val="1"/>
          <w:wAfter w:w="832" w:type="dxa"/>
          <w:trHeight w:val="300"/>
        </w:trPr>
        <w:tc>
          <w:tcPr>
            <w:tcW w:w="2127" w:type="dxa"/>
            <w:vMerge/>
            <w:tcBorders>
              <w:top w:val="single" w:sz="4" w:space="0" w:color="auto"/>
              <w:left w:val="single" w:sz="12" w:space="0" w:color="auto"/>
              <w:bottom w:val="single" w:sz="12" w:space="0" w:color="auto"/>
              <w:right w:val="single" w:sz="4" w:space="0" w:color="auto"/>
            </w:tcBorders>
            <w:vAlign w:val="center"/>
            <w:hideMark/>
          </w:tcPr>
          <w:p w14:paraId="32C1728C"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12" w:space="0" w:color="auto"/>
              <w:right w:val="single" w:sz="4" w:space="0" w:color="auto"/>
            </w:tcBorders>
            <w:shd w:val="clear" w:color="000000" w:fill="FFFFFF"/>
            <w:vAlign w:val="center"/>
            <w:hideMark/>
          </w:tcPr>
          <w:p w14:paraId="425435A2" w14:textId="3C2FAAEA" w:rsidR="005D069B" w:rsidRPr="00B47274" w:rsidRDefault="005D069B" w:rsidP="005D069B">
            <w:pPr>
              <w:spacing w:after="0" w:line="240" w:lineRule="auto"/>
              <w:rPr>
                <w:rFonts w:cs="Times New Roman"/>
                <w:color w:val="000000"/>
              </w:rPr>
            </w:pPr>
            <w:r>
              <w:rPr>
                <w:color w:val="000000"/>
              </w:rPr>
              <w:t>Contribution économique (n°</w:t>
            </w:r>
            <w:r w:rsidR="00A0179E">
              <w:rPr>
                <w:color w:val="000000"/>
              </w:rPr>
              <w:t> </w:t>
            </w:r>
            <w:r>
              <w:rPr>
                <w:color w:val="000000"/>
              </w:rPr>
              <w:t>6.3)</w:t>
            </w:r>
          </w:p>
        </w:tc>
        <w:tc>
          <w:tcPr>
            <w:tcW w:w="421" w:type="dxa"/>
            <w:tcBorders>
              <w:top w:val="single" w:sz="4" w:space="0" w:color="auto"/>
              <w:left w:val="single" w:sz="4" w:space="0" w:color="auto"/>
              <w:bottom w:val="single" w:sz="12" w:space="0" w:color="auto"/>
              <w:right w:val="single" w:sz="4" w:space="0" w:color="auto"/>
            </w:tcBorders>
          </w:tcPr>
          <w:p w14:paraId="339A5A59"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4388E1A6"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12" w:space="0" w:color="auto"/>
              <w:right w:val="single" w:sz="4" w:space="0" w:color="auto"/>
            </w:tcBorders>
            <w:shd w:val="clear" w:color="auto" w:fill="84AE43"/>
            <w:noWrap/>
            <w:vAlign w:val="bottom"/>
            <w:hideMark/>
          </w:tcPr>
          <w:p w14:paraId="7545648F"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022FB831"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7BB9D530"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7F2BF9AF" w14:textId="77777777" w:rsidTr="005D069B">
        <w:trPr>
          <w:gridAfter w:val="1"/>
          <w:wAfter w:w="832" w:type="dxa"/>
          <w:trHeight w:val="300"/>
        </w:trPr>
        <w:tc>
          <w:tcPr>
            <w:tcW w:w="2127" w:type="dxa"/>
            <w:vMerge w:val="restart"/>
            <w:tcBorders>
              <w:top w:val="single" w:sz="12" w:space="0" w:color="auto"/>
              <w:left w:val="single" w:sz="12" w:space="0" w:color="auto"/>
              <w:bottom w:val="single" w:sz="4" w:space="0" w:color="auto"/>
              <w:right w:val="single" w:sz="4" w:space="0" w:color="auto"/>
            </w:tcBorders>
            <w:shd w:val="clear" w:color="000000" w:fill="BFBFBF"/>
            <w:noWrap/>
            <w:vAlign w:val="center"/>
            <w:hideMark/>
          </w:tcPr>
          <w:p w14:paraId="30D6BE41" w14:textId="77777777" w:rsidR="005D069B" w:rsidRPr="00B47274" w:rsidRDefault="005D069B" w:rsidP="005D069B">
            <w:pPr>
              <w:spacing w:after="0" w:line="240" w:lineRule="auto"/>
              <w:rPr>
                <w:rFonts w:cs="Times New Roman"/>
                <w:b/>
                <w:bCs/>
                <w:color w:val="000000"/>
              </w:rPr>
            </w:pPr>
            <w:r>
              <w:rPr>
                <w:b/>
                <w:color w:val="000000"/>
              </w:rPr>
              <w:t>Résultats et impact</w:t>
            </w:r>
          </w:p>
        </w:tc>
        <w:tc>
          <w:tcPr>
            <w:tcW w:w="4535" w:type="dxa"/>
            <w:gridSpan w:val="4"/>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94D9609" w14:textId="0BBCA1C3" w:rsidR="005D069B" w:rsidRPr="00B47274" w:rsidRDefault="005D069B" w:rsidP="005D069B">
            <w:pPr>
              <w:spacing w:after="0" w:line="240" w:lineRule="auto"/>
              <w:rPr>
                <w:rFonts w:cs="Times New Roman"/>
                <w:color w:val="000000"/>
              </w:rPr>
            </w:pPr>
            <w:r>
              <w:rPr>
                <w:color w:val="000000"/>
              </w:rPr>
              <w:t>Débat public (n°</w:t>
            </w:r>
            <w:r w:rsidR="00A0179E">
              <w:rPr>
                <w:color w:val="000000"/>
              </w:rPr>
              <w:t> </w:t>
            </w:r>
            <w:r>
              <w:rPr>
                <w:color w:val="000000"/>
              </w:rPr>
              <w:t>7.1)</w:t>
            </w:r>
          </w:p>
        </w:tc>
        <w:tc>
          <w:tcPr>
            <w:tcW w:w="421" w:type="dxa"/>
            <w:tcBorders>
              <w:top w:val="single" w:sz="12" w:space="0" w:color="auto"/>
              <w:left w:val="single" w:sz="4" w:space="0" w:color="auto"/>
              <w:bottom w:val="single" w:sz="4" w:space="0" w:color="auto"/>
              <w:right w:val="single" w:sz="4" w:space="0" w:color="auto"/>
            </w:tcBorders>
          </w:tcPr>
          <w:p w14:paraId="7081A99D" w14:textId="77777777" w:rsidR="005D069B" w:rsidRPr="00B47274" w:rsidRDefault="005D069B" w:rsidP="005D069B">
            <w:pPr>
              <w:spacing w:after="0" w:line="240" w:lineRule="auto"/>
              <w:rPr>
                <w:rFonts w:cs="Times New Roman"/>
                <w:color w:val="000000"/>
              </w:rPr>
            </w:pPr>
          </w:p>
        </w:tc>
        <w:tc>
          <w:tcPr>
            <w:tcW w:w="602"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954DDC7"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12" w:space="0" w:color="auto"/>
              <w:left w:val="single" w:sz="4" w:space="0" w:color="auto"/>
              <w:bottom w:val="single" w:sz="4" w:space="0" w:color="auto"/>
              <w:right w:val="single" w:sz="4" w:space="0" w:color="auto"/>
            </w:tcBorders>
            <w:shd w:val="clear" w:color="auto" w:fill="84AE43"/>
            <w:noWrap/>
            <w:vAlign w:val="bottom"/>
            <w:hideMark/>
          </w:tcPr>
          <w:p w14:paraId="07CCEAF2"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5B5DFC9C"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FB0DD70"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29FD3446" w14:textId="77777777" w:rsidTr="005D069B">
        <w:trPr>
          <w:gridAfter w:val="1"/>
          <w:wAfter w:w="832" w:type="dxa"/>
          <w:trHeight w:val="282"/>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5516B345"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85247" w14:textId="5E9665A4" w:rsidR="005D069B" w:rsidRPr="00B47274" w:rsidRDefault="005D069B" w:rsidP="005D069B">
            <w:pPr>
              <w:spacing w:after="0" w:line="240" w:lineRule="auto"/>
              <w:rPr>
                <w:rFonts w:cs="Times New Roman"/>
                <w:color w:val="000000"/>
              </w:rPr>
            </w:pPr>
            <w:r>
              <w:rPr>
                <w:color w:val="000000"/>
              </w:rPr>
              <w:t>Accessibilité des données (n°</w:t>
            </w:r>
            <w:r w:rsidR="00A0179E">
              <w:rPr>
                <w:color w:val="000000"/>
              </w:rPr>
              <w:t> </w:t>
            </w:r>
            <w:r>
              <w:rPr>
                <w:color w:val="000000"/>
              </w:rPr>
              <w:t>7.2)</w:t>
            </w:r>
          </w:p>
        </w:tc>
        <w:tc>
          <w:tcPr>
            <w:tcW w:w="421" w:type="dxa"/>
            <w:tcBorders>
              <w:top w:val="single" w:sz="4" w:space="0" w:color="auto"/>
              <w:left w:val="single" w:sz="4" w:space="0" w:color="auto"/>
              <w:bottom w:val="single" w:sz="4" w:space="0" w:color="auto"/>
              <w:right w:val="single" w:sz="4" w:space="0" w:color="auto"/>
            </w:tcBorders>
            <w:shd w:val="clear" w:color="000000" w:fill="D9D9D9"/>
          </w:tcPr>
          <w:p w14:paraId="05A9636F"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E58538B"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D89DA82"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C906CFE"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4" w:space="0" w:color="auto"/>
              <w:right w:val="single" w:sz="12" w:space="0" w:color="auto"/>
            </w:tcBorders>
            <w:shd w:val="clear" w:color="000000" w:fill="D9D9D9"/>
            <w:noWrap/>
            <w:vAlign w:val="bottom"/>
            <w:hideMark/>
          </w:tcPr>
          <w:p w14:paraId="6BB215DA"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1E7A8299" w14:textId="77777777" w:rsidTr="005D069B">
        <w:trPr>
          <w:gridAfter w:val="1"/>
          <w:wAfter w:w="832" w:type="dxa"/>
          <w:trHeight w:val="300"/>
        </w:trPr>
        <w:tc>
          <w:tcPr>
            <w:tcW w:w="2127" w:type="dxa"/>
            <w:vMerge/>
            <w:tcBorders>
              <w:top w:val="single" w:sz="4" w:space="0" w:color="auto"/>
              <w:left w:val="single" w:sz="12" w:space="0" w:color="auto"/>
              <w:bottom w:val="single" w:sz="4" w:space="0" w:color="auto"/>
              <w:right w:val="single" w:sz="4" w:space="0" w:color="auto"/>
            </w:tcBorders>
            <w:vAlign w:val="center"/>
            <w:hideMark/>
          </w:tcPr>
          <w:p w14:paraId="71CB2071"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8860A" w14:textId="4AC6406F" w:rsidR="005D069B" w:rsidRPr="00B47274" w:rsidRDefault="005D069B" w:rsidP="005D069B">
            <w:pPr>
              <w:spacing w:after="0" w:line="240" w:lineRule="auto"/>
              <w:rPr>
                <w:rFonts w:cs="Times New Roman"/>
                <w:color w:val="000000"/>
              </w:rPr>
            </w:pPr>
            <w:r>
              <w:rPr>
                <w:color w:val="000000"/>
              </w:rPr>
              <w:t>Suivi des recommandations (n°</w:t>
            </w:r>
            <w:r w:rsidR="00A0179E">
              <w:rPr>
                <w:color w:val="000000"/>
              </w:rPr>
              <w:t> </w:t>
            </w:r>
            <w:r>
              <w:rPr>
                <w:color w:val="000000"/>
              </w:rPr>
              <w:t>7.3)</w:t>
            </w:r>
          </w:p>
        </w:tc>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tcPr>
          <w:p w14:paraId="142AF232"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9A235B"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4" w:space="0" w:color="auto"/>
              <w:right w:val="single" w:sz="4" w:space="0" w:color="auto"/>
            </w:tcBorders>
            <w:shd w:val="clear" w:color="auto" w:fill="84AE43"/>
            <w:noWrap/>
            <w:vAlign w:val="bottom"/>
            <w:hideMark/>
          </w:tcPr>
          <w:p w14:paraId="0A4B46EF"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ECEF62"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4" w:space="0" w:color="auto"/>
              <w:right w:val="single" w:sz="12" w:space="0" w:color="auto"/>
            </w:tcBorders>
            <w:shd w:val="clear" w:color="auto" w:fill="FFFFFF" w:themeFill="background1"/>
            <w:noWrap/>
            <w:vAlign w:val="bottom"/>
            <w:hideMark/>
          </w:tcPr>
          <w:p w14:paraId="10A82AB1" w14:textId="77777777" w:rsidR="005D069B" w:rsidRPr="00B47274" w:rsidRDefault="005D069B" w:rsidP="005D069B">
            <w:pPr>
              <w:spacing w:after="0" w:line="240" w:lineRule="auto"/>
              <w:rPr>
                <w:rFonts w:cs="Times New Roman"/>
                <w:color w:val="000000"/>
              </w:rPr>
            </w:pPr>
            <w:r>
              <w:rPr>
                <w:color w:val="000000"/>
              </w:rPr>
              <w:t> </w:t>
            </w:r>
          </w:p>
        </w:tc>
      </w:tr>
      <w:tr w:rsidR="005D069B" w:rsidRPr="00B47274" w14:paraId="3BB7342E" w14:textId="77777777" w:rsidTr="005D069B">
        <w:trPr>
          <w:gridAfter w:val="1"/>
          <w:wAfter w:w="832" w:type="dxa"/>
          <w:trHeight w:val="300"/>
        </w:trPr>
        <w:tc>
          <w:tcPr>
            <w:tcW w:w="2127" w:type="dxa"/>
            <w:vMerge/>
            <w:tcBorders>
              <w:top w:val="single" w:sz="4" w:space="0" w:color="auto"/>
              <w:left w:val="single" w:sz="12" w:space="0" w:color="auto"/>
              <w:bottom w:val="single" w:sz="12" w:space="0" w:color="auto"/>
              <w:right w:val="single" w:sz="4" w:space="0" w:color="auto"/>
            </w:tcBorders>
            <w:vAlign w:val="center"/>
            <w:hideMark/>
          </w:tcPr>
          <w:p w14:paraId="5CF0E732" w14:textId="77777777" w:rsidR="005D069B" w:rsidRPr="00B47274" w:rsidRDefault="005D069B" w:rsidP="005D069B">
            <w:pPr>
              <w:spacing w:after="0" w:line="240" w:lineRule="auto"/>
              <w:rPr>
                <w:rFonts w:cs="Times New Roman"/>
                <w:b/>
                <w:bCs/>
                <w:color w:val="000000"/>
              </w:rPr>
            </w:pPr>
          </w:p>
        </w:tc>
        <w:tc>
          <w:tcPr>
            <w:tcW w:w="4535" w:type="dxa"/>
            <w:gridSpan w:val="4"/>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20E24B2C" w14:textId="32A2C5D5" w:rsidR="005D069B" w:rsidRPr="00B47274" w:rsidRDefault="005D069B" w:rsidP="005D069B">
            <w:pPr>
              <w:spacing w:after="0" w:line="240" w:lineRule="auto"/>
              <w:rPr>
                <w:rFonts w:cs="Times New Roman"/>
                <w:color w:val="000000"/>
              </w:rPr>
            </w:pPr>
            <w:r>
              <w:rPr>
                <w:color w:val="000000"/>
              </w:rPr>
              <w:t>Résultats et impact de la mise en œuvre (n°</w:t>
            </w:r>
            <w:r w:rsidR="00A0179E">
              <w:rPr>
                <w:color w:val="000000"/>
              </w:rPr>
              <w:t> </w:t>
            </w:r>
            <w:r>
              <w:rPr>
                <w:color w:val="000000"/>
              </w:rPr>
              <w:t>7.4)</w:t>
            </w:r>
          </w:p>
        </w:tc>
        <w:tc>
          <w:tcPr>
            <w:tcW w:w="421" w:type="dxa"/>
            <w:tcBorders>
              <w:top w:val="single" w:sz="4" w:space="0" w:color="auto"/>
              <w:left w:val="single" w:sz="4" w:space="0" w:color="auto"/>
              <w:bottom w:val="single" w:sz="12" w:space="0" w:color="auto"/>
              <w:right w:val="single" w:sz="4" w:space="0" w:color="auto"/>
            </w:tcBorders>
          </w:tcPr>
          <w:p w14:paraId="246AA0F1" w14:textId="77777777" w:rsidR="005D069B" w:rsidRPr="00B47274" w:rsidRDefault="005D069B" w:rsidP="005D069B">
            <w:pPr>
              <w:spacing w:after="0" w:line="240" w:lineRule="auto"/>
              <w:rPr>
                <w:rFonts w:cs="Times New Roman"/>
                <w:color w:val="000000"/>
              </w:rPr>
            </w:pPr>
          </w:p>
        </w:tc>
        <w:tc>
          <w:tcPr>
            <w:tcW w:w="602" w:type="dxa"/>
            <w:tcBorders>
              <w:top w:val="single" w:sz="4" w:space="0" w:color="auto"/>
              <w:left w:val="single" w:sz="4" w:space="0" w:color="auto"/>
              <w:bottom w:val="single" w:sz="12" w:space="0" w:color="auto"/>
              <w:right w:val="single" w:sz="4" w:space="0" w:color="auto"/>
            </w:tcBorders>
            <w:shd w:val="clear" w:color="auto" w:fill="FAA725"/>
            <w:noWrap/>
            <w:vAlign w:val="bottom"/>
            <w:hideMark/>
          </w:tcPr>
          <w:p w14:paraId="29ACFBBE" w14:textId="77777777" w:rsidR="005D069B" w:rsidRPr="00B47274" w:rsidRDefault="005D069B" w:rsidP="005D069B">
            <w:pPr>
              <w:spacing w:after="0" w:line="240" w:lineRule="auto"/>
              <w:rPr>
                <w:rFonts w:cs="Times New Roman"/>
                <w:color w:val="000000"/>
              </w:rPr>
            </w:pPr>
            <w:r>
              <w:rPr>
                <w:color w:val="000000"/>
              </w:rPr>
              <w:t> </w:t>
            </w:r>
          </w:p>
        </w:tc>
        <w:tc>
          <w:tcPr>
            <w:tcW w:w="491"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6C4278B8" w14:textId="77777777" w:rsidR="005D069B" w:rsidRPr="00B47274" w:rsidRDefault="005D069B" w:rsidP="005D069B">
            <w:pPr>
              <w:spacing w:after="0" w:line="240" w:lineRule="auto"/>
              <w:rPr>
                <w:rFonts w:cs="Times New Roman"/>
                <w:color w:val="000000"/>
              </w:rPr>
            </w:pPr>
            <w:r>
              <w:rPr>
                <w:color w:val="000000"/>
              </w:rPr>
              <w:t> </w:t>
            </w:r>
          </w:p>
        </w:tc>
        <w:tc>
          <w:tcPr>
            <w:tcW w:w="470" w:type="dxa"/>
            <w:tcBorders>
              <w:top w:val="single" w:sz="4" w:space="0" w:color="auto"/>
              <w:left w:val="single" w:sz="4" w:space="0" w:color="auto"/>
              <w:bottom w:val="single" w:sz="12" w:space="0" w:color="auto"/>
              <w:right w:val="single" w:sz="4" w:space="0" w:color="auto"/>
            </w:tcBorders>
            <w:shd w:val="clear" w:color="000000" w:fill="FFFFFF" w:themeFill="background1"/>
            <w:noWrap/>
            <w:vAlign w:val="bottom"/>
            <w:hideMark/>
          </w:tcPr>
          <w:p w14:paraId="4D1E1CBC" w14:textId="77777777" w:rsidR="005D069B" w:rsidRPr="00B47274" w:rsidRDefault="005D069B" w:rsidP="005D069B">
            <w:pPr>
              <w:spacing w:after="0" w:line="240" w:lineRule="auto"/>
              <w:rPr>
                <w:rFonts w:cs="Times New Roman"/>
                <w:color w:val="000000"/>
              </w:rPr>
            </w:pPr>
            <w:r>
              <w:rPr>
                <w:color w:val="000000"/>
              </w:rPr>
              <w:t> </w:t>
            </w:r>
          </w:p>
        </w:tc>
        <w:tc>
          <w:tcPr>
            <w:tcW w:w="467" w:type="dxa"/>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174135BC" w14:textId="77777777" w:rsidR="005D069B" w:rsidRPr="00B47274" w:rsidRDefault="005D069B" w:rsidP="005D069B">
            <w:pPr>
              <w:spacing w:after="0" w:line="240" w:lineRule="auto"/>
              <w:rPr>
                <w:rFonts w:cs="Times New Roman"/>
                <w:color w:val="000000"/>
              </w:rPr>
            </w:pPr>
            <w:r>
              <w:rPr>
                <w:color w:val="000000"/>
              </w:rPr>
              <w:t> </w:t>
            </w:r>
          </w:p>
        </w:tc>
      </w:tr>
    </w:tbl>
    <w:p w14:paraId="62D9987F" w14:textId="77777777" w:rsidR="007F1C2E" w:rsidRDefault="007F1C2E" w:rsidP="00F12713">
      <w:pPr>
        <w:spacing w:after="0" w:line="240" w:lineRule="auto"/>
        <w:rPr>
          <w:rFonts w:cstheme="minorHAnsi"/>
          <w:color w:val="000000" w:themeColor="text1"/>
        </w:rPr>
      </w:pPr>
    </w:p>
    <w:p w14:paraId="7DA52E5A" w14:textId="77777777" w:rsidR="00C17CE1" w:rsidRDefault="00C17CE1" w:rsidP="00F12713">
      <w:pPr>
        <w:spacing w:after="0" w:line="240" w:lineRule="auto"/>
        <w:rPr>
          <w:rFonts w:cstheme="minorHAnsi"/>
          <w:color w:val="000000" w:themeColor="text1"/>
        </w:rPr>
      </w:pPr>
    </w:p>
    <w:p w14:paraId="44F02676" w14:textId="77777777" w:rsidR="00C17CE1" w:rsidRDefault="00C17CE1" w:rsidP="00F12713">
      <w:pPr>
        <w:spacing w:after="0" w:line="240" w:lineRule="auto"/>
        <w:rPr>
          <w:rFonts w:cstheme="minorHAnsi"/>
          <w:color w:val="000000" w:themeColor="text1"/>
        </w:rPr>
      </w:pPr>
    </w:p>
    <w:tbl>
      <w:tblPr>
        <w:tblW w:w="9896" w:type="dxa"/>
        <w:tblLook w:val="04A0" w:firstRow="1" w:lastRow="0" w:firstColumn="1" w:lastColumn="0" w:noHBand="0" w:noVBand="1"/>
      </w:tblPr>
      <w:tblGrid>
        <w:gridCol w:w="1050"/>
        <w:gridCol w:w="8846"/>
      </w:tblGrid>
      <w:tr w:rsidR="00C17CE1" w:rsidRPr="000F507E" w14:paraId="0CDC5770" w14:textId="77777777" w:rsidTr="00780054">
        <w:trPr>
          <w:trHeight w:val="380"/>
        </w:trPr>
        <w:tc>
          <w:tcPr>
            <w:tcW w:w="9896" w:type="dxa"/>
            <w:gridSpan w:val="2"/>
            <w:tcBorders>
              <w:top w:val="nil"/>
              <w:left w:val="nil"/>
              <w:bottom w:val="nil"/>
              <w:right w:val="nil"/>
            </w:tcBorders>
            <w:shd w:val="clear" w:color="auto" w:fill="auto"/>
            <w:noWrap/>
            <w:vAlign w:val="bottom"/>
            <w:hideMark/>
          </w:tcPr>
          <w:p w14:paraId="7BD3F148" w14:textId="135FD44E" w:rsidR="00C17CE1" w:rsidRPr="000F507E" w:rsidRDefault="00C17CE1" w:rsidP="00780054">
            <w:pPr>
              <w:spacing w:after="0" w:line="240" w:lineRule="auto"/>
              <w:rPr>
                <w:rFonts w:cs="Times New Roman"/>
                <w:i/>
                <w:color w:val="000000"/>
              </w:rPr>
            </w:pPr>
            <w:r>
              <w:rPr>
                <w:i/>
                <w:color w:val="000000"/>
              </w:rPr>
              <w:lastRenderedPageBreak/>
              <w:t>Légende de la fiche d</w:t>
            </w:r>
            <w:r w:rsidR="00E66383">
              <w:rPr>
                <w:i/>
                <w:color w:val="000000"/>
              </w:rPr>
              <w:t>’</w:t>
            </w:r>
            <w:r>
              <w:rPr>
                <w:i/>
                <w:color w:val="000000"/>
              </w:rPr>
              <w:t>évaluation</w:t>
            </w:r>
          </w:p>
        </w:tc>
      </w:tr>
      <w:tr w:rsidR="00C17CE1" w:rsidRPr="000F507E" w14:paraId="0EDB20C1" w14:textId="77777777" w:rsidTr="00780054">
        <w:trPr>
          <w:trHeight w:val="160"/>
        </w:trPr>
        <w:tc>
          <w:tcPr>
            <w:tcW w:w="1050" w:type="dxa"/>
            <w:tcBorders>
              <w:top w:val="nil"/>
              <w:left w:val="nil"/>
              <w:bottom w:val="nil"/>
              <w:right w:val="nil"/>
            </w:tcBorders>
            <w:shd w:val="clear" w:color="auto" w:fill="auto"/>
            <w:noWrap/>
            <w:vAlign w:val="bottom"/>
            <w:hideMark/>
          </w:tcPr>
          <w:p w14:paraId="7C1315F6" w14:textId="77777777" w:rsidR="00C17CE1" w:rsidRPr="000F507E" w:rsidRDefault="00C17CE1" w:rsidP="00780054">
            <w:pPr>
              <w:spacing w:after="0" w:line="240" w:lineRule="auto"/>
              <w:rPr>
                <w:rFonts w:cs="Times New Roman"/>
              </w:rPr>
            </w:pPr>
          </w:p>
        </w:tc>
        <w:tc>
          <w:tcPr>
            <w:tcW w:w="8846" w:type="dxa"/>
            <w:tcBorders>
              <w:top w:val="nil"/>
              <w:left w:val="nil"/>
              <w:bottom w:val="nil"/>
              <w:right w:val="nil"/>
            </w:tcBorders>
            <w:shd w:val="clear" w:color="auto" w:fill="auto"/>
            <w:noWrap/>
            <w:vAlign w:val="bottom"/>
            <w:hideMark/>
          </w:tcPr>
          <w:p w14:paraId="033E7A01" w14:textId="77777777" w:rsidR="00C17CE1" w:rsidRPr="000F507E" w:rsidRDefault="00C17CE1" w:rsidP="00780054">
            <w:pPr>
              <w:spacing w:after="0" w:line="240" w:lineRule="auto"/>
              <w:rPr>
                <w:rFonts w:cs="Times New Roman"/>
              </w:rPr>
            </w:pPr>
          </w:p>
        </w:tc>
      </w:tr>
      <w:tr w:rsidR="00C17CE1" w:rsidRPr="000F507E" w14:paraId="2C3E2917" w14:textId="77777777" w:rsidTr="00780054">
        <w:trPr>
          <w:trHeight w:val="600"/>
        </w:trPr>
        <w:tc>
          <w:tcPr>
            <w:tcW w:w="1050" w:type="dxa"/>
            <w:tcBorders>
              <w:top w:val="nil"/>
              <w:left w:val="nil"/>
              <w:bottom w:val="nil"/>
              <w:right w:val="nil"/>
            </w:tcBorders>
            <w:shd w:val="clear" w:color="000000" w:fill="C00000"/>
            <w:noWrap/>
            <w:vAlign w:val="bottom"/>
            <w:hideMark/>
          </w:tcPr>
          <w:p w14:paraId="07843BEC" w14:textId="77777777" w:rsidR="00C17CE1" w:rsidRPr="000F507E" w:rsidRDefault="00C17CE1" w:rsidP="00780054">
            <w:pPr>
              <w:spacing w:after="0" w:line="240" w:lineRule="auto"/>
              <w:rPr>
                <w:rFonts w:cs="Times New Roman"/>
                <w:color w:val="000000"/>
              </w:rPr>
            </w:pPr>
            <w:r>
              <w:rPr>
                <w:color w:val="000000"/>
              </w:rPr>
              <w:t> </w:t>
            </w:r>
          </w:p>
        </w:tc>
        <w:tc>
          <w:tcPr>
            <w:tcW w:w="8846" w:type="dxa"/>
            <w:tcBorders>
              <w:top w:val="nil"/>
              <w:left w:val="nil"/>
              <w:bottom w:val="single" w:sz="4" w:space="0" w:color="A6A6A6"/>
              <w:right w:val="nil"/>
            </w:tcBorders>
            <w:shd w:val="clear" w:color="auto" w:fill="auto"/>
            <w:hideMark/>
          </w:tcPr>
          <w:p w14:paraId="76FB92DD" w14:textId="5CF9D1FF" w:rsidR="00C17CE1" w:rsidRPr="000F507E" w:rsidRDefault="00C17CE1" w:rsidP="00780054">
            <w:pPr>
              <w:spacing w:after="0" w:line="240" w:lineRule="auto"/>
              <w:rPr>
                <w:rFonts w:cs="Times New Roman"/>
                <w:color w:val="000000"/>
              </w:rPr>
            </w:pPr>
            <w:r>
              <w:rPr>
                <w:color w:val="000000"/>
              </w:rPr>
              <w:t>Le pays n</w:t>
            </w:r>
            <w:r w:rsidR="00E66383">
              <w:rPr>
                <w:color w:val="000000"/>
              </w:rPr>
              <w:t>’</w:t>
            </w:r>
            <w:r>
              <w:rPr>
                <w:color w:val="000000"/>
              </w:rPr>
              <w:t>a pas progressé dans la satisfaction de l</w:t>
            </w:r>
            <w:r w:rsidR="00E66383">
              <w:rPr>
                <w:color w:val="000000"/>
              </w:rPr>
              <w:t>’</w:t>
            </w:r>
            <w:r w:rsidR="00E66BE8">
              <w:rPr>
                <w:color w:val="000000"/>
              </w:rPr>
              <w:t>e</w:t>
            </w:r>
            <w:r>
              <w:rPr>
                <w:color w:val="000000"/>
              </w:rPr>
              <w:t>xigence concernée. L</w:t>
            </w:r>
            <w:r w:rsidR="00E66383">
              <w:rPr>
                <w:color w:val="000000"/>
              </w:rPr>
              <w:t>’</w:t>
            </w:r>
            <w:r>
              <w:rPr>
                <w:color w:val="000000"/>
              </w:rPr>
              <w:t>objectif général de cette dernière n</w:t>
            </w:r>
            <w:r w:rsidR="00E66383">
              <w:rPr>
                <w:color w:val="000000"/>
              </w:rPr>
              <w:t>’</w:t>
            </w:r>
            <w:r w:rsidR="00E66BE8">
              <w:rPr>
                <w:color w:val="000000"/>
              </w:rPr>
              <w:t>est aucunement atteint</w:t>
            </w:r>
            <w:r>
              <w:rPr>
                <w:color w:val="000000"/>
              </w:rPr>
              <w:t>.</w:t>
            </w:r>
          </w:p>
        </w:tc>
      </w:tr>
      <w:tr w:rsidR="00C17CE1" w:rsidRPr="000F507E" w14:paraId="06B5998F" w14:textId="77777777" w:rsidTr="00780054">
        <w:trPr>
          <w:trHeight w:val="600"/>
        </w:trPr>
        <w:tc>
          <w:tcPr>
            <w:tcW w:w="1050" w:type="dxa"/>
            <w:tcBorders>
              <w:top w:val="nil"/>
              <w:left w:val="nil"/>
              <w:bottom w:val="nil"/>
              <w:right w:val="nil"/>
            </w:tcBorders>
            <w:shd w:val="clear" w:color="000000" w:fill="FAA725"/>
            <w:noWrap/>
            <w:vAlign w:val="bottom"/>
            <w:hideMark/>
          </w:tcPr>
          <w:p w14:paraId="67BB141F" w14:textId="77777777" w:rsidR="00C17CE1" w:rsidRPr="000F507E" w:rsidRDefault="00C17CE1" w:rsidP="00780054">
            <w:pPr>
              <w:spacing w:after="0" w:line="240" w:lineRule="auto"/>
              <w:rPr>
                <w:rFonts w:cs="Times New Roman"/>
                <w:color w:val="000000"/>
              </w:rPr>
            </w:pPr>
            <w:r>
              <w:rPr>
                <w:color w:val="000000"/>
              </w:rPr>
              <w:t> </w:t>
            </w:r>
          </w:p>
        </w:tc>
        <w:tc>
          <w:tcPr>
            <w:tcW w:w="8846" w:type="dxa"/>
            <w:tcBorders>
              <w:top w:val="nil"/>
              <w:left w:val="nil"/>
              <w:bottom w:val="single" w:sz="4" w:space="0" w:color="A6A6A6"/>
              <w:right w:val="nil"/>
            </w:tcBorders>
            <w:shd w:val="clear" w:color="auto" w:fill="auto"/>
            <w:hideMark/>
          </w:tcPr>
          <w:p w14:paraId="0EFFCF05" w14:textId="511C40C1" w:rsidR="00C17CE1" w:rsidRPr="000F507E" w:rsidRDefault="00C17CE1" w:rsidP="00780054">
            <w:pPr>
              <w:spacing w:after="0" w:line="240" w:lineRule="auto"/>
              <w:rPr>
                <w:rFonts w:cs="Times New Roman"/>
                <w:color w:val="000000"/>
              </w:rPr>
            </w:pPr>
            <w:r>
              <w:rPr>
                <w:color w:val="000000"/>
              </w:rPr>
              <w:t>Les progr</w:t>
            </w:r>
            <w:r w:rsidR="00394D1E">
              <w:rPr>
                <w:color w:val="000000"/>
              </w:rPr>
              <w:t>è</w:t>
            </w:r>
            <w:r>
              <w:rPr>
                <w:color w:val="000000"/>
              </w:rPr>
              <w:t>s</w:t>
            </w:r>
            <w:r w:rsidR="00394D1E">
              <w:rPr>
                <w:color w:val="000000"/>
              </w:rPr>
              <w:t xml:space="preserve"> du pays</w:t>
            </w:r>
            <w:r>
              <w:rPr>
                <w:color w:val="000000"/>
              </w:rPr>
              <w:t xml:space="preserve"> dans la satisfaction de l</w:t>
            </w:r>
            <w:r w:rsidR="00E66383">
              <w:rPr>
                <w:color w:val="000000"/>
              </w:rPr>
              <w:t>’</w:t>
            </w:r>
            <w:r w:rsidR="00394D1E">
              <w:rPr>
                <w:color w:val="000000"/>
              </w:rPr>
              <w:t>e</w:t>
            </w:r>
            <w:r>
              <w:rPr>
                <w:color w:val="000000"/>
              </w:rPr>
              <w:t>xigence concernée</w:t>
            </w:r>
            <w:r w:rsidR="00394D1E">
              <w:rPr>
                <w:color w:val="000000"/>
              </w:rPr>
              <w:t xml:space="preserve"> sont insuffisants</w:t>
            </w:r>
            <w:r>
              <w:rPr>
                <w:color w:val="000000"/>
              </w:rPr>
              <w:t>. Des aspects importants de l</w:t>
            </w:r>
            <w:r w:rsidR="00E66383">
              <w:rPr>
                <w:color w:val="000000"/>
              </w:rPr>
              <w:t>’</w:t>
            </w:r>
            <w:r w:rsidR="00394D1E">
              <w:rPr>
                <w:color w:val="000000"/>
              </w:rPr>
              <w:t>e</w:t>
            </w:r>
            <w:r>
              <w:rPr>
                <w:color w:val="000000"/>
              </w:rPr>
              <w:t>xigence n</w:t>
            </w:r>
            <w:r w:rsidR="00E66383">
              <w:rPr>
                <w:color w:val="000000"/>
              </w:rPr>
              <w:t>’</w:t>
            </w:r>
            <w:r>
              <w:rPr>
                <w:color w:val="000000"/>
              </w:rPr>
              <w:t>ont pas été mis en œuvre et</w:t>
            </w:r>
            <w:r w:rsidR="001D7AA3">
              <w:rPr>
                <w:color w:val="000000"/>
              </w:rPr>
              <w:t xml:space="preserve"> </w:t>
            </w:r>
            <w:r>
              <w:rPr>
                <w:color w:val="000000"/>
              </w:rPr>
              <w:t>l</w:t>
            </w:r>
            <w:r w:rsidR="00E66383">
              <w:rPr>
                <w:color w:val="000000"/>
              </w:rPr>
              <w:t>’</w:t>
            </w:r>
            <w:r>
              <w:rPr>
                <w:color w:val="000000"/>
              </w:rPr>
              <w:t xml:space="preserve">objectif général de cette dernière </w:t>
            </w:r>
            <w:r w:rsidR="001D7AA3">
              <w:rPr>
                <w:color w:val="000000"/>
              </w:rPr>
              <w:t>ne sera pas atteint dans un futur proche</w:t>
            </w:r>
            <w:r>
              <w:rPr>
                <w:color w:val="000000"/>
              </w:rPr>
              <w:t>.</w:t>
            </w:r>
          </w:p>
        </w:tc>
      </w:tr>
      <w:tr w:rsidR="00C17CE1" w:rsidRPr="000F507E" w14:paraId="44C7D0AB" w14:textId="77777777" w:rsidTr="00780054">
        <w:trPr>
          <w:trHeight w:val="612"/>
        </w:trPr>
        <w:tc>
          <w:tcPr>
            <w:tcW w:w="1050" w:type="dxa"/>
            <w:tcBorders>
              <w:top w:val="nil"/>
              <w:left w:val="nil"/>
              <w:bottom w:val="nil"/>
              <w:right w:val="nil"/>
            </w:tcBorders>
            <w:shd w:val="clear" w:color="000000" w:fill="84AE42"/>
            <w:noWrap/>
            <w:vAlign w:val="bottom"/>
            <w:hideMark/>
          </w:tcPr>
          <w:p w14:paraId="7FD0B2E6" w14:textId="77777777" w:rsidR="00C17CE1" w:rsidRPr="000F507E" w:rsidRDefault="00C17CE1" w:rsidP="00780054">
            <w:pPr>
              <w:spacing w:after="0" w:line="240" w:lineRule="auto"/>
              <w:rPr>
                <w:rFonts w:cs="Times New Roman"/>
                <w:color w:val="000000"/>
              </w:rPr>
            </w:pPr>
            <w:r>
              <w:rPr>
                <w:color w:val="000000"/>
              </w:rPr>
              <w:t> </w:t>
            </w:r>
          </w:p>
        </w:tc>
        <w:tc>
          <w:tcPr>
            <w:tcW w:w="8846" w:type="dxa"/>
            <w:tcBorders>
              <w:top w:val="nil"/>
              <w:left w:val="nil"/>
              <w:bottom w:val="single" w:sz="4" w:space="0" w:color="A6A6A6"/>
              <w:right w:val="nil"/>
            </w:tcBorders>
            <w:shd w:val="clear" w:color="auto" w:fill="auto"/>
            <w:hideMark/>
          </w:tcPr>
          <w:p w14:paraId="046C2B5A" w14:textId="769178BE" w:rsidR="00C17CE1" w:rsidRPr="000F507E" w:rsidRDefault="00C17CE1" w:rsidP="00780054">
            <w:pPr>
              <w:spacing w:after="0" w:line="240" w:lineRule="auto"/>
              <w:rPr>
                <w:rFonts w:cs="Times New Roman"/>
                <w:color w:val="000000"/>
              </w:rPr>
            </w:pPr>
            <w:r>
              <w:rPr>
                <w:color w:val="000000"/>
              </w:rPr>
              <w:t>Le pays a progressé dans la satisfaction de l</w:t>
            </w:r>
            <w:r w:rsidR="00E66383">
              <w:rPr>
                <w:color w:val="000000"/>
              </w:rPr>
              <w:t>’</w:t>
            </w:r>
            <w:r>
              <w:rPr>
                <w:color w:val="000000"/>
              </w:rPr>
              <w:t>Exigence concernée. Des aspects importants de l</w:t>
            </w:r>
            <w:r w:rsidR="00E66383">
              <w:rPr>
                <w:color w:val="000000"/>
              </w:rPr>
              <w:t>’</w:t>
            </w:r>
            <w:r w:rsidR="00394D1E">
              <w:rPr>
                <w:color w:val="000000"/>
              </w:rPr>
              <w:t>e</w:t>
            </w:r>
            <w:r>
              <w:rPr>
                <w:color w:val="000000"/>
              </w:rPr>
              <w:t>xigence ont été mis en œuvre et l</w:t>
            </w:r>
            <w:r w:rsidR="00E66383">
              <w:rPr>
                <w:color w:val="000000"/>
              </w:rPr>
              <w:t>’</w:t>
            </w:r>
            <w:r>
              <w:rPr>
                <w:color w:val="000000"/>
              </w:rPr>
              <w:t xml:space="preserve">objectif général de cette dernière est </w:t>
            </w:r>
            <w:r w:rsidR="001D7AA3">
              <w:rPr>
                <w:color w:val="000000"/>
              </w:rPr>
              <w:t>en voie d’être atteint</w:t>
            </w:r>
            <w:r>
              <w:rPr>
                <w:color w:val="000000"/>
              </w:rPr>
              <w:t xml:space="preserve">. </w:t>
            </w:r>
          </w:p>
        </w:tc>
      </w:tr>
      <w:tr w:rsidR="00C17CE1" w:rsidRPr="000F507E" w14:paraId="5B28EB83" w14:textId="77777777" w:rsidTr="00780054">
        <w:trPr>
          <w:trHeight w:val="580"/>
        </w:trPr>
        <w:tc>
          <w:tcPr>
            <w:tcW w:w="1050" w:type="dxa"/>
            <w:tcBorders>
              <w:top w:val="nil"/>
              <w:left w:val="nil"/>
              <w:bottom w:val="nil"/>
              <w:right w:val="nil"/>
            </w:tcBorders>
            <w:shd w:val="clear" w:color="000000" w:fill="227020"/>
            <w:noWrap/>
            <w:vAlign w:val="bottom"/>
            <w:hideMark/>
          </w:tcPr>
          <w:p w14:paraId="409D1A12" w14:textId="77777777" w:rsidR="00C17CE1" w:rsidRPr="000F507E" w:rsidRDefault="00C17CE1" w:rsidP="00780054">
            <w:pPr>
              <w:spacing w:after="0" w:line="240" w:lineRule="auto"/>
              <w:rPr>
                <w:rFonts w:cs="Times New Roman"/>
                <w:color w:val="000000"/>
              </w:rPr>
            </w:pPr>
            <w:r>
              <w:rPr>
                <w:color w:val="000000"/>
              </w:rPr>
              <w:t> </w:t>
            </w:r>
          </w:p>
        </w:tc>
        <w:tc>
          <w:tcPr>
            <w:tcW w:w="8846" w:type="dxa"/>
            <w:tcBorders>
              <w:top w:val="nil"/>
              <w:left w:val="nil"/>
              <w:bottom w:val="single" w:sz="4" w:space="0" w:color="A6A6A6"/>
              <w:right w:val="nil"/>
            </w:tcBorders>
            <w:shd w:val="clear" w:color="auto" w:fill="auto"/>
            <w:hideMark/>
          </w:tcPr>
          <w:p w14:paraId="65FDF83B" w14:textId="45D1FE0B" w:rsidR="00C17CE1" w:rsidRPr="000F507E" w:rsidRDefault="00C17CE1" w:rsidP="00780054">
            <w:pPr>
              <w:spacing w:after="0" w:line="240" w:lineRule="auto"/>
              <w:rPr>
                <w:rFonts w:cs="Times New Roman"/>
                <w:color w:val="000000"/>
              </w:rPr>
            </w:pPr>
            <w:r>
              <w:rPr>
                <w:color w:val="000000"/>
              </w:rPr>
              <w:t>Le pays est conforme à l</w:t>
            </w:r>
            <w:r w:rsidR="00E66383">
              <w:rPr>
                <w:color w:val="000000"/>
              </w:rPr>
              <w:t>’</w:t>
            </w:r>
            <w:r w:rsidR="001D7AA3">
              <w:rPr>
                <w:color w:val="000000"/>
              </w:rPr>
              <w:t>e</w:t>
            </w:r>
            <w:r>
              <w:rPr>
                <w:color w:val="000000"/>
              </w:rPr>
              <w:t xml:space="preserve">xigence ITIE concernée. </w:t>
            </w:r>
          </w:p>
        </w:tc>
      </w:tr>
      <w:tr w:rsidR="00C17CE1" w:rsidRPr="000F507E" w14:paraId="0B2506A3" w14:textId="77777777" w:rsidTr="00780054">
        <w:trPr>
          <w:trHeight w:val="600"/>
        </w:trPr>
        <w:tc>
          <w:tcPr>
            <w:tcW w:w="1050" w:type="dxa"/>
            <w:tcBorders>
              <w:top w:val="nil"/>
              <w:left w:val="nil"/>
              <w:bottom w:val="nil"/>
              <w:right w:val="nil"/>
            </w:tcBorders>
            <w:shd w:val="clear" w:color="000000" w:fill="0076AF"/>
            <w:noWrap/>
            <w:vAlign w:val="bottom"/>
            <w:hideMark/>
          </w:tcPr>
          <w:p w14:paraId="4BDFF900" w14:textId="77777777" w:rsidR="00C17CE1" w:rsidRPr="000F507E" w:rsidRDefault="00C17CE1" w:rsidP="00780054">
            <w:pPr>
              <w:spacing w:after="0" w:line="240" w:lineRule="auto"/>
              <w:rPr>
                <w:rFonts w:cs="Times New Roman"/>
                <w:color w:val="000000"/>
              </w:rPr>
            </w:pPr>
            <w:r>
              <w:rPr>
                <w:color w:val="000000"/>
              </w:rPr>
              <w:t> </w:t>
            </w:r>
          </w:p>
        </w:tc>
        <w:tc>
          <w:tcPr>
            <w:tcW w:w="8846" w:type="dxa"/>
            <w:tcBorders>
              <w:top w:val="nil"/>
              <w:left w:val="nil"/>
              <w:bottom w:val="single" w:sz="4" w:space="0" w:color="A6A6A6"/>
              <w:right w:val="nil"/>
            </w:tcBorders>
            <w:shd w:val="clear" w:color="auto" w:fill="auto"/>
            <w:hideMark/>
          </w:tcPr>
          <w:p w14:paraId="6A604ADE" w14:textId="745AE145" w:rsidR="00C17CE1" w:rsidRPr="000F507E" w:rsidRDefault="00C17CE1" w:rsidP="00780054">
            <w:pPr>
              <w:spacing w:after="0" w:line="240" w:lineRule="auto"/>
              <w:rPr>
                <w:rFonts w:cs="Times New Roman"/>
                <w:color w:val="000000"/>
              </w:rPr>
            </w:pPr>
            <w:r>
              <w:rPr>
                <w:color w:val="000000"/>
              </w:rPr>
              <w:t xml:space="preserve">Le pays a </w:t>
            </w:r>
            <w:r w:rsidR="001D7AA3">
              <w:rPr>
                <w:color w:val="000000"/>
              </w:rPr>
              <w:t>dépassé</w:t>
            </w:r>
            <w:r>
              <w:rPr>
                <w:color w:val="000000"/>
              </w:rPr>
              <w:t xml:space="preserve"> l</w:t>
            </w:r>
            <w:r w:rsidR="00E66383">
              <w:rPr>
                <w:color w:val="000000"/>
              </w:rPr>
              <w:t>’</w:t>
            </w:r>
            <w:r w:rsidR="001D7AA3">
              <w:rPr>
                <w:color w:val="000000"/>
              </w:rPr>
              <w:t>e</w:t>
            </w:r>
            <w:r>
              <w:rPr>
                <w:color w:val="000000"/>
              </w:rPr>
              <w:t xml:space="preserve">xigence concernée. </w:t>
            </w:r>
          </w:p>
        </w:tc>
      </w:tr>
      <w:tr w:rsidR="00C17CE1" w:rsidRPr="000F507E" w14:paraId="47C096AB" w14:textId="77777777" w:rsidTr="00780054">
        <w:trPr>
          <w:trHeight w:val="600"/>
        </w:trPr>
        <w:tc>
          <w:tcPr>
            <w:tcW w:w="1050" w:type="dxa"/>
            <w:tcBorders>
              <w:top w:val="nil"/>
              <w:left w:val="nil"/>
              <w:bottom w:val="nil"/>
              <w:right w:val="nil"/>
            </w:tcBorders>
            <w:shd w:val="clear" w:color="000000" w:fill="D9D9D9"/>
            <w:noWrap/>
            <w:vAlign w:val="bottom"/>
            <w:hideMark/>
          </w:tcPr>
          <w:p w14:paraId="267C427B" w14:textId="77777777" w:rsidR="00C17CE1" w:rsidRPr="000F507E" w:rsidRDefault="00C17CE1" w:rsidP="00780054">
            <w:pPr>
              <w:spacing w:after="0" w:line="240" w:lineRule="auto"/>
              <w:jc w:val="center"/>
              <w:rPr>
                <w:rFonts w:cs="Times New Roman"/>
                <w:color w:val="000000"/>
              </w:rPr>
            </w:pPr>
            <w:r>
              <w:rPr>
                <w:color w:val="000000"/>
              </w:rPr>
              <w:t> </w:t>
            </w:r>
          </w:p>
        </w:tc>
        <w:tc>
          <w:tcPr>
            <w:tcW w:w="8846" w:type="dxa"/>
            <w:tcBorders>
              <w:top w:val="nil"/>
              <w:left w:val="nil"/>
              <w:bottom w:val="single" w:sz="4" w:space="0" w:color="A6A6A6"/>
              <w:right w:val="nil"/>
            </w:tcBorders>
            <w:shd w:val="clear" w:color="auto" w:fill="auto"/>
            <w:hideMark/>
          </w:tcPr>
          <w:p w14:paraId="080F230E" w14:textId="43426F50" w:rsidR="00C17CE1" w:rsidRPr="000F507E" w:rsidRDefault="00C17CE1" w:rsidP="00780054">
            <w:pPr>
              <w:spacing w:after="0" w:line="240" w:lineRule="auto"/>
              <w:rPr>
                <w:rFonts w:cs="Times New Roman"/>
                <w:color w:val="000000"/>
              </w:rPr>
            </w:pPr>
            <w:r>
              <w:rPr>
                <w:color w:val="000000"/>
              </w:rPr>
              <w:t>L</w:t>
            </w:r>
            <w:r w:rsidR="00E66383">
              <w:rPr>
                <w:color w:val="000000"/>
              </w:rPr>
              <w:t>’</w:t>
            </w:r>
            <w:r>
              <w:rPr>
                <w:color w:val="000000"/>
              </w:rPr>
              <w:t>exigence est seulement encouragée ou recommandée et ne doit pas être prise en compte dans l</w:t>
            </w:r>
            <w:r w:rsidR="00E66383">
              <w:rPr>
                <w:color w:val="000000"/>
              </w:rPr>
              <w:t>’</w:t>
            </w:r>
            <w:r>
              <w:rPr>
                <w:color w:val="000000"/>
              </w:rPr>
              <w:t>évaluation de la conformité.</w:t>
            </w:r>
          </w:p>
        </w:tc>
      </w:tr>
      <w:tr w:rsidR="00C17CE1" w:rsidRPr="000F507E" w14:paraId="1C6C311F" w14:textId="77777777" w:rsidTr="00780054">
        <w:trPr>
          <w:trHeight w:val="560"/>
        </w:trPr>
        <w:tc>
          <w:tcPr>
            <w:tcW w:w="1050" w:type="dxa"/>
            <w:tcBorders>
              <w:top w:val="nil"/>
              <w:left w:val="nil"/>
              <w:bottom w:val="single" w:sz="4" w:space="0" w:color="A6A6A6" w:themeColor="background1" w:themeShade="A6"/>
              <w:right w:val="nil"/>
            </w:tcBorders>
            <w:shd w:val="diagStripe" w:color="D9D9D9" w:fill="auto"/>
            <w:noWrap/>
            <w:vAlign w:val="bottom"/>
            <w:hideMark/>
          </w:tcPr>
          <w:p w14:paraId="4260FC02" w14:textId="77777777" w:rsidR="00C17CE1" w:rsidRPr="000F507E" w:rsidRDefault="00C17CE1" w:rsidP="00780054">
            <w:pPr>
              <w:spacing w:after="0" w:line="240" w:lineRule="auto"/>
              <w:rPr>
                <w:rFonts w:cs="Times New Roman"/>
                <w:color w:val="000000"/>
              </w:rPr>
            </w:pPr>
          </w:p>
        </w:tc>
        <w:tc>
          <w:tcPr>
            <w:tcW w:w="8846" w:type="dxa"/>
            <w:tcBorders>
              <w:top w:val="nil"/>
              <w:left w:val="nil"/>
              <w:bottom w:val="single" w:sz="4" w:space="0" w:color="A6A6A6" w:themeColor="background1" w:themeShade="A6"/>
              <w:right w:val="nil"/>
            </w:tcBorders>
            <w:shd w:val="clear" w:color="auto" w:fill="auto"/>
            <w:hideMark/>
          </w:tcPr>
          <w:p w14:paraId="1DB0A30F" w14:textId="508DE3A6" w:rsidR="00C17CE1" w:rsidRPr="000F507E" w:rsidRDefault="00C17CE1" w:rsidP="00780054">
            <w:pPr>
              <w:spacing w:after="0" w:line="240" w:lineRule="auto"/>
              <w:rPr>
                <w:rFonts w:cs="Times New Roman"/>
                <w:color w:val="000000"/>
              </w:rPr>
            </w:pPr>
            <w:r>
              <w:rPr>
                <w:color w:val="000000"/>
              </w:rPr>
              <w:t>Le Groupe multipartite a démontré que cette exigence n</w:t>
            </w:r>
            <w:r w:rsidR="00E66383">
              <w:rPr>
                <w:color w:val="000000"/>
              </w:rPr>
              <w:t>’</w:t>
            </w:r>
            <w:r>
              <w:rPr>
                <w:color w:val="000000"/>
              </w:rPr>
              <w:t xml:space="preserve">était pas applicable au pays. </w:t>
            </w:r>
          </w:p>
        </w:tc>
      </w:tr>
    </w:tbl>
    <w:p w14:paraId="2AFE60CA" w14:textId="77777777" w:rsidR="00C17CE1" w:rsidRDefault="00C17CE1" w:rsidP="00F12713">
      <w:pPr>
        <w:spacing w:after="0" w:line="240" w:lineRule="auto"/>
        <w:rPr>
          <w:rFonts w:cstheme="minorHAnsi"/>
          <w:color w:val="000000" w:themeColor="text1"/>
        </w:rPr>
      </w:pPr>
    </w:p>
    <w:p w14:paraId="10C12F4D" w14:textId="4E44BEC7" w:rsidR="00824402" w:rsidRPr="00902A78" w:rsidRDefault="002D2440" w:rsidP="00F12713">
      <w:pPr>
        <w:spacing w:after="0" w:line="240" w:lineRule="auto"/>
        <w:rPr>
          <w:rFonts w:cstheme="minorHAnsi"/>
          <w:b/>
          <w:color w:val="365F91" w:themeColor="accent1" w:themeShade="BF"/>
        </w:rPr>
      </w:pPr>
      <w:r>
        <w:br w:type="page"/>
      </w:r>
      <w:r>
        <w:rPr>
          <w:rFonts w:cstheme="minorHAnsi"/>
          <w:b/>
          <w:color w:val="365F91" w:themeColor="accent1" w:themeShade="BF"/>
        </w:rPr>
        <w:lastRenderedPageBreak/>
        <w:t>4.</w:t>
      </w:r>
      <w:r>
        <w:tab/>
      </w:r>
      <w:r>
        <w:rPr>
          <w:rFonts w:cstheme="minorHAnsi"/>
          <w:b/>
          <w:color w:val="365F91" w:themeColor="accent1" w:themeShade="BF"/>
        </w:rPr>
        <w:t xml:space="preserve">CONCLUSIONS DÉTAILLÉES </w:t>
      </w:r>
    </w:p>
    <w:p w14:paraId="2A72C011" w14:textId="3C77A6DD" w:rsidR="003063CA" w:rsidRDefault="000F7F99" w:rsidP="00E603A5">
      <w:pPr>
        <w:spacing w:before="240" w:after="0" w:line="240" w:lineRule="auto"/>
        <w:jc w:val="both"/>
        <w:rPr>
          <w:rFonts w:cstheme="minorHAnsi"/>
        </w:rPr>
      </w:pPr>
      <w:r>
        <w:t xml:space="preserve">Dans cette section, le Validateur relève les </w:t>
      </w:r>
      <w:r w:rsidR="0094181A">
        <w:t>points sur</w:t>
      </w:r>
      <w:r>
        <w:t xml:space="preserve"> </w:t>
      </w:r>
      <w:r w:rsidR="00DE3DA4">
        <w:t>l</w:t>
      </w:r>
      <w:r>
        <w:t>esquels il est en désaccord avec les conclusions de l</w:t>
      </w:r>
      <w:r w:rsidR="00E66383">
        <w:t>’</w:t>
      </w:r>
      <w:r>
        <w:t>évaluation initiale ou ceux qui nécessitent des éclaircissements supplémentaires.</w:t>
      </w:r>
    </w:p>
    <w:p w14:paraId="0F3F0520" w14:textId="01462BE5" w:rsidR="003063CA" w:rsidRPr="003063CA" w:rsidRDefault="003063CA" w:rsidP="00F151C5">
      <w:pPr>
        <w:spacing w:before="240" w:after="0" w:line="240" w:lineRule="auto"/>
        <w:jc w:val="both"/>
        <w:rPr>
          <w:rFonts w:cstheme="minorHAnsi"/>
          <w:b/>
        </w:rPr>
      </w:pPr>
      <w:r>
        <w:rPr>
          <w:rFonts w:cstheme="minorHAnsi"/>
          <w:b/>
        </w:rPr>
        <w:t>4.2 Revenus en nature</w:t>
      </w:r>
    </w:p>
    <w:p w14:paraId="25093DED" w14:textId="0DA5421A" w:rsidR="003063CA" w:rsidRPr="003063CA" w:rsidRDefault="0094181A" w:rsidP="00487513">
      <w:pPr>
        <w:spacing w:before="240" w:after="0" w:line="240" w:lineRule="auto"/>
        <w:jc w:val="both"/>
        <w:rPr>
          <w:rFonts w:cstheme="minorHAnsi"/>
        </w:rPr>
      </w:pPr>
      <w:r>
        <w:t>À l</w:t>
      </w:r>
      <w:r w:rsidR="003063CA">
        <w:t>a page</w:t>
      </w:r>
      <w:r w:rsidR="00A0179E">
        <w:t> </w:t>
      </w:r>
      <w:r w:rsidR="003063CA">
        <w:t>94 de l</w:t>
      </w:r>
      <w:r w:rsidR="00E66383">
        <w:t>’</w:t>
      </w:r>
      <w:r w:rsidR="003063CA">
        <w:t>évaluation initiale de la Validation de l</w:t>
      </w:r>
      <w:r w:rsidR="00E66383">
        <w:t>’</w:t>
      </w:r>
      <w:r w:rsidR="003063CA">
        <w:t>Irak</w:t>
      </w:r>
      <w:r>
        <w:t>, il est</w:t>
      </w:r>
      <w:r w:rsidR="003063CA">
        <w:t xml:space="preserve"> me</w:t>
      </w:r>
      <w:r>
        <w:t>ntionné que</w:t>
      </w:r>
      <w:r w:rsidR="00A0179E">
        <w:t> </w:t>
      </w:r>
      <w:r w:rsidR="003063CA">
        <w:t>:</w:t>
      </w:r>
    </w:p>
    <w:p w14:paraId="6E997D1E" w14:textId="5834FB96" w:rsidR="003063CA" w:rsidRPr="003063CA" w:rsidRDefault="00C734C5" w:rsidP="00487513">
      <w:pPr>
        <w:spacing w:after="0" w:line="240" w:lineRule="auto"/>
        <w:jc w:val="both"/>
        <w:rPr>
          <w:rFonts w:cstheme="minorHAnsi"/>
        </w:rPr>
      </w:pPr>
      <w:r>
        <w:t>«</w:t>
      </w:r>
      <w:r w:rsidR="00A0179E">
        <w:t> </w:t>
      </w:r>
      <w:r w:rsidR="003063CA">
        <w:t>Selon SOMO, la valeur totale du pétrole brut exporté est fournie (Rapport de l</w:t>
      </w:r>
      <w:r w:rsidR="00E66383">
        <w:t>’</w:t>
      </w:r>
      <w:r w:rsidR="003063CA">
        <w:t>ITIE Irak</w:t>
      </w:r>
      <w:r w:rsidR="00A0179E">
        <w:t> </w:t>
      </w:r>
      <w:r w:rsidR="003063CA">
        <w:t>2015, Section</w:t>
      </w:r>
      <w:r w:rsidR="00A0179E">
        <w:t> </w:t>
      </w:r>
      <w:r w:rsidR="003063CA">
        <w:t>6.3.3, pp.121-1</w:t>
      </w:r>
      <w:r>
        <w:t xml:space="preserve">22), de même que la valeur des </w:t>
      </w:r>
      <w:r w:rsidR="00A0179E">
        <w:t>“</w:t>
      </w:r>
      <w:r w:rsidR="003063CA">
        <w:t>amendes facturées par rapport aux factures de vente</w:t>
      </w:r>
      <w:r w:rsidR="00A0179E">
        <w:t>”</w:t>
      </w:r>
      <w:r>
        <w:t xml:space="preserve"> et la valeur totale des </w:t>
      </w:r>
      <w:r w:rsidR="00A0179E">
        <w:t>“</w:t>
      </w:r>
      <w:r w:rsidR="003063CA">
        <w:t>recouvrements déposés sur le compte de recouvrement des ventes de pétrole</w:t>
      </w:r>
      <w:r w:rsidR="00A0179E">
        <w:t>”</w:t>
      </w:r>
      <w:r w:rsidR="003063CA">
        <w:t xml:space="preserve">. Des chiffres sont également fournis pour la valeur totale de pétrole brut perçue, ainsi que pour le </w:t>
      </w:r>
      <w:r w:rsidR="00A0179E">
        <w:t>“</w:t>
      </w:r>
      <w:r w:rsidR="003063CA">
        <w:t>revenu total</w:t>
      </w:r>
      <w:r w:rsidR="00A0179E">
        <w:t>”</w:t>
      </w:r>
      <w:r w:rsidR="003063CA">
        <w:t xml:space="preserve"> (50 932 301 000 USD), calculés </w:t>
      </w:r>
      <w:r w:rsidR="00A0179E">
        <w:t>“</w:t>
      </w:r>
      <w:r w:rsidR="003063CA">
        <w:t>en soustrayant la valeur totale de pétrole brut perçue du montant transféré par la Banque centrale d</w:t>
      </w:r>
      <w:r w:rsidR="00E66383">
        <w:t>’</w:t>
      </w:r>
      <w:r w:rsidR="003063CA">
        <w:t>Irak et en ajoutant les reçus déposés sur le compte de recouvrement</w:t>
      </w:r>
      <w:r w:rsidR="00A0179E">
        <w:t>”</w:t>
      </w:r>
      <w:r w:rsidR="003063CA">
        <w:t>. On ne sait pas très bien pourquoi la valeur totale du pétrole brut perçue (13 585 852 000 USD) est inférieure à la valeur totale du pétrole brut exporté selon SOMO (35 457 722 000 USD)</w:t>
      </w:r>
      <w:r w:rsidR="00A0179E">
        <w:t> </w:t>
      </w:r>
      <w:r w:rsidR="00D218CA">
        <w:t>»</w:t>
      </w:r>
      <w:r w:rsidR="003063CA">
        <w:t>.</w:t>
      </w:r>
    </w:p>
    <w:p w14:paraId="1161E7CE" w14:textId="77777777" w:rsidR="003063CA" w:rsidRPr="003063CA" w:rsidRDefault="003063CA" w:rsidP="00487513">
      <w:pPr>
        <w:spacing w:after="0" w:line="240" w:lineRule="auto"/>
        <w:jc w:val="both"/>
        <w:rPr>
          <w:rFonts w:cstheme="minorHAnsi"/>
        </w:rPr>
      </w:pPr>
      <w:r>
        <w:t> </w:t>
      </w:r>
    </w:p>
    <w:p w14:paraId="74067FB5" w14:textId="024F77FE" w:rsidR="003063CA" w:rsidRPr="003063CA" w:rsidRDefault="00D218CA" w:rsidP="00487513">
      <w:pPr>
        <w:spacing w:after="0" w:line="240" w:lineRule="auto"/>
        <w:jc w:val="both"/>
        <w:rPr>
          <w:rFonts w:cstheme="minorHAnsi"/>
        </w:rPr>
      </w:pPr>
      <w:r>
        <w:t>«</w:t>
      </w:r>
      <w:r w:rsidR="00A0179E">
        <w:t> </w:t>
      </w:r>
      <w:r w:rsidR="003063CA">
        <w:t>Écarts</w:t>
      </w:r>
      <w:r w:rsidR="00A0179E">
        <w:t> </w:t>
      </w:r>
      <w:r w:rsidR="003063CA">
        <w:t>: Le Rapport ITIE</w:t>
      </w:r>
      <w:r w:rsidR="00A0179E">
        <w:t> </w:t>
      </w:r>
      <w:r w:rsidR="003063CA">
        <w:t>2015 de l</w:t>
      </w:r>
      <w:r w:rsidR="00E66383">
        <w:t>’</w:t>
      </w:r>
      <w:r w:rsidR="003063CA">
        <w:t>Irak identifie des écarts significatifs (3 403 942 449 USD) dans le rapprochement des paiements de 35 des 42 entreprises d</w:t>
      </w:r>
      <w:r w:rsidR="00E66383">
        <w:t>’</w:t>
      </w:r>
      <w:r w:rsidR="003063CA">
        <w:t>achat de pétrole, sans compter les trois entreprises d</w:t>
      </w:r>
      <w:r w:rsidR="00E66383">
        <w:t>’</w:t>
      </w:r>
      <w:r w:rsidR="003063CA">
        <w:t>achat qui n</w:t>
      </w:r>
      <w:r w:rsidR="00E66383">
        <w:t>’</w:t>
      </w:r>
      <w:r w:rsidR="003063CA">
        <w:t>ont pas fait de déclaration (Rapport ITIE</w:t>
      </w:r>
      <w:r w:rsidR="00A0179E">
        <w:t> </w:t>
      </w:r>
      <w:r w:rsidR="003063CA">
        <w:t>2015 de l</w:t>
      </w:r>
      <w:r w:rsidR="00E66383">
        <w:t>’</w:t>
      </w:r>
      <w:r w:rsidR="003063CA">
        <w:t>Irak, pp.</w:t>
      </w:r>
      <w:r w:rsidR="002C3458">
        <w:t> </w:t>
      </w:r>
      <w:r w:rsidR="003063CA">
        <w:t>64-66). Bien que la matérialité de ces écarts ne soit pas évaluée, elle peut être calculée à 9,11</w:t>
      </w:r>
      <w:r w:rsidR="00A0179E">
        <w:t> </w:t>
      </w:r>
      <w:r w:rsidR="003063CA">
        <w:t>% des ventes de pétrole brut divulguées par SOMO. Des écarts ont été identifiés pour 35 des 39 entreprises d</w:t>
      </w:r>
      <w:r w:rsidR="00E66383">
        <w:t>’</w:t>
      </w:r>
      <w:r w:rsidR="003063CA">
        <w:t xml:space="preserve">achat de pétrole déclarantes. Cependant, il existe une variation nette de 331,13 millions </w:t>
      </w:r>
      <w:r w:rsidR="0094181A">
        <w:t xml:space="preserve">de dollars </w:t>
      </w:r>
      <w:r w:rsidR="003063CA">
        <w:t>US entre la valeur des écarts agrégés fournis et la valeur des écarts individuels cumulés pour chaque entreprise, un chiffre faible étant donné la compensation des écarts dans</w:t>
      </w:r>
      <w:r w:rsidR="00E50D56">
        <w:t xml:space="preserve"> le rapprochement au niveau des </w:t>
      </w:r>
      <w:r w:rsidR="003063CA">
        <w:t>entreprise</w:t>
      </w:r>
      <w:r w:rsidR="00E50D56">
        <w:t>s</w:t>
      </w:r>
      <w:r w:rsidR="003063CA">
        <w:t>.  Les raisons des écarts sont fournies pour chaque entreprise (Rapport ITIE</w:t>
      </w:r>
      <w:r w:rsidR="00A0179E">
        <w:t> </w:t>
      </w:r>
      <w:r w:rsidR="003063CA">
        <w:t>2015 de l</w:t>
      </w:r>
      <w:r w:rsidR="00E66383">
        <w:t>’</w:t>
      </w:r>
      <w:r w:rsidR="003063CA">
        <w:t>Irak, pp.</w:t>
      </w:r>
      <w:r w:rsidR="00A0179E">
        <w:t> </w:t>
      </w:r>
      <w:r w:rsidR="00E50D56">
        <w:t>67-72)</w:t>
      </w:r>
      <w:r w:rsidR="003063CA">
        <w:t xml:space="preserve"> et concernent principalement les différences entre la comptabilité d</w:t>
      </w:r>
      <w:r w:rsidR="00E66383">
        <w:t>’</w:t>
      </w:r>
      <w:r w:rsidR="003063CA">
        <w:t>exercice des entreprises acheteuses et la comptabilité de trésorerie de SOMO. Il convient de souligner que les écarts pour chaque entreprise individuelle ont été compensés (c</w:t>
      </w:r>
      <w:r w:rsidR="00E66383">
        <w:t>’</w:t>
      </w:r>
      <w:r w:rsidR="003063CA">
        <w:t>est-à-dire en déduisant les écarts négatifs des écarts positifs), sous-évaluant ainsi la valeur des écarts pour chaque entreprise</w:t>
      </w:r>
      <w:r w:rsidR="00A0179E">
        <w:t> </w:t>
      </w:r>
      <w:r>
        <w:t>»</w:t>
      </w:r>
      <w:r w:rsidR="003063CA">
        <w:t>.</w:t>
      </w:r>
    </w:p>
    <w:p w14:paraId="385E3399" w14:textId="77777777" w:rsidR="003063CA" w:rsidRPr="003063CA" w:rsidRDefault="003063CA" w:rsidP="00487513">
      <w:pPr>
        <w:spacing w:after="0" w:line="240" w:lineRule="auto"/>
        <w:jc w:val="both"/>
        <w:rPr>
          <w:rFonts w:cstheme="minorHAnsi"/>
        </w:rPr>
      </w:pPr>
      <w:r>
        <w:t> </w:t>
      </w:r>
    </w:p>
    <w:p w14:paraId="558A90D0" w14:textId="54C864E2" w:rsidR="003063CA" w:rsidRDefault="003063CA" w:rsidP="00E603A5">
      <w:pPr>
        <w:spacing w:after="0" w:line="240" w:lineRule="auto"/>
        <w:jc w:val="both"/>
        <w:rPr>
          <w:rFonts w:cstheme="minorHAnsi"/>
        </w:rPr>
      </w:pPr>
      <w:r>
        <w:t>L</w:t>
      </w:r>
      <w:r w:rsidR="00E66383">
        <w:t>’</w:t>
      </w:r>
      <w:r>
        <w:t>évaluation initiale conclu</w:t>
      </w:r>
      <w:r w:rsidR="006919A4">
        <w:t>t que le niveau de progrès est «</w:t>
      </w:r>
      <w:r w:rsidR="00A0179E">
        <w:t> </w:t>
      </w:r>
      <w:r w:rsidR="0094181A">
        <w:t>dépassé</w:t>
      </w:r>
      <w:r w:rsidR="00A0179E">
        <w:t> </w:t>
      </w:r>
      <w:r w:rsidR="006919A4">
        <w:t>»</w:t>
      </w:r>
      <w:r>
        <w:t>. Mais, compte tenu des commentaires énoncés ci-dessus, serait-il plus adapté d</w:t>
      </w:r>
      <w:r w:rsidR="006919A4">
        <w:t>e conclure qu</w:t>
      </w:r>
      <w:r w:rsidR="00E66383">
        <w:t>’</w:t>
      </w:r>
      <w:r w:rsidR="006919A4">
        <w:t>il démontre des «</w:t>
      </w:r>
      <w:r w:rsidR="00A0179E">
        <w:t> </w:t>
      </w:r>
      <w:r>
        <w:t>Progrès significatifs</w:t>
      </w:r>
      <w:r w:rsidR="00A0179E">
        <w:t> </w:t>
      </w:r>
      <w:r w:rsidR="006919A4">
        <w:t>»</w:t>
      </w:r>
      <w:r>
        <w:t xml:space="preserve"> pour ensuite </w:t>
      </w:r>
      <w:r w:rsidR="006919A4">
        <w:t>le faire passer à la catégorie «</w:t>
      </w:r>
      <w:r w:rsidR="00A0179E">
        <w:t> </w:t>
      </w:r>
      <w:commentRangeStart w:id="1"/>
      <w:r>
        <w:t>Progrès</w:t>
      </w:r>
      <w:commentRangeEnd w:id="1"/>
      <w:r>
        <w:rPr>
          <w:rStyle w:val="Marquedecommentaire"/>
        </w:rPr>
        <w:commentReference w:id="1"/>
      </w:r>
      <w:r>
        <w:t xml:space="preserve"> satisfaisants</w:t>
      </w:r>
      <w:r w:rsidR="00A0179E">
        <w:t> </w:t>
      </w:r>
      <w:r w:rsidR="006919A4">
        <w:t>»</w:t>
      </w:r>
      <w:r>
        <w:t xml:space="preserve"> grâce à des informations supplémentaires fournies à propos du rapprochement par cargaison</w:t>
      </w:r>
      <w:r w:rsidR="0094181A">
        <w:t xml:space="preserve"> expédiée</w:t>
      </w:r>
      <w:r>
        <w:t xml:space="preserve"> et des informations supplémentaires sur le processus des ventes pour 2015.</w:t>
      </w:r>
    </w:p>
    <w:p w14:paraId="75363814" w14:textId="19471058" w:rsidR="000F7F99" w:rsidRPr="00487513" w:rsidRDefault="00487513" w:rsidP="00F151C5">
      <w:pPr>
        <w:spacing w:before="240" w:after="0" w:line="240" w:lineRule="auto"/>
        <w:rPr>
          <w:rFonts w:cstheme="minorHAnsi"/>
          <w:b/>
        </w:rPr>
      </w:pPr>
      <w:r>
        <w:rPr>
          <w:rFonts w:cstheme="minorHAnsi"/>
          <w:b/>
        </w:rPr>
        <w:t>4.4 Revenus issus du transport.</w:t>
      </w:r>
    </w:p>
    <w:p w14:paraId="4C33017F" w14:textId="095B6FC7" w:rsidR="003063CA" w:rsidRPr="003063CA" w:rsidRDefault="003063CA" w:rsidP="00487513">
      <w:pPr>
        <w:spacing w:before="240" w:after="0" w:line="240" w:lineRule="auto"/>
        <w:jc w:val="both"/>
        <w:rPr>
          <w:rFonts w:cstheme="minorHAnsi"/>
        </w:rPr>
      </w:pPr>
      <w:r>
        <w:t>La page</w:t>
      </w:r>
      <w:r w:rsidR="00A0179E">
        <w:t> </w:t>
      </w:r>
      <w:r>
        <w:t>97 de l</w:t>
      </w:r>
      <w:r w:rsidR="00E66383">
        <w:t>’</w:t>
      </w:r>
      <w:r>
        <w:t>évaluation initiale de la Validation de l</w:t>
      </w:r>
      <w:r w:rsidR="00E66383">
        <w:t>’</w:t>
      </w:r>
      <w:r>
        <w:t>Irak affirme</w:t>
      </w:r>
      <w:r w:rsidR="00A0179E">
        <w:t> </w:t>
      </w:r>
      <w:r>
        <w:t>:</w:t>
      </w:r>
    </w:p>
    <w:p w14:paraId="5BCD3828" w14:textId="2B768ED3" w:rsidR="003063CA" w:rsidRPr="003063CA" w:rsidRDefault="006919A4" w:rsidP="00487513">
      <w:pPr>
        <w:spacing w:after="0" w:line="240" w:lineRule="auto"/>
        <w:jc w:val="both"/>
        <w:rPr>
          <w:rFonts w:cstheme="minorHAnsi"/>
        </w:rPr>
      </w:pPr>
      <w:r>
        <w:t>«</w:t>
      </w:r>
      <w:r w:rsidR="00A0179E">
        <w:t> </w:t>
      </w:r>
      <w:r w:rsidR="003063CA">
        <w:t>Le Rapport ITIE</w:t>
      </w:r>
      <w:r w:rsidR="00A0179E">
        <w:t> </w:t>
      </w:r>
      <w:r w:rsidR="003063CA">
        <w:t>2015 de l</w:t>
      </w:r>
      <w:r w:rsidR="00E66383">
        <w:t>’</w:t>
      </w:r>
      <w:r w:rsidR="003063CA">
        <w:t>Irak stipule qu</w:t>
      </w:r>
      <w:r w:rsidR="00E66383">
        <w:t>’</w:t>
      </w:r>
      <w:r w:rsidR="003063CA">
        <w:t>il n</w:t>
      </w:r>
      <w:r w:rsidR="00E66383">
        <w:t>’</w:t>
      </w:r>
      <w:r w:rsidR="003063CA">
        <w:t>y a pas eu de revenus issus du transport en 2015 (Rapport ITIE</w:t>
      </w:r>
      <w:r w:rsidR="00A0179E">
        <w:t> </w:t>
      </w:r>
      <w:r w:rsidR="003063CA">
        <w:t>2012 de l</w:t>
      </w:r>
      <w:r w:rsidR="00E66383">
        <w:t>’</w:t>
      </w:r>
      <w:r w:rsidR="003063CA">
        <w:t>Irak, Section</w:t>
      </w:r>
      <w:r w:rsidR="00A0179E">
        <w:t> </w:t>
      </w:r>
      <w:r w:rsidR="003063CA">
        <w:t>4.4, p.</w:t>
      </w:r>
      <w:r w:rsidR="00A0179E">
        <w:t> </w:t>
      </w:r>
      <w:r w:rsidR="003063CA">
        <w:t>109). Cependant, il répertorie six entreprises d</w:t>
      </w:r>
      <w:r w:rsidR="00E66383">
        <w:t>’</w:t>
      </w:r>
      <w:r w:rsidR="003063CA">
        <w:t>État opérant dans le transport, la distribution et la commercialisation du pétrole et du gaz (Rapport ITIE</w:t>
      </w:r>
      <w:r w:rsidR="00A0179E">
        <w:t> </w:t>
      </w:r>
      <w:r w:rsidR="003063CA">
        <w:t>2015 de l</w:t>
      </w:r>
      <w:r w:rsidR="00E66383">
        <w:t>’</w:t>
      </w:r>
      <w:r w:rsidR="003063CA">
        <w:t>Irak, Section</w:t>
      </w:r>
      <w:r w:rsidR="00A0179E">
        <w:t> </w:t>
      </w:r>
      <w:r w:rsidR="003063CA">
        <w:t>2.1.2, p.</w:t>
      </w:r>
      <w:r w:rsidR="002C3458">
        <w:t> </w:t>
      </w:r>
      <w:r w:rsidR="003063CA">
        <w:t>34). Tous les flux de pétrole brut et de gaz naturel passant par les entreprises d</w:t>
      </w:r>
      <w:r w:rsidR="00E66383">
        <w:t>’</w:t>
      </w:r>
      <w:r w:rsidR="003063CA">
        <w:t>État de transport (par exemple, OPC et OPDC) semblent impliquer des transactions internes aux entreprises d</w:t>
      </w:r>
      <w:r w:rsidR="00E66383">
        <w:t>’</w:t>
      </w:r>
      <w:r w:rsidR="003063CA">
        <w:t>État. Pourtant, le Rapport ITIE</w:t>
      </w:r>
      <w:r w:rsidR="00A0179E">
        <w:t> </w:t>
      </w:r>
      <w:r w:rsidR="003063CA">
        <w:t>2015 de l</w:t>
      </w:r>
      <w:r w:rsidR="00E66383">
        <w:t>’</w:t>
      </w:r>
      <w:r w:rsidR="003063CA">
        <w:t>Irak ne rapproche pas les flux physiques de pétrole brut internes aux entreprises d</w:t>
      </w:r>
      <w:r w:rsidR="00E66383">
        <w:t>’</w:t>
      </w:r>
      <w:r w:rsidR="003063CA">
        <w:t xml:space="preserve">État, mais plutôt les tentatives de rapprochement des revenus nets de la vente finale de produits pétroliers raffinés sur le marché local, entre les chiffres du ministère des Finances et </w:t>
      </w:r>
      <w:r w:rsidR="003C41A8">
        <w:t>l’</w:t>
      </w:r>
      <w:r w:rsidR="003063CA">
        <w:t>OPDC (Rapport ITIE</w:t>
      </w:r>
      <w:r w:rsidR="00A0179E">
        <w:t> </w:t>
      </w:r>
      <w:r w:rsidR="003063CA">
        <w:t>2015 de l</w:t>
      </w:r>
      <w:r w:rsidR="00E66383">
        <w:t>’</w:t>
      </w:r>
      <w:r w:rsidR="003063CA">
        <w:t>Irak, Section</w:t>
      </w:r>
      <w:r w:rsidR="00A0179E">
        <w:t> </w:t>
      </w:r>
      <w:r w:rsidR="003063CA">
        <w:t>4.1.2, p.</w:t>
      </w:r>
      <w:r w:rsidR="00A0179E">
        <w:t> </w:t>
      </w:r>
      <w:r w:rsidR="003063CA">
        <w:t>91). Il ne ressort pas clairement du Rapport ITIE</w:t>
      </w:r>
      <w:r w:rsidR="00A0179E">
        <w:t> </w:t>
      </w:r>
      <w:r w:rsidR="003063CA">
        <w:t>2015 de l</w:t>
      </w:r>
      <w:r w:rsidR="00E66383">
        <w:t>’</w:t>
      </w:r>
      <w:r w:rsidR="003063CA">
        <w:t xml:space="preserve">Irak </w:t>
      </w:r>
      <w:r w:rsidR="003063CA">
        <w:lastRenderedPageBreak/>
        <w:t>si d</w:t>
      </w:r>
      <w:r w:rsidR="00E66383">
        <w:t>’</w:t>
      </w:r>
      <w:r w:rsidR="003063CA">
        <w:t>autres entreprises d</w:t>
      </w:r>
      <w:r w:rsidR="00E66383">
        <w:t>’</w:t>
      </w:r>
      <w:r w:rsidR="003063CA">
        <w:t>État dans le secteur du transport pétrolier et gazier, telles qu</w:t>
      </w:r>
      <w:r w:rsidR="00E66383">
        <w:t>’</w:t>
      </w:r>
      <w:r w:rsidR="003063CA">
        <w:t>OPC, versent des dividendes au ministère des Finances</w:t>
      </w:r>
      <w:r w:rsidR="00A0179E">
        <w:t> </w:t>
      </w:r>
      <w:r>
        <w:t>»</w:t>
      </w:r>
      <w:r w:rsidR="003063CA">
        <w:t>.</w:t>
      </w:r>
    </w:p>
    <w:p w14:paraId="2A318910" w14:textId="77777777" w:rsidR="005509F3" w:rsidRDefault="005509F3" w:rsidP="00487513">
      <w:pPr>
        <w:spacing w:after="0" w:line="240" w:lineRule="auto"/>
        <w:jc w:val="both"/>
        <w:rPr>
          <w:rFonts w:cstheme="minorHAnsi"/>
        </w:rPr>
      </w:pPr>
    </w:p>
    <w:p w14:paraId="1CF7ED1D" w14:textId="48F056D9" w:rsidR="003063CA" w:rsidRPr="003063CA" w:rsidRDefault="003063CA" w:rsidP="00487513">
      <w:pPr>
        <w:spacing w:after="0" w:line="240" w:lineRule="auto"/>
        <w:jc w:val="both"/>
        <w:rPr>
          <w:rFonts w:cstheme="minorHAnsi"/>
        </w:rPr>
      </w:pPr>
      <w:r>
        <w:t>L</w:t>
      </w:r>
      <w:r w:rsidR="00E66383">
        <w:t>’</w:t>
      </w:r>
      <w:r>
        <w:t>évaluation initia</w:t>
      </w:r>
      <w:r w:rsidR="006919A4">
        <w:t>le conclut que cette exigence «</w:t>
      </w:r>
      <w:r w:rsidR="00A0179E">
        <w:t> </w:t>
      </w:r>
      <w:r>
        <w:t>ne s</w:t>
      </w:r>
      <w:r w:rsidR="00E66383">
        <w:t>’</w:t>
      </w:r>
      <w:r>
        <w:t>applique pas à l</w:t>
      </w:r>
      <w:r w:rsidR="00E66383">
        <w:t>’</w:t>
      </w:r>
      <w:r>
        <w:t>Irak</w:t>
      </w:r>
      <w:r w:rsidR="00A0179E">
        <w:t> </w:t>
      </w:r>
      <w:r w:rsidR="006919A4">
        <w:t>»</w:t>
      </w:r>
      <w:r>
        <w:t>. Mais comme mentionné ci-dessus, des informations pourraient indiquer le contraire, en particulier lorsque l</w:t>
      </w:r>
      <w:r w:rsidR="00E66383">
        <w:t>’</w:t>
      </w:r>
      <w:r>
        <w:t>évaluation initiale recommande plus bas</w:t>
      </w:r>
      <w:r w:rsidR="00A0179E">
        <w:t> </w:t>
      </w:r>
      <w:r>
        <w:t>:</w:t>
      </w:r>
    </w:p>
    <w:p w14:paraId="6E50442E" w14:textId="77777777" w:rsidR="003063CA" w:rsidRPr="003063CA" w:rsidRDefault="003063CA" w:rsidP="00487513">
      <w:pPr>
        <w:spacing w:after="0" w:line="240" w:lineRule="auto"/>
        <w:jc w:val="both"/>
        <w:rPr>
          <w:rFonts w:cstheme="minorHAnsi"/>
        </w:rPr>
      </w:pPr>
      <w:r>
        <w:t> </w:t>
      </w:r>
    </w:p>
    <w:p w14:paraId="18547FF7" w14:textId="3CFB0824" w:rsidR="003063CA" w:rsidRPr="003063CA" w:rsidRDefault="006919A4" w:rsidP="00487513">
      <w:pPr>
        <w:spacing w:after="0" w:line="240" w:lineRule="auto"/>
        <w:jc w:val="both"/>
        <w:rPr>
          <w:rFonts w:cstheme="minorHAnsi"/>
        </w:rPr>
      </w:pPr>
      <w:r>
        <w:t>«</w:t>
      </w:r>
      <w:r w:rsidR="00A0179E">
        <w:t> </w:t>
      </w:r>
      <w:r w:rsidR="003063CA">
        <w:t xml:space="preserve">Pour renforcer la mise en œuvre, le </w:t>
      </w:r>
      <w:r w:rsidR="00EC7BA6">
        <w:t>Groupe multipartite</w:t>
      </w:r>
      <w:r w:rsidR="003063CA">
        <w:t xml:space="preserve"> est fortement encouragé à examiner les bilans des six entreprises d</w:t>
      </w:r>
      <w:r w:rsidR="00E66383">
        <w:t>’</w:t>
      </w:r>
      <w:r w:rsidR="003063CA">
        <w:t>État engagées dans le transport, la distribution et la commercialisation du pétrole et du gaz, afin d</w:t>
      </w:r>
      <w:r w:rsidR="00E66383">
        <w:t>’</w:t>
      </w:r>
      <w:r w:rsidR="003063CA">
        <w:t>évaluer la matérialité des revenus potentiels versés au gouvernement (c.-à-d.</w:t>
      </w:r>
      <w:r w:rsidR="003C41A8">
        <w:t>,</w:t>
      </w:r>
      <w:r w:rsidR="003063CA">
        <w:t xml:space="preserve"> </w:t>
      </w:r>
      <w:r w:rsidR="003C41A8">
        <w:t>l</w:t>
      </w:r>
      <w:r w:rsidR="003063CA">
        <w:t>es transferts au ministère des Finances/Fonds de développement pour l</w:t>
      </w:r>
      <w:r w:rsidR="00E66383">
        <w:t>’</w:t>
      </w:r>
      <w:r w:rsidR="003063CA">
        <w:t>Irak) tirés du transport de pétrole brut ou de gaz naturel</w:t>
      </w:r>
      <w:r w:rsidR="00A0179E">
        <w:t> </w:t>
      </w:r>
      <w:r>
        <w:t>»</w:t>
      </w:r>
      <w:r w:rsidR="003063CA">
        <w:t>.</w:t>
      </w:r>
    </w:p>
    <w:p w14:paraId="7CBDE5E4" w14:textId="77E2B9CD" w:rsidR="003063CA" w:rsidRPr="003063CA" w:rsidRDefault="003063CA" w:rsidP="00487513">
      <w:pPr>
        <w:spacing w:after="0" w:line="240" w:lineRule="auto"/>
        <w:jc w:val="both"/>
        <w:rPr>
          <w:rFonts w:cstheme="minorHAnsi"/>
        </w:rPr>
      </w:pPr>
      <w:r>
        <w:t>De plus, le Rapport d</w:t>
      </w:r>
      <w:r w:rsidR="00E66383">
        <w:t>’</w:t>
      </w:r>
      <w:r>
        <w:t>avancement de l</w:t>
      </w:r>
      <w:r w:rsidR="00E66383">
        <w:t>’</w:t>
      </w:r>
      <w:r>
        <w:t>ITIE</w:t>
      </w:r>
      <w:r w:rsidR="00A0179E">
        <w:t> </w:t>
      </w:r>
      <w:r w:rsidR="006919A4">
        <w:t>2016 de l</w:t>
      </w:r>
      <w:r w:rsidR="00E66383">
        <w:t>’</w:t>
      </w:r>
      <w:r w:rsidR="006919A4">
        <w:t>Irak dans le tableau</w:t>
      </w:r>
      <w:r w:rsidR="00A0179E">
        <w:t> </w:t>
      </w:r>
      <w:r w:rsidR="006919A4">
        <w:t>«</w:t>
      </w:r>
      <w:r w:rsidR="00A0179E">
        <w:t> </w:t>
      </w:r>
      <w:r>
        <w:t>4. Évaluation de la performance par rapport aux Exigences ITIE</w:t>
      </w:r>
      <w:r w:rsidR="00A0179E">
        <w:t> </w:t>
      </w:r>
      <w:r w:rsidR="006919A4">
        <w:t>», l</w:t>
      </w:r>
      <w:r w:rsidR="00E66383">
        <w:t>’</w:t>
      </w:r>
      <w:r w:rsidR="006919A4">
        <w:t>Exigence 4.4</w:t>
      </w:r>
      <w:r>
        <w:t xml:space="preserve"> </w:t>
      </w:r>
      <w:r w:rsidR="006919A4">
        <w:t>«</w:t>
      </w:r>
      <w:r w:rsidR="00A0179E">
        <w:t> </w:t>
      </w:r>
      <w:r>
        <w:t>Revenus issus du transport</w:t>
      </w:r>
      <w:r w:rsidR="00A0179E">
        <w:t> </w:t>
      </w:r>
      <w:r w:rsidR="006919A4">
        <w:t xml:space="preserve">» </w:t>
      </w:r>
      <w:r w:rsidR="00E50D56">
        <w:t>se référant</w:t>
      </w:r>
      <w:r>
        <w:t xml:space="preserve"> aux progrès stipule</w:t>
      </w:r>
      <w:r w:rsidR="00A0179E">
        <w:t> </w:t>
      </w:r>
      <w:r>
        <w:t>:</w:t>
      </w:r>
    </w:p>
    <w:p w14:paraId="1C2960C1" w14:textId="35650FD3" w:rsidR="003063CA" w:rsidRPr="003063CA" w:rsidRDefault="006919A4" w:rsidP="00487513">
      <w:pPr>
        <w:spacing w:after="0" w:line="240" w:lineRule="auto"/>
        <w:jc w:val="both"/>
        <w:rPr>
          <w:rFonts w:cstheme="minorHAnsi"/>
        </w:rPr>
      </w:pPr>
      <w:r>
        <w:t>«</w:t>
      </w:r>
      <w:r w:rsidR="00A0179E">
        <w:t> </w:t>
      </w:r>
      <w:r w:rsidR="00E50D56">
        <w:t>Non applicable. Mais</w:t>
      </w:r>
      <w:r w:rsidR="003063CA">
        <w:t xml:space="preserve"> l</w:t>
      </w:r>
      <w:r w:rsidR="00E66383">
        <w:t>’</w:t>
      </w:r>
      <w:r w:rsidR="00E50D56">
        <w:t>ITIE-</w:t>
      </w:r>
      <w:r w:rsidR="003063CA">
        <w:t>Irak ajoutera des données contextuelles sur le mécanisme d</w:t>
      </w:r>
      <w:r w:rsidR="00E66383">
        <w:t>’</w:t>
      </w:r>
      <w:r w:rsidR="003063CA">
        <w:t>obtention des revenus issus du transport des compagnies d</w:t>
      </w:r>
      <w:r w:rsidR="00E66383">
        <w:t>’</w:t>
      </w:r>
      <w:r w:rsidR="00E50D56">
        <w:t xml:space="preserve">oléoducs </w:t>
      </w:r>
      <w:r w:rsidR="003063CA">
        <w:t>a</w:t>
      </w:r>
      <w:r w:rsidR="00E50D56">
        <w:t>insi que</w:t>
      </w:r>
      <w:r w:rsidR="003063CA">
        <w:t xml:space="preserve"> des données contextuelles sur les paiements que SOMO </w:t>
      </w:r>
      <w:r>
        <w:t>verse</w:t>
      </w:r>
      <w:r w:rsidR="003063CA">
        <w:t xml:space="preserve"> pour transporter le pétrole irakien jusqu</w:t>
      </w:r>
      <w:r w:rsidR="00E66383">
        <w:t>’</w:t>
      </w:r>
      <w:r w:rsidR="003063CA">
        <w:t>au port de Jihan en tant que coût</w:t>
      </w:r>
      <w:r w:rsidR="00A0179E">
        <w:t> </w:t>
      </w:r>
      <w:r>
        <w:t>»</w:t>
      </w:r>
      <w:r w:rsidR="003063CA">
        <w:t>.</w:t>
      </w:r>
    </w:p>
    <w:p w14:paraId="7A718894" w14:textId="77777777" w:rsidR="003063CA" w:rsidRPr="003063CA" w:rsidRDefault="003063CA" w:rsidP="00487513">
      <w:pPr>
        <w:spacing w:after="0" w:line="240" w:lineRule="auto"/>
        <w:jc w:val="both"/>
        <w:rPr>
          <w:rFonts w:cstheme="minorHAnsi"/>
        </w:rPr>
      </w:pPr>
      <w:r>
        <w:t> </w:t>
      </w:r>
    </w:p>
    <w:p w14:paraId="70918601" w14:textId="5983FCCE" w:rsidR="003063CA" w:rsidRPr="003063CA" w:rsidRDefault="003063CA" w:rsidP="00487513">
      <w:pPr>
        <w:spacing w:after="0" w:line="240" w:lineRule="auto"/>
        <w:jc w:val="both"/>
        <w:rPr>
          <w:rFonts w:cstheme="minorHAnsi"/>
        </w:rPr>
      </w:pPr>
      <w:r>
        <w:t xml:space="preserve">Nous recommandons </w:t>
      </w:r>
      <w:r w:rsidR="003C41A8">
        <w:t xml:space="preserve">que </w:t>
      </w:r>
      <w:r>
        <w:t xml:space="preserve">cette exigence </w:t>
      </w:r>
      <w:r w:rsidR="003C41A8">
        <w:t xml:space="preserve">soit classée </w:t>
      </w:r>
      <w:r>
        <w:t>dans la catégorie «</w:t>
      </w:r>
      <w:r w:rsidR="00A0179E">
        <w:t> </w:t>
      </w:r>
      <w:r w:rsidR="003C41A8">
        <w:t>P</w:t>
      </w:r>
      <w:r w:rsidR="00E50D56">
        <w:t>rogrès in</w:t>
      </w:r>
      <w:r>
        <w:t>s</w:t>
      </w:r>
      <w:r w:rsidR="00E50D56">
        <w:t>uffisants</w:t>
      </w:r>
      <w:r w:rsidR="00A0179E">
        <w:t> </w:t>
      </w:r>
      <w:r>
        <w:t xml:space="preserve">», étant donné </w:t>
      </w:r>
      <w:r w:rsidR="003C41A8" w:rsidRPr="003C41A8">
        <w:t xml:space="preserve">en particulier </w:t>
      </w:r>
      <w:r>
        <w:t>que les activités de transport sont mentionnées à plusieurs reprises dans le Rapport ITIE</w:t>
      </w:r>
      <w:r w:rsidR="00A0179E">
        <w:t> </w:t>
      </w:r>
      <w:r>
        <w:t>2015 de l</w:t>
      </w:r>
      <w:r w:rsidR="00E66383">
        <w:t>’</w:t>
      </w:r>
      <w:r>
        <w:t xml:space="preserve">Irak et dans le </w:t>
      </w:r>
      <w:commentRangeStart w:id="2"/>
      <w:r>
        <w:t>rapport d</w:t>
      </w:r>
      <w:r w:rsidR="00E66383">
        <w:t>’</w:t>
      </w:r>
      <w:r>
        <w:t>évaluation initiale</w:t>
      </w:r>
      <w:commentRangeEnd w:id="2"/>
      <w:r>
        <w:rPr>
          <w:rStyle w:val="Marquedecommentaire"/>
        </w:rPr>
        <w:commentReference w:id="2"/>
      </w:r>
      <w:r>
        <w:t>.</w:t>
      </w:r>
    </w:p>
    <w:p w14:paraId="5408CCA0" w14:textId="77777777" w:rsidR="00A938B1" w:rsidRDefault="00A938B1" w:rsidP="00487513">
      <w:pPr>
        <w:spacing w:after="0" w:line="240" w:lineRule="auto"/>
        <w:jc w:val="both"/>
        <w:rPr>
          <w:rFonts w:cstheme="minorHAnsi"/>
        </w:rPr>
      </w:pPr>
    </w:p>
    <w:p w14:paraId="709EEE9D" w14:textId="77777777" w:rsidR="00A938B1" w:rsidRPr="00A938B1" w:rsidRDefault="00A938B1" w:rsidP="00487513">
      <w:pPr>
        <w:spacing w:after="0" w:line="240" w:lineRule="auto"/>
        <w:jc w:val="both"/>
        <w:rPr>
          <w:rFonts w:cstheme="minorHAnsi"/>
        </w:rPr>
      </w:pPr>
    </w:p>
    <w:p w14:paraId="0F7F6A38" w14:textId="66A92205" w:rsidR="00823D46" w:rsidRPr="00487513" w:rsidRDefault="00487513" w:rsidP="00487513">
      <w:pPr>
        <w:spacing w:after="0" w:line="240" w:lineRule="auto"/>
        <w:ind w:left="720" w:hanging="720"/>
        <w:jc w:val="both"/>
        <w:rPr>
          <w:rFonts w:cstheme="minorHAnsi"/>
          <w:b/>
          <w:color w:val="1F497D" w:themeColor="text2"/>
        </w:rPr>
      </w:pPr>
      <w:r>
        <w:rPr>
          <w:rFonts w:cstheme="minorHAnsi"/>
          <w:b/>
          <w:color w:val="1F497D" w:themeColor="text2"/>
        </w:rPr>
        <w:t>5.</w:t>
      </w:r>
      <w:r>
        <w:tab/>
      </w:r>
      <w:r>
        <w:rPr>
          <w:rFonts w:cstheme="minorHAnsi"/>
          <w:b/>
          <w:color w:val="1F497D" w:themeColor="text2"/>
        </w:rPr>
        <w:t xml:space="preserve">RECOMMANDATIONS </w:t>
      </w:r>
    </w:p>
    <w:p w14:paraId="36D96B35" w14:textId="1A66152F" w:rsidR="00484ABD" w:rsidRPr="00B47274" w:rsidRDefault="00484ABD" w:rsidP="00487513">
      <w:pPr>
        <w:spacing w:before="120"/>
        <w:jc w:val="both"/>
      </w:pPr>
      <w:r>
        <w:t>Alors que le rapport suivant comprend des recommandations</w:t>
      </w:r>
      <w:r w:rsidR="003C41A8">
        <w:t xml:space="preserve"> portant</w:t>
      </w:r>
      <w:r>
        <w:t xml:space="preserve"> sur des améliorations spécifiques que le </w:t>
      </w:r>
      <w:r w:rsidR="00EC7BA6">
        <w:t>Groupe multipartite</w:t>
      </w:r>
      <w:r>
        <w:t xml:space="preserve"> pourrait souhaiter mettre en œuvre, voici une liste de recommandations stratégiques qui pourraient aider l</w:t>
      </w:r>
      <w:r w:rsidR="00E66383">
        <w:t>’</w:t>
      </w:r>
      <w:r>
        <w:t>Irak à se servir encore davantage de l</w:t>
      </w:r>
      <w:r w:rsidR="00E66383">
        <w:t>’</w:t>
      </w:r>
      <w:r>
        <w:t>ITIE en tant qu</w:t>
      </w:r>
      <w:r w:rsidR="00E66383">
        <w:t>’</w:t>
      </w:r>
      <w:r>
        <w:t xml:space="preserve">instrument de soutien aux réformes. </w:t>
      </w:r>
    </w:p>
    <w:p w14:paraId="4DF2A3A6" w14:textId="74AE40B3" w:rsidR="00484ABD" w:rsidRPr="00B47274" w:rsidRDefault="00484ABD" w:rsidP="00487513">
      <w:pPr>
        <w:pStyle w:val="Paragraphedeliste"/>
        <w:widowControl w:val="0"/>
        <w:numPr>
          <w:ilvl w:val="0"/>
          <w:numId w:val="10"/>
        </w:numPr>
        <w:suppressAutoHyphens/>
        <w:spacing w:before="120" w:after="240" w:line="240" w:lineRule="auto"/>
        <w:ind w:left="426"/>
        <w:contextualSpacing w:val="0"/>
        <w:jc w:val="both"/>
      </w:pPr>
      <w:r>
        <w:t>Conformément à l</w:t>
      </w:r>
      <w:r w:rsidR="00E66383">
        <w:t>’</w:t>
      </w:r>
      <w:r>
        <w:t>Exigence</w:t>
      </w:r>
      <w:r w:rsidR="00A0179E">
        <w:t> </w:t>
      </w:r>
      <w:r>
        <w:t xml:space="preserve">1.2, le </w:t>
      </w:r>
      <w:r w:rsidR="00EC7BA6">
        <w:t>Groupe multipartite</w:t>
      </w:r>
      <w:r w:rsidR="00751EFD">
        <w:t xml:space="preserve"> devra</w:t>
      </w:r>
      <w:r>
        <w:t xml:space="preserve"> élaborer un plan pour dialoguer plus activement avec le collège de l</w:t>
      </w:r>
      <w:r w:rsidR="00E66383">
        <w:t>’</w:t>
      </w:r>
      <w:r>
        <w:t xml:space="preserve">industrie, par exemple par le biais du Forum </w:t>
      </w:r>
      <w:r w:rsidR="003C41A8" w:rsidRPr="003C41A8">
        <w:t>de la compagnie pétrolière de l</w:t>
      </w:r>
      <w:r w:rsidR="00A0179E">
        <w:t>’</w:t>
      </w:r>
      <w:r w:rsidR="003C41A8" w:rsidRPr="003C41A8">
        <w:t>Irak</w:t>
      </w:r>
      <w:r>
        <w:t xml:space="preserve"> </w:t>
      </w:r>
      <w:r w:rsidR="003C41A8">
        <w:t>(</w:t>
      </w:r>
      <w:r>
        <w:t>Iraq Oil Company</w:t>
      </w:r>
      <w:r w:rsidR="003C41A8">
        <w:t xml:space="preserve"> Forum)</w:t>
      </w:r>
      <w:r>
        <w:t>. Afin de galvaniser l</w:t>
      </w:r>
      <w:r w:rsidR="00E66383">
        <w:t>’</w:t>
      </w:r>
      <w:r>
        <w:t>attention de l</w:t>
      </w:r>
      <w:r w:rsidR="00E66383">
        <w:t>’</w:t>
      </w:r>
      <w:r>
        <w:t>industrie, le G</w:t>
      </w:r>
      <w:r w:rsidR="003C41A8">
        <w:t>roupe multipartite</w:t>
      </w:r>
      <w:r w:rsidR="00751EFD">
        <w:t xml:space="preserve"> devra</w:t>
      </w:r>
      <w:r>
        <w:t xml:space="preserve"> veiller à ce que des consultations approfondies avec l</w:t>
      </w:r>
      <w:r w:rsidR="00E66383">
        <w:t>’</w:t>
      </w:r>
      <w:r>
        <w:t>industrie soient entreprises</w:t>
      </w:r>
      <w:r w:rsidR="0030570C">
        <w:t>, car elles</w:t>
      </w:r>
      <w:r>
        <w:t xml:space="preserve"> p</w:t>
      </w:r>
      <w:r w:rsidR="0030570C">
        <w:t>e</w:t>
      </w:r>
      <w:r>
        <w:t>r</w:t>
      </w:r>
      <w:r w:rsidR="00751EFD">
        <w:t>mettro</w:t>
      </w:r>
      <w:r w:rsidR="0030570C">
        <w:t>nt de</w:t>
      </w:r>
      <w:r>
        <w:t xml:space="preserve"> s</w:t>
      </w:r>
      <w:r w:rsidR="00E66383">
        <w:t>’</w:t>
      </w:r>
      <w:r>
        <w:t xml:space="preserve">assurer que les objectifs de </w:t>
      </w:r>
      <w:r w:rsidR="00682CBF">
        <w:t xml:space="preserve">la </w:t>
      </w:r>
      <w:r>
        <w:t>mise en œuvre de l</w:t>
      </w:r>
      <w:r w:rsidR="00E66383">
        <w:t>’</w:t>
      </w:r>
      <w:r>
        <w:t>ITIE so</w:t>
      </w:r>
      <w:r w:rsidR="00682CBF">
        <w:t>ie</w:t>
      </w:r>
      <w:r>
        <w:t>nt conformes aux priorités du collège de l</w:t>
      </w:r>
      <w:r w:rsidR="00E66383">
        <w:t>’</w:t>
      </w:r>
      <w:r>
        <w:t xml:space="preserve">industrie.    </w:t>
      </w:r>
    </w:p>
    <w:p w14:paraId="707CF783" w14:textId="1C0738D6" w:rsidR="00484ABD" w:rsidRPr="00B47274" w:rsidRDefault="00484ABD" w:rsidP="00487513">
      <w:pPr>
        <w:pStyle w:val="Paragraphedeliste"/>
        <w:widowControl w:val="0"/>
        <w:numPr>
          <w:ilvl w:val="0"/>
          <w:numId w:val="10"/>
        </w:numPr>
        <w:suppressAutoHyphens/>
        <w:spacing w:before="120" w:after="240" w:line="240" w:lineRule="auto"/>
        <w:ind w:left="426"/>
        <w:contextualSpacing w:val="0"/>
        <w:jc w:val="both"/>
      </w:pPr>
      <w:r>
        <w:t>Conformément à l</w:t>
      </w:r>
      <w:r w:rsidR="00E66383">
        <w:t>’</w:t>
      </w:r>
      <w:r>
        <w:t>Exigence</w:t>
      </w:r>
      <w:r w:rsidR="00A0179E">
        <w:t> </w:t>
      </w:r>
      <w:r>
        <w:t>1.3</w:t>
      </w:r>
      <w:r w:rsidR="00682CBF">
        <w:t xml:space="preserve"> et dans le but</w:t>
      </w:r>
      <w:r>
        <w:t xml:space="preserve"> de renforcer la mise en œuvre, les membres de la société civile siégeant au </w:t>
      </w:r>
      <w:r w:rsidR="00EC7BA6">
        <w:t>Groupe multipartite</w:t>
      </w:r>
      <w:r>
        <w:t xml:space="preserve"> pourr</w:t>
      </w:r>
      <w:r w:rsidR="00EC7BA6">
        <w:t>o</w:t>
      </w:r>
      <w:r>
        <w:t xml:space="preserve">nt souhaiter formaliser et renforcer leurs </w:t>
      </w:r>
      <w:r w:rsidR="00682CBF">
        <w:t>système</w:t>
      </w:r>
      <w:r>
        <w:t xml:space="preserve">s </w:t>
      </w:r>
      <w:r w:rsidR="00682CBF">
        <w:t>de</w:t>
      </w:r>
      <w:r>
        <w:t xml:space="preserve"> sollicit</w:t>
      </w:r>
      <w:r w:rsidR="00682CBF">
        <w:t>ation</w:t>
      </w:r>
      <w:r>
        <w:t xml:space="preserve"> </w:t>
      </w:r>
      <w:r w:rsidR="00682CBF">
        <w:t>de l’ensemble des membres d</w:t>
      </w:r>
      <w:r>
        <w:t>e</w:t>
      </w:r>
      <w:r w:rsidR="00682CBF">
        <w:t xml:space="preserve"> leur</w:t>
      </w:r>
      <w:r>
        <w:t xml:space="preserve"> collège</w:t>
      </w:r>
      <w:r w:rsidR="00682CBF">
        <w:t xml:space="preserve"> po</w:t>
      </w:r>
      <w:r>
        <w:t xml:space="preserve">ur </w:t>
      </w:r>
      <w:r w:rsidR="00682CBF">
        <w:t xml:space="preserve">ce qui concerne </w:t>
      </w:r>
      <w:r>
        <w:t>les principaux documents de l</w:t>
      </w:r>
      <w:r w:rsidR="00E66383">
        <w:t>’</w:t>
      </w:r>
      <w:r>
        <w:t>ITIE, en vue d</w:t>
      </w:r>
      <w:r w:rsidR="00E66383">
        <w:t>’</w:t>
      </w:r>
      <w:r>
        <w:t>élargir le contrôle de la déclaration et de la mise en œuvre de l</w:t>
      </w:r>
      <w:r w:rsidR="00E66383">
        <w:t>’</w:t>
      </w:r>
      <w:r>
        <w:t>ITIE</w:t>
      </w:r>
      <w:r w:rsidR="00682CBF">
        <w:t xml:space="preserve"> par le public</w:t>
      </w:r>
      <w:r>
        <w:t xml:space="preserve">. Des améliorations </w:t>
      </w:r>
      <w:r w:rsidR="00682CBF">
        <w:t xml:space="preserve">de </w:t>
      </w:r>
      <w:r>
        <w:t xml:space="preserve">base dans la gouvernance du </w:t>
      </w:r>
      <w:r w:rsidR="00EC7BA6">
        <w:t>Groupe multipartite</w:t>
      </w:r>
      <w:r>
        <w:t>, telles que l</w:t>
      </w:r>
      <w:r w:rsidR="00E66383">
        <w:t>’</w:t>
      </w:r>
      <w:r>
        <w:t>utilisation de l</w:t>
      </w:r>
      <w:r w:rsidR="00E66383">
        <w:t>’</w:t>
      </w:r>
      <w:r>
        <w:t>arabe en tant que langue de travail, devraient encourager une participation plus active de la société civile (</w:t>
      </w:r>
      <w:r>
        <w:rPr>
          <w:i/>
        </w:rPr>
        <w:t>cf. l</w:t>
      </w:r>
      <w:r w:rsidR="00E66383">
        <w:rPr>
          <w:i/>
        </w:rPr>
        <w:t>’</w:t>
      </w:r>
      <w:r>
        <w:rPr>
          <w:i/>
        </w:rPr>
        <w:t>Exigence</w:t>
      </w:r>
      <w:r w:rsidR="002C3458">
        <w:rPr>
          <w:i/>
        </w:rPr>
        <w:t> </w:t>
      </w:r>
      <w:r>
        <w:rPr>
          <w:i/>
        </w:rPr>
        <w:t>1.4</w:t>
      </w:r>
      <w:r>
        <w:t xml:space="preserve">). </w:t>
      </w:r>
    </w:p>
    <w:p w14:paraId="05303F20" w14:textId="3F1AEDB0" w:rsidR="00484ABD" w:rsidRPr="006F731F" w:rsidRDefault="00484ABD" w:rsidP="00487513">
      <w:pPr>
        <w:pStyle w:val="Paragraphedeliste"/>
        <w:widowControl w:val="0"/>
        <w:numPr>
          <w:ilvl w:val="0"/>
          <w:numId w:val="10"/>
        </w:numPr>
        <w:suppressAutoHyphens/>
        <w:spacing w:before="120" w:after="240" w:line="240" w:lineRule="auto"/>
        <w:ind w:left="426"/>
        <w:contextualSpacing w:val="0"/>
        <w:jc w:val="both"/>
      </w:pPr>
      <w:r>
        <w:t>Conformément à l</w:t>
      </w:r>
      <w:r w:rsidR="00E66383">
        <w:t>’</w:t>
      </w:r>
      <w:r>
        <w:t>Exigence</w:t>
      </w:r>
      <w:r w:rsidR="00A0179E">
        <w:t> </w:t>
      </w:r>
      <w:r>
        <w:t xml:space="preserve">1.4, afin de renforcer la mise en œuvre, le </w:t>
      </w:r>
      <w:r w:rsidR="00EC7BA6">
        <w:t>Groupe multipartite</w:t>
      </w:r>
      <w:r>
        <w:t xml:space="preserve"> devra mettre à jour ses règles de gouvernance </w:t>
      </w:r>
      <w:r w:rsidR="005D547A">
        <w:t xml:space="preserve">interne </w:t>
      </w:r>
      <w:r>
        <w:t>de manière à prendre en compte toutes les dispositions de l</w:t>
      </w:r>
      <w:r w:rsidR="00E66383">
        <w:t>’</w:t>
      </w:r>
      <w:r>
        <w:t>Exigence</w:t>
      </w:r>
      <w:r w:rsidR="002C3458">
        <w:t> </w:t>
      </w:r>
      <w:r>
        <w:t xml:space="preserve">1.4, élaborer une politique linguistique qui soit propice à la réalisation des objectifs de mise en œuvre en Irak et publier des procédures pour la nomination et le renouvellement des </w:t>
      </w:r>
      <w:r>
        <w:lastRenderedPageBreak/>
        <w:t xml:space="preserve">représentants du </w:t>
      </w:r>
      <w:r w:rsidR="00EC7BA6">
        <w:t>Groupe multipartite</w:t>
      </w:r>
      <w:r>
        <w:t xml:space="preserve">, y compris </w:t>
      </w:r>
      <w:r w:rsidR="005D547A">
        <w:t xml:space="preserve">celles relatives à </w:t>
      </w:r>
      <w:r>
        <w:t xml:space="preserve">la durée des mandats. Le </w:t>
      </w:r>
      <w:r w:rsidR="00EC7BA6">
        <w:t>Groupe multipartite</w:t>
      </w:r>
      <w:r>
        <w:t xml:space="preserve"> devra revoir ses procédures internes de prise de décision afin de s</w:t>
      </w:r>
      <w:r w:rsidR="00E66383">
        <w:t>’</w:t>
      </w:r>
      <w:r w:rsidR="00647BA8">
        <w:t>assurer que ses règles statutaires</w:t>
      </w:r>
      <w:r>
        <w:t xml:space="preserve"> sont conformes à la pratique actuelle et traiter chacun des collèges sur un même pied d</w:t>
      </w:r>
      <w:r w:rsidR="00E66383">
        <w:t>’</w:t>
      </w:r>
      <w:r>
        <w:t xml:space="preserve">égalité. Le </w:t>
      </w:r>
      <w:r w:rsidR="00EC7BA6">
        <w:t>Groupe multipartite</w:t>
      </w:r>
      <w:r>
        <w:t xml:space="preserve"> devrait également préciser s</w:t>
      </w:r>
      <w:r w:rsidR="00E66383">
        <w:t>’</w:t>
      </w:r>
      <w:r>
        <w:t>il existe une pratique d</w:t>
      </w:r>
      <w:r w:rsidR="00E66383">
        <w:t>’</w:t>
      </w:r>
      <w:r>
        <w:t>indemnités journalières pour assister aux réunions de l</w:t>
      </w:r>
      <w:r w:rsidR="00E66383">
        <w:t>’</w:t>
      </w:r>
      <w:r w:rsidR="00647BA8">
        <w:t>ITIE ou</w:t>
      </w:r>
      <w:r>
        <w:t xml:space="preserve"> d</w:t>
      </w:r>
      <w:r w:rsidR="00E66383">
        <w:t>’</w:t>
      </w:r>
      <w:r>
        <w:t xml:space="preserve">autres paiements versés aux membres du </w:t>
      </w:r>
      <w:r w:rsidR="00EC7BA6">
        <w:t>Groupe multipartite</w:t>
      </w:r>
      <w:r>
        <w:t>, envisager de tenir des registres de présence pu</w:t>
      </w:r>
      <w:r w:rsidR="002416D0">
        <w:t xml:space="preserve">blics et considérer de publier ses procès-verbaux </w:t>
      </w:r>
      <w:r>
        <w:t xml:space="preserve">en ligne. </w:t>
      </w:r>
    </w:p>
    <w:p w14:paraId="26F25CB5" w14:textId="4E44CA41" w:rsidR="00484ABD" w:rsidRPr="008458BC" w:rsidRDefault="00DA2233" w:rsidP="00487513">
      <w:pPr>
        <w:pStyle w:val="Paragraphedeliste"/>
        <w:widowControl w:val="0"/>
        <w:numPr>
          <w:ilvl w:val="0"/>
          <w:numId w:val="10"/>
        </w:numPr>
        <w:suppressAutoHyphens/>
        <w:spacing w:before="120" w:after="240" w:line="240" w:lineRule="auto"/>
        <w:ind w:left="426"/>
        <w:contextualSpacing w:val="0"/>
        <w:jc w:val="both"/>
      </w:pPr>
      <w:r w:rsidRPr="00DA2233">
        <w:t>Conformément à l</w:t>
      </w:r>
      <w:r w:rsidR="00A0179E">
        <w:t>’</w:t>
      </w:r>
      <w:r w:rsidRPr="00DA2233">
        <w:t>Exigence</w:t>
      </w:r>
      <w:r w:rsidR="00A0179E">
        <w:t> </w:t>
      </w:r>
      <w:r w:rsidRPr="00DA2233">
        <w:t>1</w:t>
      </w:r>
      <w:r w:rsidR="000E24F7">
        <w:t>.</w:t>
      </w:r>
      <w:r w:rsidRPr="00DA2233">
        <w:t>5, les membres du Groupe multipartite devront à l</w:t>
      </w:r>
      <w:r w:rsidR="00A0179E">
        <w:t>’</w:t>
      </w:r>
      <w:r w:rsidRPr="00DA2233">
        <w:t>avenir mener des consultations avec les parties prenantes de tous les collèges et s</w:t>
      </w:r>
      <w:r w:rsidR="00A0179E">
        <w:t>’</w:t>
      </w:r>
      <w:r w:rsidRPr="00DA2233">
        <w:t>assurer que les priorités nationales soient adéquatement reflétées dans le plan de travail, ce qui contribuera à renforcer les efforts récents visant à</w:t>
      </w:r>
      <w:r w:rsidR="0027612C">
        <w:t xml:space="preserve"> aligner ce plan de travail sur</w:t>
      </w:r>
      <w:r w:rsidRPr="00DA2233">
        <w:t xml:space="preserve"> les exigences de l</w:t>
      </w:r>
      <w:r w:rsidR="00A0179E">
        <w:t>’</w:t>
      </w:r>
      <w:r w:rsidRPr="00DA2233">
        <w:t xml:space="preserve">ITIE. </w:t>
      </w:r>
    </w:p>
    <w:p w14:paraId="3ADB5A6E" w14:textId="6B5719FD" w:rsidR="00484ABD" w:rsidRPr="00B26AB7" w:rsidRDefault="00DA2233" w:rsidP="00487513">
      <w:pPr>
        <w:pStyle w:val="Paragraphedeliste"/>
        <w:widowControl w:val="0"/>
        <w:numPr>
          <w:ilvl w:val="0"/>
          <w:numId w:val="10"/>
        </w:numPr>
        <w:suppressAutoHyphens/>
        <w:spacing w:before="120" w:after="240" w:line="240" w:lineRule="auto"/>
        <w:ind w:left="426"/>
        <w:contextualSpacing w:val="0"/>
        <w:jc w:val="both"/>
      </w:pPr>
      <w:r w:rsidRPr="00DA2233">
        <w:t>Conformément à l</w:t>
      </w:r>
      <w:r w:rsidR="00A0179E">
        <w:t>’</w:t>
      </w:r>
      <w:r w:rsidRPr="00DA2233">
        <w:t>Exigence</w:t>
      </w:r>
      <w:r w:rsidR="00A0179E">
        <w:t> </w:t>
      </w:r>
      <w:r w:rsidRPr="00DA2233">
        <w:t>2.1, le Groupe multipartite devra s</w:t>
      </w:r>
      <w:r w:rsidR="00A0179E">
        <w:t>’</w:t>
      </w:r>
      <w:r w:rsidRPr="00DA2233">
        <w:t>assurer que les Rapports ITIE futurs fournissent des descriptions des principales lois et conditions fiscales s</w:t>
      </w:r>
      <w:r w:rsidR="00A0179E">
        <w:t>’</w:t>
      </w:r>
      <w:r w:rsidRPr="00DA2233">
        <w:t>appliquant aux secteurs minier, pétrolier et gazier, comprenant notamment un aperçu du rôle des principales entités gouvernementales impliquées dans le suivi desdits secteurs ainsi que dans la supervision des réformes récentes ou en cours. Le Groupe multipartite pourra envisager la possibilité d</w:t>
      </w:r>
      <w:r w:rsidR="00A0179E">
        <w:t>’</w:t>
      </w:r>
      <w:r w:rsidRPr="00DA2233">
        <w:t>utiliser le site Internet de l</w:t>
      </w:r>
      <w:r w:rsidR="00A0179E">
        <w:t>’</w:t>
      </w:r>
      <w:r w:rsidRPr="00DA2233">
        <w:t>ITIE-Irak en tant que dépositaire des informations portant sur le contexte juridique et les conditions fiscales qui s</w:t>
      </w:r>
      <w:r w:rsidR="00A0179E">
        <w:t>’</w:t>
      </w:r>
      <w:r w:rsidRPr="00DA2233">
        <w:t xml:space="preserve">appliquent aux industries minière, pétrolière et gazière et qui </w:t>
      </w:r>
      <w:r>
        <w:t>sont régulièrement mises à jour</w:t>
      </w:r>
      <w:r w:rsidRPr="00DA2233">
        <w:t xml:space="preserve">. </w:t>
      </w:r>
    </w:p>
    <w:p w14:paraId="0C28FD2A" w14:textId="2428ECE5" w:rsidR="00484ABD" w:rsidRPr="00B26AB7" w:rsidRDefault="00DB3B61" w:rsidP="00487513">
      <w:pPr>
        <w:pStyle w:val="Paragraphedeliste"/>
        <w:widowControl w:val="0"/>
        <w:numPr>
          <w:ilvl w:val="0"/>
          <w:numId w:val="10"/>
        </w:numPr>
        <w:suppressAutoHyphens/>
        <w:spacing w:before="120" w:after="240" w:line="240" w:lineRule="auto"/>
        <w:ind w:left="426"/>
        <w:contextualSpacing w:val="0"/>
        <w:jc w:val="both"/>
      </w:pPr>
      <w:r w:rsidRPr="00DB3B61">
        <w:t>Conformément à l</w:t>
      </w:r>
      <w:r w:rsidR="00A0179E">
        <w:t>’</w:t>
      </w:r>
      <w:r w:rsidRPr="00DB3B61">
        <w:t>Exigence</w:t>
      </w:r>
      <w:r w:rsidR="00A0179E">
        <w:t> </w:t>
      </w:r>
      <w:r w:rsidRPr="00DB3B61">
        <w:t>2.2, le Groupe multipartite devra s</w:t>
      </w:r>
      <w:r w:rsidR="00A0179E">
        <w:t>’</w:t>
      </w:r>
      <w:r w:rsidRPr="00DB3B61">
        <w:t>assurer que les Rapports ITIE futurs fassent clairement état du nombre de licences (y compris les contrats de services techniques) accordé</w:t>
      </w:r>
      <w:r w:rsidR="002C3458">
        <w:t>e</w:t>
      </w:r>
      <w:r w:rsidRPr="00DB3B61">
        <w:t>s et transféré</w:t>
      </w:r>
      <w:r w:rsidR="002C3458">
        <w:t>e</w:t>
      </w:r>
      <w:r w:rsidRPr="00DB3B61">
        <w:t>s au cours de l</w:t>
      </w:r>
      <w:r w:rsidR="00A0179E">
        <w:t>’</w:t>
      </w:r>
      <w:r w:rsidRPr="00DB3B61">
        <w:t>année/ des années examinée(s)</w:t>
      </w:r>
      <w:r w:rsidR="00501F2F">
        <w:t xml:space="preserve"> tant dans le secteur des min</w:t>
      </w:r>
      <w:r w:rsidRPr="00DB3B61">
        <w:t>es que dans ceux du pétrole et du gaz, qu</w:t>
      </w:r>
      <w:r w:rsidR="00A0179E">
        <w:t>’</w:t>
      </w:r>
      <w:r w:rsidRPr="00DB3B61">
        <w:t>ils décrivent les processus effectivement utilisés et qu</w:t>
      </w:r>
      <w:r w:rsidR="00A0179E">
        <w:t>’</w:t>
      </w:r>
      <w:r w:rsidRPr="00DB3B61">
        <w:t xml:space="preserve">ils mettent en évidence tous les écarts majeurs à ceux-ci dans la pratique. </w:t>
      </w:r>
      <w:r w:rsidR="007D1611">
        <w:t>Le G</w:t>
      </w:r>
      <w:r w:rsidRPr="00DB3B61">
        <w:t>roupe multipartite devra préciser les critères techniques et financiers (et leurs pondérations) utilisés pour évaluer les octrois et les transferts de licences et de titres au sein des consortiums du TSC, tant pour ce qui concerne les contrats discrétionnaires relatifs au gaz et au pétrole (notamment dans l</w:t>
      </w:r>
      <w:r w:rsidR="00A0179E">
        <w:t>’</w:t>
      </w:r>
      <w:r w:rsidRPr="00DB3B61">
        <w:t>ARK) que pour les octrois et les transfert</w:t>
      </w:r>
      <w:r w:rsidR="007D1611">
        <w:t>s de licences du secteur minier</w:t>
      </w:r>
      <w:r w:rsidRPr="00DB3B61">
        <w:t>.</w:t>
      </w:r>
      <w:r w:rsidR="007D1611">
        <w:t xml:space="preserve"> </w:t>
      </w:r>
      <w:r w:rsidR="00347E11">
        <w:t>Le Groupe multipartite pourra</w:t>
      </w:r>
      <w:r w:rsidR="00484ABD">
        <w:t xml:space="preserve"> également souhaiter commenter l</w:t>
      </w:r>
      <w:r w:rsidR="00E66383">
        <w:t>’</w:t>
      </w:r>
      <w:r w:rsidR="00484ABD">
        <w:t>efficacité du système actuel d</w:t>
      </w:r>
      <w:r w:rsidR="00E66383">
        <w:t>’</w:t>
      </w:r>
      <w:r w:rsidR="00484ABD">
        <w:t>octroi et de transfert des contrats, afin de clarifier les procédures et de limiter les écarts non négligeables.</w:t>
      </w:r>
    </w:p>
    <w:p w14:paraId="1B84E783" w14:textId="73775EB1" w:rsidR="00484ABD" w:rsidRPr="00B26AB7" w:rsidRDefault="00347E11" w:rsidP="00487513">
      <w:pPr>
        <w:pStyle w:val="Paragraphedeliste"/>
        <w:widowControl w:val="0"/>
        <w:numPr>
          <w:ilvl w:val="0"/>
          <w:numId w:val="10"/>
        </w:numPr>
        <w:suppressAutoHyphens/>
        <w:spacing w:before="120" w:after="240" w:line="240" w:lineRule="auto"/>
        <w:ind w:left="426"/>
        <w:contextualSpacing w:val="0"/>
        <w:jc w:val="both"/>
      </w:pPr>
      <w:r>
        <w:t>Le Groupe multipartite devra</w:t>
      </w:r>
      <w:r w:rsidR="00484ABD">
        <w:t xml:space="preserve"> s</w:t>
      </w:r>
      <w:r w:rsidR="00E66383">
        <w:t>’</w:t>
      </w:r>
      <w:r w:rsidR="00484ABD">
        <w:t>assurer que les futurs Rapports ITIE de l</w:t>
      </w:r>
      <w:r w:rsidR="00E66383">
        <w:t>’</w:t>
      </w:r>
      <w:r w:rsidR="00484ABD">
        <w:t>Irak fournissent toutes les informations couvertes par l</w:t>
      </w:r>
      <w:r w:rsidR="00E66383">
        <w:t>’</w:t>
      </w:r>
      <w:r w:rsidR="00484ABD">
        <w:t>Exigence</w:t>
      </w:r>
      <w:r w:rsidR="002C3458">
        <w:t> </w:t>
      </w:r>
      <w:r w:rsidR="00484ABD">
        <w:t xml:space="preserve">2.3 pour toutes les licences détenues </w:t>
      </w:r>
      <w:r w:rsidR="00501F2F">
        <w:t>par des entreprises important</w:t>
      </w:r>
      <w:r w:rsidR="00484ABD">
        <w:t>es (y compris dans les secteurs pétrolier, gazier et minier) ou fournissent un lien vers l</w:t>
      </w:r>
      <w:r w:rsidR="00E66383">
        <w:t>’</w:t>
      </w:r>
      <w:r w:rsidR="00484ABD">
        <w:t>endroit où ces informations sur les licence</w:t>
      </w:r>
      <w:r>
        <w:t>s</w:t>
      </w:r>
      <w:r w:rsidR="00484ABD">
        <w:t xml:space="preserve"> sont disponibles au public. Le </w:t>
      </w:r>
      <w:r w:rsidR="00EC7BA6">
        <w:t>Groupe multipartite</w:t>
      </w:r>
      <w:r w:rsidR="00484ABD">
        <w:t xml:space="preserve"> pourra également souhaiter travailler avec le ministère du Pétrole et </w:t>
      </w:r>
      <w:r w:rsidR="00D302BB">
        <w:t xml:space="preserve">le </w:t>
      </w:r>
      <w:r w:rsidR="00484ABD">
        <w:t>MIM pour divulguer les informations sur les licences concernant toutes les entreprises significatives par le biais d</w:t>
      </w:r>
      <w:r w:rsidR="00E66383">
        <w:t>’</w:t>
      </w:r>
      <w:r w:rsidR="00484ABD">
        <w:t>un système cadastral accessible au public et fournir un accès gratuit à ce type de registre en ligne.</w:t>
      </w:r>
    </w:p>
    <w:p w14:paraId="54B2495B" w14:textId="41A6E0CD" w:rsidR="00484ABD" w:rsidRPr="00B26AB7" w:rsidRDefault="00484ABD" w:rsidP="00487513">
      <w:pPr>
        <w:pStyle w:val="Paragraphedeliste"/>
        <w:widowControl w:val="0"/>
        <w:numPr>
          <w:ilvl w:val="0"/>
          <w:numId w:val="10"/>
        </w:numPr>
        <w:suppressAutoHyphens/>
        <w:spacing w:before="120" w:after="240" w:line="240" w:lineRule="auto"/>
        <w:ind w:left="426"/>
        <w:contextualSpacing w:val="0"/>
        <w:jc w:val="both"/>
      </w:pPr>
      <w:r>
        <w:t>Conformément à l</w:t>
      </w:r>
      <w:r w:rsidR="00E66383">
        <w:t>’</w:t>
      </w:r>
      <w:r>
        <w:t>Exigence</w:t>
      </w:r>
      <w:r w:rsidR="002C3458">
        <w:t> </w:t>
      </w:r>
      <w:r>
        <w:t>2.4, le G</w:t>
      </w:r>
      <w:r w:rsidR="00347E11">
        <w:t>roupe multipartite</w:t>
      </w:r>
      <w:r>
        <w:t xml:space="preserve"> devra collaborer avec les représentants du gouvernement pour clarifier la politique du gouvernement fédéral en matière de divulgation des contrats et documenter les cas de divulgation des contrats, soit par le biais de futurs Rapports ITIE de l</w:t>
      </w:r>
      <w:r w:rsidR="00E66383">
        <w:t>’</w:t>
      </w:r>
      <w:r>
        <w:t>Irak, soit par d</w:t>
      </w:r>
      <w:r w:rsidR="00E66383">
        <w:t>’</w:t>
      </w:r>
      <w:r>
        <w:t>autres canaux tels que le site Internet de l</w:t>
      </w:r>
      <w:r w:rsidR="00E66383">
        <w:t>’</w:t>
      </w:r>
      <w:r w:rsidR="00D302BB">
        <w:t>ITIE-</w:t>
      </w:r>
      <w:r>
        <w:t xml:space="preserve">Irak. Le </w:t>
      </w:r>
      <w:r w:rsidR="00347E11" w:rsidRPr="00347E11">
        <w:t xml:space="preserve">Groupe multipartite </w:t>
      </w:r>
      <w:r>
        <w:t xml:space="preserve">est également encouragé à entreprendre un examen détaillé </w:t>
      </w:r>
      <w:r w:rsidR="00347E11">
        <w:t xml:space="preserve">de ceux </w:t>
      </w:r>
      <w:r>
        <w:t xml:space="preserve">des CPP qui </w:t>
      </w:r>
      <w:r w:rsidR="00347E11">
        <w:t>aur</w:t>
      </w:r>
      <w:r>
        <w:t>ont été publiés par le GRK, en vue de clarifier la pratique de la divulgation des contrats dans le GRK.</w:t>
      </w:r>
    </w:p>
    <w:p w14:paraId="56B50DCF" w14:textId="49A8E47D" w:rsidR="00484ABD" w:rsidRPr="00B26AB7" w:rsidRDefault="00484ABD" w:rsidP="00487513">
      <w:pPr>
        <w:pStyle w:val="Paragraphedeliste"/>
        <w:widowControl w:val="0"/>
        <w:numPr>
          <w:ilvl w:val="0"/>
          <w:numId w:val="10"/>
        </w:numPr>
        <w:suppressAutoHyphens/>
        <w:spacing w:before="120" w:after="240" w:line="240" w:lineRule="auto"/>
        <w:ind w:left="426"/>
        <w:contextualSpacing w:val="0"/>
        <w:jc w:val="both"/>
      </w:pPr>
      <w:r>
        <w:t>Conformément à l</w:t>
      </w:r>
      <w:r w:rsidR="00E66383">
        <w:t>’</w:t>
      </w:r>
      <w:r>
        <w:t>Exigence</w:t>
      </w:r>
      <w:r w:rsidR="002C3458">
        <w:t> </w:t>
      </w:r>
      <w:r>
        <w:t xml:space="preserve">2.5, le </w:t>
      </w:r>
      <w:bookmarkStart w:id="3" w:name="_Hlk494652605"/>
      <w:r w:rsidR="00347E11" w:rsidRPr="00347E11">
        <w:t xml:space="preserve">Groupe multipartite </w:t>
      </w:r>
      <w:bookmarkEnd w:id="3"/>
      <w:r>
        <w:t xml:space="preserve">devra clarifier la politique du gouvernement sur </w:t>
      </w:r>
      <w:r>
        <w:lastRenderedPageBreak/>
        <w:t>la divulgation de la propriété réelle dans les futurs Rapports ITIE de l</w:t>
      </w:r>
      <w:r w:rsidR="00E66383">
        <w:t>’</w:t>
      </w:r>
      <w:r>
        <w:t xml:space="preserve">Irak et fournir la propriété légale de toutes les entreprises significatives. Le </w:t>
      </w:r>
      <w:r w:rsidR="00347E11" w:rsidRPr="00347E11">
        <w:t xml:space="preserve">Groupe multipartite </w:t>
      </w:r>
      <w:r>
        <w:t>pourra</w:t>
      </w:r>
      <w:r w:rsidR="00D302BB">
        <w:t>it souhaiter étudi</w:t>
      </w:r>
      <w:r>
        <w:t>er la manière dont la déclaration des transferts de participation dans les consortiums de CST et les licences minières, selon l</w:t>
      </w:r>
      <w:r w:rsidR="00E66383">
        <w:t>’</w:t>
      </w:r>
      <w:r>
        <w:t>Exigence</w:t>
      </w:r>
      <w:r w:rsidR="002C3458">
        <w:t> </w:t>
      </w:r>
      <w:r>
        <w:t>2.2, peut contribuer à soutenir le travail sur la divulgation de la propriété réelle.</w:t>
      </w:r>
    </w:p>
    <w:p w14:paraId="7ADFB1A9" w14:textId="49825811" w:rsidR="00484ABD" w:rsidRPr="00B26AB7" w:rsidRDefault="00484ABD" w:rsidP="0033333C">
      <w:pPr>
        <w:pStyle w:val="Paragraphedeliste"/>
        <w:widowControl w:val="0"/>
        <w:numPr>
          <w:ilvl w:val="0"/>
          <w:numId w:val="10"/>
        </w:numPr>
        <w:suppressAutoHyphens/>
        <w:spacing w:before="120" w:after="240" w:line="240" w:lineRule="auto"/>
        <w:ind w:left="426"/>
        <w:contextualSpacing w:val="0"/>
        <w:jc w:val="both"/>
      </w:pPr>
      <w:r>
        <w:t xml:space="preserve">Le </w:t>
      </w:r>
      <w:r w:rsidR="00006738" w:rsidRPr="00006738">
        <w:t xml:space="preserve">Groupe multipartite </w:t>
      </w:r>
      <w:r>
        <w:t>devra veiller à ce que tous les aspects de l</w:t>
      </w:r>
      <w:r w:rsidR="00E66383">
        <w:t>’</w:t>
      </w:r>
      <w:r>
        <w:t>Exigence</w:t>
      </w:r>
      <w:r w:rsidR="002C3458">
        <w:t> </w:t>
      </w:r>
      <w:r>
        <w:t xml:space="preserve">2.6 soient traités de manière adéquate au cours du cadrage </w:t>
      </w:r>
      <w:r w:rsidR="00006738">
        <w:t>pour l</w:t>
      </w:r>
      <w:r>
        <w:t>es futurs Rapports ITIE de l</w:t>
      </w:r>
      <w:r w:rsidR="00E66383">
        <w:t>’</w:t>
      </w:r>
      <w:r>
        <w:t>Irak. Il devra clairement établir sa définition des entreprises d</w:t>
      </w:r>
      <w:r w:rsidR="00E66383">
        <w:t>’</w:t>
      </w:r>
      <w:r>
        <w:t xml:space="preserve">État afin de délimiter ces dernières dans le périmètre des Rapports ITIE. Le </w:t>
      </w:r>
      <w:bookmarkStart w:id="4" w:name="_Hlk494652978"/>
      <w:r w:rsidR="0033333C" w:rsidRPr="0033333C">
        <w:t xml:space="preserve">Groupe multipartite </w:t>
      </w:r>
      <w:bookmarkEnd w:id="4"/>
      <w:r>
        <w:t>devra inclure une liste exhaustive des entreprises d</w:t>
      </w:r>
      <w:r w:rsidR="00E66383">
        <w:t>’</w:t>
      </w:r>
      <w:r>
        <w:t>État et de leurs filiales dans le prochain Rapport ITI</w:t>
      </w:r>
      <w:r w:rsidR="0033333C">
        <w:t>E</w:t>
      </w:r>
      <w:r>
        <w:t xml:space="preserve"> de l</w:t>
      </w:r>
      <w:r w:rsidR="00E66383">
        <w:t>’</w:t>
      </w:r>
      <w:r>
        <w:t>Irak, en précisant les relations financières qui existent en pratique entre les entreprises d</w:t>
      </w:r>
      <w:r w:rsidR="00E66383">
        <w:t>’</w:t>
      </w:r>
      <w:r>
        <w:t>État et le gouvernement, ainsi que les prêts et garanties de prêts du gouvernement ou des entreprises d</w:t>
      </w:r>
      <w:r w:rsidR="00E66383">
        <w:t>’</w:t>
      </w:r>
      <w:r>
        <w:t xml:space="preserve">État aux entreprises minières, pétrolières et gazières en amont. Le </w:t>
      </w:r>
      <w:r w:rsidR="0033333C" w:rsidRPr="0033333C">
        <w:t xml:space="preserve">Groupe multipartite </w:t>
      </w:r>
      <w:r>
        <w:t>pourra</w:t>
      </w:r>
      <w:r w:rsidR="00BF7697">
        <w:t>it</w:t>
      </w:r>
      <w:r>
        <w:t xml:space="preserve"> souhaiter travailler en étroite collaboration avec le ministère du Pétrole et les entreprises pétrolières nationales pour établir la structure des divulgations de routine comme moyen de publier les informations requises en vertu de la Norme ITIE de manière plus ponctuelle.</w:t>
      </w:r>
    </w:p>
    <w:p w14:paraId="72AF9D13" w14:textId="0A40E0A6" w:rsidR="00484ABD" w:rsidRPr="00B26AB7" w:rsidRDefault="00484ABD" w:rsidP="00487513">
      <w:pPr>
        <w:pStyle w:val="Paragraphedeliste"/>
        <w:widowControl w:val="0"/>
        <w:numPr>
          <w:ilvl w:val="0"/>
          <w:numId w:val="10"/>
        </w:numPr>
        <w:suppressAutoHyphens/>
        <w:spacing w:before="120" w:after="240" w:line="240" w:lineRule="auto"/>
        <w:ind w:left="426"/>
        <w:contextualSpacing w:val="0"/>
        <w:jc w:val="both"/>
      </w:pPr>
      <w:r>
        <w:t>Conformément à l</w:t>
      </w:r>
      <w:r w:rsidR="00E66383">
        <w:t>’</w:t>
      </w:r>
      <w:r>
        <w:t>Exigence</w:t>
      </w:r>
      <w:r w:rsidR="002C3458">
        <w:t> </w:t>
      </w:r>
      <w:r>
        <w:t xml:space="preserve">3.2, le </w:t>
      </w:r>
      <w:r w:rsidR="0033333C" w:rsidRPr="0033333C">
        <w:t xml:space="preserve">Groupe multipartite </w:t>
      </w:r>
      <w:r>
        <w:t>devra s</w:t>
      </w:r>
      <w:r w:rsidR="00E66383">
        <w:t>’</w:t>
      </w:r>
      <w:r>
        <w:t>assurer que les futurs Rapports ITIE de l</w:t>
      </w:r>
      <w:r w:rsidR="00E66383">
        <w:t>’</w:t>
      </w:r>
      <w:r>
        <w:t>Irak divulguent les volumes et les valeurs de production pour toutes les matières premières produites par les industries extractives, y compris le pétrole brut, le gaz naturel et tous les minerais produits. Afin de poursuivre les améliorations en vertu de l</w:t>
      </w:r>
      <w:r w:rsidR="00E66383">
        <w:t>’</w:t>
      </w:r>
      <w:r>
        <w:t>Exigence</w:t>
      </w:r>
      <w:r w:rsidR="002C3458">
        <w:t> </w:t>
      </w:r>
      <w:r>
        <w:t xml:space="preserve">3.1, le </w:t>
      </w:r>
      <w:r w:rsidR="00EC7BA6">
        <w:t>Groupe multipartite</w:t>
      </w:r>
      <w:r>
        <w:t xml:space="preserve"> pourra</w:t>
      </w:r>
      <w:r w:rsidR="00BF7697">
        <w:t>it</w:t>
      </w:r>
      <w:r>
        <w:t xml:space="preserve"> souhaiter élargir sa couverture du secteur minier en incluant des mises à jour plus spécifiques sur la production actuelle, principalement dans l</w:t>
      </w:r>
      <w:r w:rsidR="00E66383">
        <w:t>’</w:t>
      </w:r>
      <w:r>
        <w:t>exploitation de carrières.</w:t>
      </w:r>
    </w:p>
    <w:p w14:paraId="5629C555" w14:textId="1FECFA92" w:rsidR="00484ABD" w:rsidRPr="00B26AB7" w:rsidRDefault="00484ABD" w:rsidP="00487513">
      <w:pPr>
        <w:pStyle w:val="Paragraphedeliste"/>
        <w:widowControl w:val="0"/>
        <w:numPr>
          <w:ilvl w:val="0"/>
          <w:numId w:val="10"/>
        </w:numPr>
        <w:suppressAutoHyphens/>
        <w:spacing w:before="120" w:after="240" w:line="240" w:lineRule="auto"/>
        <w:ind w:left="426"/>
        <w:contextualSpacing w:val="0"/>
        <w:jc w:val="both"/>
      </w:pPr>
      <w:r>
        <w:t>Conformément à l</w:t>
      </w:r>
      <w:r w:rsidR="00E66383">
        <w:t>’</w:t>
      </w:r>
      <w:r>
        <w:t>Exigence</w:t>
      </w:r>
      <w:r w:rsidR="002C3458">
        <w:t> </w:t>
      </w:r>
      <w:r>
        <w:t xml:space="preserve">4.1, le </w:t>
      </w:r>
      <w:r w:rsidR="0033333C" w:rsidRPr="0033333C">
        <w:t xml:space="preserve">Groupe multipartite </w:t>
      </w:r>
      <w:r>
        <w:t>devra envisager</w:t>
      </w:r>
      <w:r w:rsidR="002402D7">
        <w:t xml:space="preserve"> </w:t>
      </w:r>
      <w:r w:rsidR="00995FA6">
        <w:t>l</w:t>
      </w:r>
      <w:r w:rsidR="00E66383">
        <w:t>’</w:t>
      </w:r>
      <w:r>
        <w:t>entrepr</w:t>
      </w:r>
      <w:r w:rsidR="00995FA6">
        <w:t>is</w:t>
      </w:r>
      <w:r>
        <w:t xml:space="preserve">e </w:t>
      </w:r>
      <w:r w:rsidR="00995FA6">
        <w:t>d’</w:t>
      </w:r>
      <w:r>
        <w:t>une étude de cadrage exhaustive afin d</w:t>
      </w:r>
      <w:r w:rsidR="00E66383">
        <w:t>’</w:t>
      </w:r>
      <w:r>
        <w:t xml:space="preserve">examiner les options </w:t>
      </w:r>
      <w:r w:rsidR="002402D7">
        <w:t>de fixation</w:t>
      </w:r>
      <w:r>
        <w:t xml:space="preserve"> des seuils de matérialité</w:t>
      </w:r>
      <w:r w:rsidR="002402D7">
        <w:t>, ce</w:t>
      </w:r>
      <w:r>
        <w:t xml:space="preserve"> avant d</w:t>
      </w:r>
      <w:r w:rsidR="00E66383">
        <w:t>’</w:t>
      </w:r>
      <w:r>
        <w:t xml:space="preserve">accepter les TdR pour son prochain Rapport ITIE. Le </w:t>
      </w:r>
      <w:r w:rsidR="0033333C" w:rsidRPr="0033333C">
        <w:t xml:space="preserve">Groupe multipartite </w:t>
      </w:r>
      <w:r>
        <w:t>d</w:t>
      </w:r>
      <w:r w:rsidR="0033333C">
        <w:t>evra</w:t>
      </w:r>
      <w:r>
        <w:t xml:space="preserve"> veiller à ce que tous les flux de revenus significatifs (à la fois dans le secteur pétrolier et dans le secteur minier) répertoriés sous l</w:t>
      </w:r>
      <w:r w:rsidR="00E66383">
        <w:t>’</w:t>
      </w:r>
      <w:r>
        <w:t xml:space="preserve">Exigence 4.1.b soient inclus dans le périmètre du rapprochement, et que le seuil de matérialité pour </w:t>
      </w:r>
      <w:r w:rsidR="00BF7697">
        <w:t>la sélection d</w:t>
      </w:r>
      <w:r>
        <w:t>es entreprises garantisse que tous les paiements susceptibles d</w:t>
      </w:r>
      <w:r w:rsidR="00E66383">
        <w:t>’</w:t>
      </w:r>
      <w:r>
        <w:t>avoir une incidence sur l</w:t>
      </w:r>
      <w:r w:rsidR="00E66383">
        <w:t>’</w:t>
      </w:r>
      <w:r>
        <w:t xml:space="preserve">exhaustivité de la déclaration ITIE sont inclus dans le périmètre du rapprochement. La liste des entreprises </w:t>
      </w:r>
      <w:r w:rsidR="002402D7">
        <w:t>dont les</w:t>
      </w:r>
      <w:r>
        <w:t xml:space="preserve"> revenus </w:t>
      </w:r>
      <w:r w:rsidR="002402D7">
        <w:t xml:space="preserve">sont </w:t>
      </w:r>
      <w:r>
        <w:t>significatifs d</w:t>
      </w:r>
      <w:r w:rsidR="002402D7">
        <w:t>evra</w:t>
      </w:r>
      <w:r>
        <w:t xml:space="preserve"> également être clairement é</w:t>
      </w:r>
      <w:r w:rsidR="002402D7">
        <w:t>tabli</w:t>
      </w:r>
      <w:r>
        <w:t xml:space="preserve">e. Le </w:t>
      </w:r>
      <w:r w:rsidR="0033333C" w:rsidRPr="0033333C">
        <w:t xml:space="preserve">Groupe multipartite </w:t>
      </w:r>
      <w:r>
        <w:t>est invité à détermi</w:t>
      </w:r>
      <w:r w:rsidR="002402D7">
        <w:t>ner si l’établissement</w:t>
      </w:r>
      <w:r>
        <w:t xml:space="preserve"> d</w:t>
      </w:r>
      <w:r w:rsidR="00E66383">
        <w:t>’</w:t>
      </w:r>
      <w:r>
        <w:t xml:space="preserve">un seuil de matérialité quantitatif pour </w:t>
      </w:r>
      <w:r w:rsidR="002402D7">
        <w:t xml:space="preserve">la </w:t>
      </w:r>
      <w:r>
        <w:t xml:space="preserve">sélection </w:t>
      </w:r>
      <w:r w:rsidR="002402D7">
        <w:t>d</w:t>
      </w:r>
      <w:r>
        <w:t xml:space="preserve">es entreprises </w:t>
      </w:r>
      <w:r w:rsidR="0033333C">
        <w:t xml:space="preserve">pourra </w:t>
      </w:r>
      <w:r>
        <w:t xml:space="preserve">garantir la réalisation de ces objectifs. Le </w:t>
      </w:r>
      <w:r w:rsidR="0033333C" w:rsidRPr="0033333C">
        <w:t xml:space="preserve">Groupe multipartite </w:t>
      </w:r>
      <w:r>
        <w:t>d</w:t>
      </w:r>
      <w:r w:rsidR="0033333C">
        <w:t>evra</w:t>
      </w:r>
      <w:r>
        <w:t xml:space="preserve"> veiller à ce que le prochain Rapport ITIE de l</w:t>
      </w:r>
      <w:r w:rsidR="00E66383">
        <w:t>’</w:t>
      </w:r>
      <w:r>
        <w:t>Irak comprenne l</w:t>
      </w:r>
      <w:r w:rsidR="00E66383">
        <w:t>’</w:t>
      </w:r>
      <w:r>
        <w:t>évaluation de l</w:t>
      </w:r>
      <w:r w:rsidR="00E66383">
        <w:t>’</w:t>
      </w:r>
      <w:r>
        <w:t>importance des omissions par l</w:t>
      </w:r>
      <w:r w:rsidR="00E66383">
        <w:t>’</w:t>
      </w:r>
      <w:r>
        <w:t>Administrateur Indépendant, sa déclaration concernant l</w:t>
      </w:r>
      <w:r w:rsidR="00E66383">
        <w:t>’</w:t>
      </w:r>
      <w:r>
        <w:t>exhaustivité du Rapport ITIE de l</w:t>
      </w:r>
      <w:r w:rsidR="00E66383">
        <w:t>’</w:t>
      </w:r>
      <w:r>
        <w:t>Irak et l</w:t>
      </w:r>
      <w:r w:rsidR="00E66383">
        <w:t>’</w:t>
      </w:r>
      <w:r>
        <w:t xml:space="preserve">inclusion de la divulgation exhaustive unilatérale </w:t>
      </w:r>
      <w:r w:rsidR="00995FA6">
        <w:t xml:space="preserve">par le gouvernement </w:t>
      </w:r>
      <w:r>
        <w:t>des revenus significatifs en provenance des entreprises non significative</w:t>
      </w:r>
      <w:r w:rsidR="00995FA6">
        <w:t>s</w:t>
      </w:r>
      <w:r>
        <w:t>.</w:t>
      </w:r>
    </w:p>
    <w:p w14:paraId="1B842938" w14:textId="0213E7D1" w:rsidR="00484ABD" w:rsidRPr="00B26AB7" w:rsidRDefault="00484ABD" w:rsidP="00487513">
      <w:pPr>
        <w:pStyle w:val="Paragraphedeliste"/>
        <w:widowControl w:val="0"/>
        <w:numPr>
          <w:ilvl w:val="0"/>
          <w:numId w:val="10"/>
        </w:numPr>
        <w:suppressAutoHyphens/>
        <w:spacing w:before="120" w:after="240" w:line="240" w:lineRule="auto"/>
        <w:ind w:left="426"/>
        <w:contextualSpacing w:val="0"/>
        <w:jc w:val="both"/>
      </w:pPr>
      <w:r>
        <w:t>Pour continuer à progresser dans le cadre de l</w:t>
      </w:r>
      <w:r w:rsidR="00E66383">
        <w:t>’</w:t>
      </w:r>
      <w:r>
        <w:t>Exigence</w:t>
      </w:r>
      <w:r w:rsidR="00A0179E">
        <w:t> </w:t>
      </w:r>
      <w:r>
        <w:t xml:space="preserve">4.2, le </w:t>
      </w:r>
      <w:bookmarkStart w:id="5" w:name="_Hlk494654509"/>
      <w:r w:rsidR="00995FA6" w:rsidRPr="00995FA6">
        <w:t xml:space="preserve">Groupe multipartite </w:t>
      </w:r>
      <w:bookmarkEnd w:id="5"/>
      <w:r>
        <w:t xml:space="preserve">est encouragé à envisager </w:t>
      </w:r>
      <w:r w:rsidR="00B03E30">
        <w:t>la</w:t>
      </w:r>
      <w:r>
        <w:t xml:space="preserve"> publi</w:t>
      </w:r>
      <w:r w:rsidR="00B03E30">
        <w:t>cation d</w:t>
      </w:r>
      <w:r>
        <w:t>es données rapprochées sur les ventes de pétrole désagrégées par cargaison</w:t>
      </w:r>
      <w:r w:rsidR="001E3EAC">
        <w:t xml:space="preserve"> expédiée</w:t>
      </w:r>
      <w:r>
        <w:t xml:space="preserve"> (et les informations </w:t>
      </w:r>
      <w:r w:rsidR="00BF7697">
        <w:t xml:space="preserve">y </w:t>
      </w:r>
      <w:r>
        <w:t>associées) qu</w:t>
      </w:r>
      <w:r w:rsidR="00E66383">
        <w:t>’</w:t>
      </w:r>
      <w:r>
        <w:t xml:space="preserve">il recueille déjà. Le </w:t>
      </w:r>
      <w:bookmarkStart w:id="6" w:name="_Hlk494654765"/>
      <w:r w:rsidR="005227C1" w:rsidRPr="005227C1">
        <w:t xml:space="preserve">Groupe multipartite </w:t>
      </w:r>
      <w:bookmarkEnd w:id="6"/>
      <w:r w:rsidR="00BF7697">
        <w:t>pourra par ailleurs</w:t>
      </w:r>
      <w:r>
        <w:t xml:space="preserve"> souhaiter utiliser les divulgations régulières en ligne de SOMO comme moyen d</w:t>
      </w:r>
      <w:r w:rsidR="00E66383">
        <w:t>’</w:t>
      </w:r>
      <w:r>
        <w:t xml:space="preserve">intégrer la déclaration ITIE des ventes de pétrole dans les systèmes gouvernementaux courants. </w:t>
      </w:r>
      <w:r w:rsidR="005227C1">
        <w:t>De plus, l</w:t>
      </w:r>
      <w:r>
        <w:t xml:space="preserve">e </w:t>
      </w:r>
      <w:r w:rsidR="005227C1" w:rsidRPr="005227C1">
        <w:t xml:space="preserve">Groupe multipartite </w:t>
      </w:r>
      <w:r>
        <w:t>pourra</w:t>
      </w:r>
      <w:r w:rsidR="005227C1">
        <w:t>it</w:t>
      </w:r>
      <w:r>
        <w:t xml:space="preserve"> envisager de participer à l</w:t>
      </w:r>
      <w:r w:rsidR="00E66383">
        <w:t>’</w:t>
      </w:r>
      <w:r>
        <w:t>effort ciblé de l</w:t>
      </w:r>
      <w:r w:rsidR="00E66383">
        <w:t>’</w:t>
      </w:r>
      <w:r>
        <w:t>ITIE sur le commerce des matières premières, afin de fournir un cadre p</w:t>
      </w:r>
      <w:r w:rsidR="005227C1">
        <w:t>e</w:t>
      </w:r>
      <w:r>
        <w:t>r</w:t>
      </w:r>
      <w:r w:rsidR="005227C1">
        <w:t>mettant de</w:t>
      </w:r>
      <w:r>
        <w:t xml:space="preserve"> s</w:t>
      </w:r>
      <w:r w:rsidR="00E66383">
        <w:t>’</w:t>
      </w:r>
      <w:r>
        <w:t>assurer que les divulgations sur les ventes des revenus en nature de l</w:t>
      </w:r>
      <w:r w:rsidR="00E66383">
        <w:t>’</w:t>
      </w:r>
      <w:r>
        <w:t>État sont conformes aux meilleures pratiques internationales.</w:t>
      </w:r>
    </w:p>
    <w:p w14:paraId="382E0CEE" w14:textId="74A5306D" w:rsidR="00484ABD" w:rsidRPr="00B26AB7" w:rsidRDefault="00484ABD" w:rsidP="00487513">
      <w:pPr>
        <w:pStyle w:val="Paragraphedeliste"/>
        <w:widowControl w:val="0"/>
        <w:numPr>
          <w:ilvl w:val="0"/>
          <w:numId w:val="10"/>
        </w:numPr>
        <w:suppressAutoHyphens/>
        <w:spacing w:before="120" w:after="240" w:line="240" w:lineRule="auto"/>
        <w:ind w:left="426"/>
        <w:contextualSpacing w:val="0"/>
        <w:jc w:val="both"/>
      </w:pPr>
      <w:r>
        <w:t>Bien qu</w:t>
      </w:r>
      <w:r w:rsidR="00E66383">
        <w:t>’</w:t>
      </w:r>
      <w:r>
        <w:t>il n</w:t>
      </w:r>
      <w:r w:rsidR="00E66383">
        <w:t>’</w:t>
      </w:r>
      <w:r>
        <w:t>y ait aucune preuve d</w:t>
      </w:r>
      <w:r w:rsidR="00E66383">
        <w:t>’</w:t>
      </w:r>
      <w:r>
        <w:t>accords de troc ou de fourniture d</w:t>
      </w:r>
      <w:r w:rsidR="00E66383">
        <w:t>’</w:t>
      </w:r>
      <w:r>
        <w:t xml:space="preserve">infrastructures dans le GRK, le </w:t>
      </w:r>
      <w:bookmarkStart w:id="7" w:name="_Hlk494654906"/>
      <w:r w:rsidR="005227C1" w:rsidRPr="005227C1">
        <w:t xml:space="preserve">Groupe multipartite </w:t>
      </w:r>
      <w:bookmarkEnd w:id="7"/>
      <w:r>
        <w:t>est encouragé à examiner tous les CPP du GRK publiés, afin d</w:t>
      </w:r>
      <w:r w:rsidR="00E66383">
        <w:t>’</w:t>
      </w:r>
      <w:r>
        <w:t>évaluer la présence potentielle de dispositions liées aux infrastructures ou d</w:t>
      </w:r>
      <w:r w:rsidR="00E66383">
        <w:t>’</w:t>
      </w:r>
      <w:r>
        <w:t>éléments de troc dans ces CPP</w:t>
      </w:r>
      <w:r w:rsidR="005227C1">
        <w:t>,</w:t>
      </w:r>
      <w:r>
        <w:t xml:space="preserve"> conformément </w:t>
      </w:r>
      <w:r>
        <w:lastRenderedPageBreak/>
        <w:t>à l</w:t>
      </w:r>
      <w:r w:rsidR="00E66383">
        <w:t>’</w:t>
      </w:r>
      <w:r>
        <w:t>Exigence</w:t>
      </w:r>
      <w:r w:rsidR="00A0179E">
        <w:t> </w:t>
      </w:r>
      <w:r>
        <w:t>4.3.</w:t>
      </w:r>
    </w:p>
    <w:p w14:paraId="59B2DA28" w14:textId="54004D17" w:rsidR="00484ABD" w:rsidRPr="00B26AB7" w:rsidRDefault="00484ABD" w:rsidP="00487513">
      <w:pPr>
        <w:pStyle w:val="Paragraphedeliste"/>
        <w:widowControl w:val="0"/>
        <w:numPr>
          <w:ilvl w:val="0"/>
          <w:numId w:val="10"/>
        </w:numPr>
        <w:suppressAutoHyphens/>
        <w:spacing w:before="120" w:after="240" w:line="240" w:lineRule="auto"/>
        <w:ind w:left="426"/>
        <w:contextualSpacing w:val="0"/>
        <w:jc w:val="both"/>
      </w:pPr>
      <w:r>
        <w:t>Conformément à l</w:t>
      </w:r>
      <w:r w:rsidR="00E66383">
        <w:t>’</w:t>
      </w:r>
      <w:r>
        <w:t>exigence</w:t>
      </w:r>
      <w:r w:rsidR="002C3458">
        <w:t> </w:t>
      </w:r>
      <w:r>
        <w:t xml:space="preserve">4.4, le </w:t>
      </w:r>
      <w:r w:rsidR="005227C1" w:rsidRPr="005227C1">
        <w:t xml:space="preserve">Groupe multipartite </w:t>
      </w:r>
      <w:r>
        <w:t>est fortement encouragé à examiner les états financiers des six entreprises d</w:t>
      </w:r>
      <w:r w:rsidR="00E66383">
        <w:t>’</w:t>
      </w:r>
      <w:r>
        <w:t>État engagées dans des activités de transport, de distribution et de commercialisation du pétrole et du gaz, afin d</w:t>
      </w:r>
      <w:r w:rsidR="00E66383">
        <w:t>’</w:t>
      </w:r>
      <w:r>
        <w:t xml:space="preserve">évaluer la matérialité des revenus potentiels pour le gouvernement, par le biais de transferts au ministère des Finances. </w:t>
      </w:r>
    </w:p>
    <w:p w14:paraId="3D680640" w14:textId="54BB7DE2" w:rsidR="00484ABD" w:rsidRPr="00B26AB7" w:rsidRDefault="00484ABD" w:rsidP="00487513">
      <w:pPr>
        <w:pStyle w:val="Paragraphedeliste"/>
        <w:widowControl w:val="0"/>
        <w:numPr>
          <w:ilvl w:val="0"/>
          <w:numId w:val="10"/>
        </w:numPr>
        <w:suppressAutoHyphens/>
        <w:spacing w:before="120" w:after="240" w:line="240" w:lineRule="auto"/>
        <w:ind w:left="426"/>
        <w:contextualSpacing w:val="0"/>
        <w:jc w:val="both"/>
      </w:pPr>
      <w:r>
        <w:t>Conformément à l</w:t>
      </w:r>
      <w:r w:rsidR="00E66383">
        <w:t>’</w:t>
      </w:r>
      <w:r>
        <w:t>exigence</w:t>
      </w:r>
      <w:r w:rsidR="00A0179E">
        <w:t> </w:t>
      </w:r>
      <w:r>
        <w:t xml:space="preserve">4.5, le </w:t>
      </w:r>
      <w:r w:rsidR="00CD76CC" w:rsidRPr="00CD76CC">
        <w:t xml:space="preserve">Groupe multipartite </w:t>
      </w:r>
      <w:r>
        <w:t>devra clarifier la portée des transactions entre les entreprises d</w:t>
      </w:r>
      <w:r w:rsidR="00E66383">
        <w:t>’</w:t>
      </w:r>
      <w:r>
        <w:t>État et les autres organismes gouvernementaux, ainsi qu</w:t>
      </w:r>
      <w:r w:rsidR="00E66383">
        <w:t>’</w:t>
      </w:r>
      <w:r>
        <w:t>entre les entreprises d</w:t>
      </w:r>
      <w:r w:rsidR="00E66383">
        <w:t>’</w:t>
      </w:r>
      <w:r>
        <w:t>État et les entreprises des secteurs minier, pétrolier et gazier. En s</w:t>
      </w:r>
      <w:r w:rsidR="00E66383">
        <w:t>’</w:t>
      </w:r>
      <w:r>
        <w:t>appuyant sur la définition des entreprises d</w:t>
      </w:r>
      <w:r w:rsidR="00E66383">
        <w:t>’</w:t>
      </w:r>
      <w:r>
        <w:t xml:space="preserve">État établie par le </w:t>
      </w:r>
      <w:r w:rsidR="00CD76CC" w:rsidRPr="00CD76CC">
        <w:t xml:space="preserve">Groupe multipartite </w:t>
      </w:r>
      <w:r>
        <w:t>selon l</w:t>
      </w:r>
      <w:r w:rsidR="00E66383">
        <w:t>’</w:t>
      </w:r>
      <w:r>
        <w:t>Exigence</w:t>
      </w:r>
      <w:r w:rsidR="00A0179E">
        <w:t> </w:t>
      </w:r>
      <w:r>
        <w:t>2.6, ce</w:t>
      </w:r>
      <w:r w:rsidR="00CD76CC">
        <w:t>lui-ci</w:t>
      </w:r>
      <w:r>
        <w:t xml:space="preserve"> devra s</w:t>
      </w:r>
      <w:r w:rsidR="00E66383">
        <w:t>’</w:t>
      </w:r>
      <w:r>
        <w:t>assurer que les futurs Rapports ITIE de l</w:t>
      </w:r>
      <w:r w:rsidR="00E66383">
        <w:t>’</w:t>
      </w:r>
      <w:r>
        <w:t>Irak divulguent la valeur désagrégée de ces transactions financières pour l</w:t>
      </w:r>
      <w:r w:rsidR="00E66383">
        <w:t>’</w:t>
      </w:r>
      <w:r>
        <w:t>exercice sous revue. Étant donné le manque de clarté entourant les relations financières entre les entreprises d</w:t>
      </w:r>
      <w:r w:rsidR="00E66383">
        <w:t>’</w:t>
      </w:r>
      <w:r>
        <w:t>État pétrolière</w:t>
      </w:r>
      <w:r w:rsidR="00CD76CC">
        <w:t>s</w:t>
      </w:r>
      <w:r>
        <w:t xml:space="preserve"> et gazières et le gouvernement, le </w:t>
      </w:r>
      <w:r w:rsidR="00CD76CC" w:rsidRPr="00CD76CC">
        <w:t xml:space="preserve">Groupe multipartite </w:t>
      </w:r>
      <w:r>
        <w:t xml:space="preserve">est encouragé à examiner si le rapprochement de ces transactions financières (tant statutaires que ponctuelles) </w:t>
      </w:r>
      <w:r w:rsidR="00D06B82">
        <w:t xml:space="preserve">pourrait </w:t>
      </w:r>
      <w:r>
        <w:t>contribuer à la réalisation de l</w:t>
      </w:r>
      <w:r w:rsidR="00E66383">
        <w:t>’</w:t>
      </w:r>
      <w:r>
        <w:t>objectif plus général de transparence dans les transactions entre les entreprises d</w:t>
      </w:r>
      <w:r w:rsidR="00E66383">
        <w:t>’</w:t>
      </w:r>
      <w:r>
        <w:t>État et le gouvernement.</w:t>
      </w:r>
    </w:p>
    <w:p w14:paraId="5AC4974C" w14:textId="310B14C3" w:rsidR="00484ABD" w:rsidRPr="00B26AB7" w:rsidRDefault="00484ABD" w:rsidP="00487513">
      <w:pPr>
        <w:pStyle w:val="Paragraphedeliste"/>
        <w:widowControl w:val="0"/>
        <w:numPr>
          <w:ilvl w:val="0"/>
          <w:numId w:val="10"/>
        </w:numPr>
        <w:suppressAutoHyphens/>
        <w:spacing w:before="120" w:after="240" w:line="240" w:lineRule="auto"/>
        <w:ind w:left="426"/>
        <w:contextualSpacing w:val="0"/>
        <w:jc w:val="both"/>
      </w:pPr>
      <w:r>
        <w:t xml:space="preserve">Le </w:t>
      </w:r>
      <w:r w:rsidR="00D06B82" w:rsidRPr="00D06B82">
        <w:t xml:space="preserve">Groupe multipartite </w:t>
      </w:r>
      <w:r>
        <w:t>devra assurer la participation active du GRK au cadrage et à l</w:t>
      </w:r>
      <w:r w:rsidR="00E66383">
        <w:t>’</w:t>
      </w:r>
      <w:r>
        <w:t>orientation des divulgations de l</w:t>
      </w:r>
      <w:r w:rsidR="00E66383">
        <w:t>’</w:t>
      </w:r>
      <w:r>
        <w:t>ITIE</w:t>
      </w:r>
      <w:r w:rsidR="00D06B82">
        <w:t>-</w:t>
      </w:r>
      <w:r>
        <w:t xml:space="preserve">Irak sur les paiements infranationaux </w:t>
      </w:r>
      <w:r w:rsidR="00D06B82" w:rsidRPr="00D06B82">
        <w:t xml:space="preserve">directs </w:t>
      </w:r>
      <w:r>
        <w:t>en vertu de l</w:t>
      </w:r>
      <w:r w:rsidR="00E66383">
        <w:t>’</w:t>
      </w:r>
      <w:r>
        <w:t>Exigence</w:t>
      </w:r>
      <w:r w:rsidR="00A0179E">
        <w:t> </w:t>
      </w:r>
      <w:r>
        <w:t>4.6. Le</w:t>
      </w:r>
      <w:r w:rsidR="00D06B82">
        <w:t xml:space="preserve"> </w:t>
      </w:r>
      <w:r w:rsidR="00D06B82" w:rsidRPr="00D06B82">
        <w:t>Groupe multipartite</w:t>
      </w:r>
      <w:r>
        <w:t xml:space="preserve"> est encouragé à </w:t>
      </w:r>
      <w:r w:rsidR="00D06B82">
        <w:t>déter</w:t>
      </w:r>
      <w:r>
        <w:t>miner si le fait de travailler avec le ministère du Pétrole et le KRG pour établir sa propre structure régionale pour la mise en œuvre de l</w:t>
      </w:r>
      <w:r w:rsidR="00E66383">
        <w:t>’</w:t>
      </w:r>
      <w:r>
        <w:t>ITIE pourra assurer une couverture plus efficace des paiements infranationaux</w:t>
      </w:r>
      <w:r w:rsidR="00D06B82" w:rsidRPr="00D06B82">
        <w:t xml:space="preserve"> directs</w:t>
      </w:r>
      <w:r>
        <w:t xml:space="preserve">. Le </w:t>
      </w:r>
      <w:bookmarkStart w:id="8" w:name="_Hlk494656215"/>
      <w:r w:rsidR="00D06B82">
        <w:t>Groupe multipartite</w:t>
      </w:r>
      <w:r>
        <w:t xml:space="preserve"> </w:t>
      </w:r>
      <w:bookmarkEnd w:id="8"/>
      <w:r>
        <w:t>de l</w:t>
      </w:r>
      <w:r w:rsidR="00E66383">
        <w:t>’</w:t>
      </w:r>
      <w:r>
        <w:t>ITIE du GRK pourrait publier ses propres rapports, qui pourraient ensuite être inclus dans les Rapports ITIE nationaux.</w:t>
      </w:r>
    </w:p>
    <w:p w14:paraId="42ED147A" w14:textId="7D460AD9" w:rsidR="00484ABD" w:rsidRPr="00B26AB7" w:rsidRDefault="00484ABD" w:rsidP="00487513">
      <w:pPr>
        <w:pStyle w:val="Paragraphedeliste"/>
        <w:widowControl w:val="0"/>
        <w:numPr>
          <w:ilvl w:val="0"/>
          <w:numId w:val="10"/>
        </w:numPr>
        <w:suppressAutoHyphens/>
        <w:spacing w:before="120" w:after="240" w:line="240" w:lineRule="auto"/>
        <w:ind w:left="426"/>
        <w:contextualSpacing w:val="0"/>
        <w:jc w:val="both"/>
      </w:pPr>
      <w:r>
        <w:t>Conformément à l</w:t>
      </w:r>
      <w:r w:rsidR="00E66383">
        <w:t>’</w:t>
      </w:r>
      <w:r>
        <w:t>Exigence</w:t>
      </w:r>
      <w:r w:rsidR="002C3458">
        <w:t> </w:t>
      </w:r>
      <w:r>
        <w:t xml:space="preserve">4.7, le </w:t>
      </w:r>
      <w:r w:rsidR="00D06B82" w:rsidRPr="00D06B82">
        <w:t xml:space="preserve">Groupe multipartite </w:t>
      </w:r>
      <w:r>
        <w:t xml:space="preserve">devra veiller à ce que toutes les données financières rapprochées soient désagrégées par entreprise, </w:t>
      </w:r>
      <w:r w:rsidR="00D06B82">
        <w:t xml:space="preserve">par </w:t>
      </w:r>
      <w:r>
        <w:t xml:space="preserve">flux de revenus et </w:t>
      </w:r>
      <w:r w:rsidR="00D06B82">
        <w:t xml:space="preserve">par </w:t>
      </w:r>
      <w:r>
        <w:t xml:space="preserve">entité gouvernementale. Le </w:t>
      </w:r>
      <w:r w:rsidR="00D06B82" w:rsidRPr="00D06B82">
        <w:t xml:space="preserve">Groupe multipartite </w:t>
      </w:r>
      <w:r>
        <w:t>est également encouragé à convenir d</w:t>
      </w:r>
      <w:r w:rsidR="00E66383">
        <w:t>’</w:t>
      </w:r>
      <w:r>
        <w:t xml:space="preserve">une définition de projet pour assurer la cohérence dans sa déclaration au niveau des projets. </w:t>
      </w:r>
    </w:p>
    <w:p w14:paraId="1C376C4E" w14:textId="2C6CF13D" w:rsidR="00484ABD" w:rsidRPr="00B26AB7" w:rsidRDefault="00484ABD" w:rsidP="00487513">
      <w:pPr>
        <w:pStyle w:val="Paragraphedeliste"/>
        <w:widowControl w:val="0"/>
        <w:numPr>
          <w:ilvl w:val="0"/>
          <w:numId w:val="10"/>
        </w:numPr>
        <w:suppressAutoHyphens/>
        <w:spacing w:before="120" w:after="240" w:line="240" w:lineRule="auto"/>
        <w:ind w:left="426"/>
        <w:contextualSpacing w:val="0"/>
        <w:jc w:val="both"/>
      </w:pPr>
      <w:r>
        <w:t>Pour renforcer davantage la mise en œuvre de l</w:t>
      </w:r>
      <w:r w:rsidR="00E66383">
        <w:t>’</w:t>
      </w:r>
      <w:r>
        <w:t>Exigence</w:t>
      </w:r>
      <w:r w:rsidR="002C3458">
        <w:t> </w:t>
      </w:r>
      <w:r>
        <w:t>4.8, le G</w:t>
      </w:r>
      <w:r w:rsidR="002A7BC6">
        <w:t>roupe multipartite</w:t>
      </w:r>
      <w:r>
        <w:t xml:space="preserve"> pourrait souhaiter travailler avec la Commission Générale des Impôts, l</w:t>
      </w:r>
      <w:r w:rsidR="00E66383">
        <w:t>’</w:t>
      </w:r>
      <w:r>
        <w:t>Autorité Générale des Douanes, SOMO, le ministère du Pétrole, le ministère des Finances, la Banque Centrale d</w:t>
      </w:r>
      <w:r w:rsidR="00E66383">
        <w:t>’</w:t>
      </w:r>
      <w:r>
        <w:t>Irak et la Commission iraquienne supérieure des comptes, afin d</w:t>
      </w:r>
      <w:r w:rsidR="00E66383">
        <w:t>’</w:t>
      </w:r>
      <w:r>
        <w:t>évaluer la possibilité d</w:t>
      </w:r>
      <w:r w:rsidR="00E66383">
        <w:t>’</w:t>
      </w:r>
      <w:r>
        <w:t>intégrer les informations clés de l</w:t>
      </w:r>
      <w:r w:rsidR="00E66383">
        <w:t>’</w:t>
      </w:r>
      <w:r>
        <w:t>ITIE et d</w:t>
      </w:r>
      <w:r w:rsidR="00E66383">
        <w:t>’</w:t>
      </w:r>
      <w:r>
        <w:t>assurer une publication plus ponctuelle des informations de l</w:t>
      </w:r>
      <w:r w:rsidR="00E66383">
        <w:t>’</w:t>
      </w:r>
      <w:r>
        <w:t>ITIE.</w:t>
      </w:r>
    </w:p>
    <w:p w14:paraId="1542B9F7" w14:textId="024B6BD6" w:rsidR="00484ABD" w:rsidRPr="00B26AB7" w:rsidRDefault="00484ABD" w:rsidP="00487513">
      <w:pPr>
        <w:pStyle w:val="Paragraphedeliste"/>
        <w:widowControl w:val="0"/>
        <w:numPr>
          <w:ilvl w:val="0"/>
          <w:numId w:val="10"/>
        </w:numPr>
        <w:suppressAutoHyphens/>
        <w:spacing w:before="120" w:after="240" w:line="240" w:lineRule="auto"/>
        <w:ind w:left="426"/>
        <w:contextualSpacing w:val="0"/>
        <w:jc w:val="both"/>
      </w:pPr>
      <w:r>
        <w:t>Conformément à l</w:t>
      </w:r>
      <w:r w:rsidR="00E66383">
        <w:t>’</w:t>
      </w:r>
      <w:r>
        <w:t>Exigence</w:t>
      </w:r>
      <w:r w:rsidR="00A0179E">
        <w:t> </w:t>
      </w:r>
      <w:r>
        <w:t xml:space="preserve">4.9, le </w:t>
      </w:r>
      <w:bookmarkStart w:id="9" w:name="_Hlk494656679"/>
      <w:r w:rsidR="002A7BC6" w:rsidRPr="002A7BC6">
        <w:t xml:space="preserve">Groupe multipartite </w:t>
      </w:r>
      <w:bookmarkEnd w:id="9"/>
      <w:r>
        <w:t>devra veiller à ce qu</w:t>
      </w:r>
      <w:r w:rsidR="00E66383">
        <w:t>’</w:t>
      </w:r>
      <w:r>
        <w:t>un examen des pratiques d</w:t>
      </w:r>
      <w:r w:rsidR="00E66383">
        <w:t>’</w:t>
      </w:r>
      <w:r>
        <w:t>audit</w:t>
      </w:r>
      <w:r w:rsidR="002A7BC6">
        <w:t xml:space="preserve"> effectives</w:t>
      </w:r>
      <w:r>
        <w:t xml:space="preserve"> par les entreprises déclarantes et les entités gouvernementales soit mené avant </w:t>
      </w:r>
      <w:r w:rsidR="002A7BC6">
        <w:t>que</w:t>
      </w:r>
      <w:r>
        <w:t xml:space="preserve"> des procédures visant à assurer la fiabilité des informations de l</w:t>
      </w:r>
      <w:r w:rsidR="00E66383">
        <w:t>’</w:t>
      </w:r>
      <w:r>
        <w:t>ITIE</w:t>
      </w:r>
      <w:r w:rsidR="002A7BC6">
        <w:t xml:space="preserve"> soient convenues</w:t>
      </w:r>
      <w:r>
        <w:t xml:space="preserve">. </w:t>
      </w:r>
      <w:bookmarkStart w:id="10" w:name="_Hlk494656665"/>
      <w:r>
        <w:t xml:space="preserve">Le </w:t>
      </w:r>
      <w:r w:rsidR="002A7BC6" w:rsidRPr="002A7BC6">
        <w:t xml:space="preserve">Groupe multipartite </w:t>
      </w:r>
      <w:r>
        <w:t xml:space="preserve">devra </w:t>
      </w:r>
      <w:r w:rsidR="002A7BC6">
        <w:t xml:space="preserve">également </w:t>
      </w:r>
      <w:r>
        <w:t>veiller à ce que les TdR pour l</w:t>
      </w:r>
      <w:r w:rsidR="00E66383">
        <w:t>’</w:t>
      </w:r>
      <w:r>
        <w:t>Administrateur Indépendant soient conformes aux TdR standard approuvés par le Conseil d</w:t>
      </w:r>
      <w:r w:rsidR="00E66383">
        <w:t>’</w:t>
      </w:r>
      <w:r>
        <w:t>administration de l</w:t>
      </w:r>
      <w:r w:rsidR="00E66383">
        <w:t>’</w:t>
      </w:r>
      <w:r>
        <w:t xml:space="preserve">ITIE et que son accord vis-à-vis de tout écart par rapport aux TdR dans le Rapport ITIE final soit correctement consigné. </w:t>
      </w:r>
      <w:bookmarkEnd w:id="10"/>
      <w:r>
        <w:t xml:space="preserve">Le </w:t>
      </w:r>
      <w:r w:rsidR="002A7BC6" w:rsidRPr="002A7BC6">
        <w:t xml:space="preserve">Groupe multipartite </w:t>
      </w:r>
      <w:r>
        <w:t>devra également veiller à ce que l</w:t>
      </w:r>
      <w:r w:rsidR="00E66383">
        <w:t>’</w:t>
      </w:r>
      <w:r>
        <w:t xml:space="preserve">Administrateur Indépendant </w:t>
      </w:r>
      <w:r w:rsidR="004E442C">
        <w:t>établisse</w:t>
      </w:r>
      <w:r>
        <w:t xml:space="preserve"> si les paiements et les revenus divulgués dans les Rapports ITIE ont été soumis à des audits crédibles et indépendants, </w:t>
      </w:r>
      <w:r w:rsidR="004E442C">
        <w:t>pour lesquelles</w:t>
      </w:r>
      <w:r>
        <w:t xml:space="preserve"> les normes d</w:t>
      </w:r>
      <w:r w:rsidR="00E66383">
        <w:t>’</w:t>
      </w:r>
      <w:r>
        <w:t>audit</w:t>
      </w:r>
      <w:r w:rsidR="004E442C">
        <w:t xml:space="preserve"> internationales sont appliquées,</w:t>
      </w:r>
      <w:r>
        <w:t xml:space="preserve"> </w:t>
      </w:r>
      <w:r w:rsidR="004E442C">
        <w:t>et</w:t>
      </w:r>
      <w:r>
        <w:t xml:space="preserve"> qu</w:t>
      </w:r>
      <w:r w:rsidR="00E66383">
        <w:t>’</w:t>
      </w:r>
      <w:r w:rsidR="004E442C">
        <w:t xml:space="preserve">il fournisse </w:t>
      </w:r>
      <w:r>
        <w:t>une description du suivi des recommandations antérieures de l</w:t>
      </w:r>
      <w:r w:rsidR="00E66383">
        <w:t>’</w:t>
      </w:r>
      <w:r>
        <w:t>ITIE.</w:t>
      </w:r>
    </w:p>
    <w:p w14:paraId="3BE4F31A" w14:textId="19489356" w:rsidR="00484ABD" w:rsidRPr="00B47274" w:rsidRDefault="00484ABD" w:rsidP="00487513">
      <w:pPr>
        <w:pStyle w:val="Paragraphedeliste"/>
        <w:widowControl w:val="0"/>
        <w:numPr>
          <w:ilvl w:val="0"/>
          <w:numId w:val="10"/>
        </w:numPr>
        <w:suppressAutoHyphens/>
        <w:spacing w:before="120" w:after="240" w:line="240" w:lineRule="auto"/>
        <w:ind w:left="426"/>
        <w:contextualSpacing w:val="0"/>
        <w:jc w:val="both"/>
      </w:pPr>
      <w:r>
        <w:t>Conformément à l</w:t>
      </w:r>
      <w:r w:rsidR="00E66383">
        <w:t>’</w:t>
      </w:r>
      <w:r>
        <w:t>Exigence</w:t>
      </w:r>
      <w:r w:rsidR="00A0179E">
        <w:t> </w:t>
      </w:r>
      <w:r>
        <w:t xml:space="preserve">5.1, le </w:t>
      </w:r>
      <w:r w:rsidR="00314572" w:rsidRPr="00314572">
        <w:t xml:space="preserve">Groupe multipartite </w:t>
      </w:r>
      <w:r>
        <w:t>devra collaborer avec l</w:t>
      </w:r>
      <w:r w:rsidR="00E66383">
        <w:t>’</w:t>
      </w:r>
      <w:r>
        <w:t>Administrateur Indépendant pour préparer le prochain Rapport ITIE de l</w:t>
      </w:r>
      <w:r w:rsidR="00E66383">
        <w:t>’</w:t>
      </w:r>
      <w:r>
        <w:t>Irak, afin de repérer précisément tout revenu minier, pétrolier et gazier qui n</w:t>
      </w:r>
      <w:r w:rsidR="00E66383">
        <w:t>’</w:t>
      </w:r>
      <w:r>
        <w:t>est pas consigné dans le budget national et d</w:t>
      </w:r>
      <w:r w:rsidR="00E66383">
        <w:t>’</w:t>
      </w:r>
      <w:r>
        <w:t>expliquer clairement l</w:t>
      </w:r>
      <w:r w:rsidR="00E66383">
        <w:t>’</w:t>
      </w:r>
      <w:r>
        <w:t xml:space="preserve">affectation de tout revenu hors budget. Afin de renforcer davantage la mise en œuvre dans le cadre </w:t>
      </w:r>
      <w:r>
        <w:lastRenderedPageBreak/>
        <w:t>de l</w:t>
      </w:r>
      <w:r w:rsidR="00E66383">
        <w:t>’</w:t>
      </w:r>
      <w:r>
        <w:t>Exigence</w:t>
      </w:r>
      <w:r w:rsidR="00A0179E">
        <w:t> </w:t>
      </w:r>
      <w:r>
        <w:t xml:space="preserve">5.3, le </w:t>
      </w:r>
      <w:r w:rsidR="000E24F7" w:rsidRPr="000E24F7">
        <w:t xml:space="preserve">Groupe multipartite </w:t>
      </w:r>
      <w:r>
        <w:t>pourrait envisager de suivre de façon plus exhaustive la dépense des revenus tirés de l</w:t>
      </w:r>
      <w:r w:rsidR="00E66383">
        <w:t>’</w:t>
      </w:r>
      <w:r>
        <w:t>industrie extractive affectés à des fins spécifiques. Cette forme de diagnostic annuel de la gesti</w:t>
      </w:r>
      <w:r w:rsidR="00D50792">
        <w:t>on des finances publiques sera</w:t>
      </w:r>
      <w:r>
        <w:t xml:space="preserve"> particulièrement utile pour l</w:t>
      </w:r>
      <w:r w:rsidR="00E66383">
        <w:t>’</w:t>
      </w:r>
      <w:r>
        <w:t xml:space="preserve">accord de </w:t>
      </w:r>
      <w:r w:rsidR="000E24F7">
        <w:t>confirmation</w:t>
      </w:r>
      <w:r>
        <w:t xml:space="preserve"> du FMI avec l</w:t>
      </w:r>
      <w:r w:rsidR="00E66383">
        <w:t>’</w:t>
      </w:r>
      <w:r>
        <w:t>Irak</w:t>
      </w:r>
      <w:r>
        <w:rPr>
          <w:rStyle w:val="Appelnotedebasdep"/>
        </w:rPr>
        <w:footnoteReference w:id="4"/>
      </w:r>
      <w:r>
        <w:t>.</w:t>
      </w:r>
    </w:p>
    <w:p w14:paraId="594EF307" w14:textId="531A9D58" w:rsidR="00484ABD" w:rsidRDefault="00484ABD" w:rsidP="00487513">
      <w:pPr>
        <w:pStyle w:val="Paragraphedeliste"/>
        <w:widowControl w:val="0"/>
        <w:numPr>
          <w:ilvl w:val="0"/>
          <w:numId w:val="10"/>
        </w:numPr>
        <w:suppressAutoHyphens/>
        <w:spacing w:before="120" w:after="240" w:line="240" w:lineRule="auto"/>
        <w:ind w:left="426"/>
        <w:contextualSpacing w:val="0"/>
        <w:jc w:val="both"/>
      </w:pPr>
      <w:r>
        <w:t>Conformément à l</w:t>
      </w:r>
      <w:r w:rsidR="00E66383">
        <w:t>’</w:t>
      </w:r>
      <w:r>
        <w:t>Exigence</w:t>
      </w:r>
      <w:r w:rsidR="002C3458">
        <w:t> </w:t>
      </w:r>
      <w:r>
        <w:t xml:space="preserve">5.2, le </w:t>
      </w:r>
      <w:r w:rsidR="000E24F7" w:rsidRPr="000E24F7">
        <w:t xml:space="preserve">Groupe multipartite </w:t>
      </w:r>
      <w:r>
        <w:t>devra évaluer la matéri</w:t>
      </w:r>
      <w:r w:rsidR="00AF316B">
        <w:t>a</w:t>
      </w:r>
      <w:r>
        <w:t>lité des transferts infranationaux et veiller à ce que les futurs Rapports ITIE de l</w:t>
      </w:r>
      <w:r w:rsidR="00E66383">
        <w:t>’</w:t>
      </w:r>
      <w:r>
        <w:t xml:space="preserve">Irak fournissent la formule spécifique pour calculer les transferts infranationaux liés aux revenus extractifs versés aux gouvernorats individuels, </w:t>
      </w:r>
      <w:r w:rsidR="000E24F7">
        <w:t xml:space="preserve">et </w:t>
      </w:r>
      <w:r>
        <w:t>divulgue</w:t>
      </w:r>
      <w:r w:rsidR="000E24F7">
        <w:t>nt</w:t>
      </w:r>
      <w:r>
        <w:t xml:space="preserve"> les transferts infranationaux significatifs et les écarts éventuels entre le montant du transfert calculé conformément à la formule de partage des revenus pertinente et le montant réel qui a été transféré entre le gouvernement central et chaque entité infranationale concernée. </w:t>
      </w:r>
    </w:p>
    <w:p w14:paraId="44CE316E" w14:textId="2BD60D9A" w:rsidR="00484ABD" w:rsidRPr="0076244C" w:rsidRDefault="00484ABD" w:rsidP="00487513">
      <w:pPr>
        <w:pStyle w:val="Paragraphedeliste"/>
        <w:widowControl w:val="0"/>
        <w:numPr>
          <w:ilvl w:val="0"/>
          <w:numId w:val="10"/>
        </w:numPr>
        <w:suppressAutoHyphens/>
        <w:spacing w:before="120" w:after="240" w:line="240" w:lineRule="auto"/>
        <w:ind w:left="426"/>
        <w:contextualSpacing w:val="0"/>
        <w:jc w:val="both"/>
      </w:pPr>
      <w:r>
        <w:t>Conformément à l</w:t>
      </w:r>
      <w:r w:rsidR="00E66383">
        <w:t>’</w:t>
      </w:r>
      <w:r>
        <w:t>Exigence</w:t>
      </w:r>
      <w:r w:rsidR="00A0179E">
        <w:t> </w:t>
      </w:r>
      <w:r>
        <w:t xml:space="preserve">5.3, le </w:t>
      </w:r>
      <w:r w:rsidR="00CA5ED5" w:rsidRPr="00CA5ED5">
        <w:t xml:space="preserve">Groupe multipartite </w:t>
      </w:r>
      <w:r>
        <w:t>pourrait envisager de travailler avec les parties prenantes concernées, y compris les parlementaires, afin de s</w:t>
      </w:r>
      <w:r w:rsidR="00E66383">
        <w:t>’</w:t>
      </w:r>
      <w:r>
        <w:t>assurer que les futurs Rapports ITIE de l</w:t>
      </w:r>
      <w:r w:rsidR="00E66383">
        <w:t>’</w:t>
      </w:r>
      <w:r>
        <w:t xml:space="preserve">Irak fournissent des informations supplémentaires sur les hypothèses budgétaires </w:t>
      </w:r>
      <w:r w:rsidR="00CE126D">
        <w:t>concernant</w:t>
      </w:r>
      <w:r>
        <w:t xml:space="preserve"> le prix et la production du pétrole, ainsi que sur les prévisions de revenus.</w:t>
      </w:r>
    </w:p>
    <w:p w14:paraId="354B134A" w14:textId="0DF1ABF9" w:rsidR="00484ABD" w:rsidRPr="003A2AEC" w:rsidRDefault="00484ABD" w:rsidP="00487513">
      <w:pPr>
        <w:pStyle w:val="Paragraphedeliste"/>
        <w:widowControl w:val="0"/>
        <w:numPr>
          <w:ilvl w:val="0"/>
          <w:numId w:val="10"/>
        </w:numPr>
        <w:suppressAutoHyphens/>
        <w:spacing w:before="120" w:after="240" w:line="240" w:lineRule="auto"/>
        <w:ind w:left="426"/>
        <w:contextualSpacing w:val="0"/>
        <w:jc w:val="both"/>
      </w:pPr>
      <w:r>
        <w:t>Conformément à l</w:t>
      </w:r>
      <w:r w:rsidR="00E66383">
        <w:t>’</w:t>
      </w:r>
      <w:r>
        <w:t>Exigence</w:t>
      </w:r>
      <w:r w:rsidR="00A0179E">
        <w:t> </w:t>
      </w:r>
      <w:r>
        <w:t xml:space="preserve">6.1, le </w:t>
      </w:r>
      <w:bookmarkStart w:id="11" w:name="_Hlk494661326"/>
      <w:r w:rsidR="00CA5ED5" w:rsidRPr="00CA5ED5">
        <w:t xml:space="preserve">Groupe multipartite </w:t>
      </w:r>
      <w:bookmarkEnd w:id="11"/>
      <w:r>
        <w:t xml:space="preserve">devra veiller à ce que la déclaration des dépenses sociales obligatoires soit désagrégée par type de paiement et bénéficiaire, en précisant le nom et la fonction de tous les bénéficiaires non gouvernementaux (tiers) des dépenses sociales obligatoires. Le </w:t>
      </w:r>
      <w:r w:rsidR="00CA5ED5" w:rsidRPr="00CA5ED5">
        <w:t xml:space="preserve">Groupe multipartite </w:t>
      </w:r>
      <w:r>
        <w:t>pourra également envisager la possibilité de rapprocher les dépenses sociales obligatoires.</w:t>
      </w:r>
    </w:p>
    <w:p w14:paraId="1C2FDEEB" w14:textId="36C0E1B7" w:rsidR="00484ABD" w:rsidRPr="003716AF" w:rsidRDefault="00484ABD" w:rsidP="00487513">
      <w:pPr>
        <w:pStyle w:val="Paragraphedeliste"/>
        <w:widowControl w:val="0"/>
        <w:numPr>
          <w:ilvl w:val="0"/>
          <w:numId w:val="10"/>
        </w:numPr>
        <w:suppressAutoHyphens/>
        <w:spacing w:before="120" w:after="240" w:line="240" w:lineRule="auto"/>
        <w:ind w:left="426"/>
        <w:contextualSpacing w:val="0"/>
        <w:jc w:val="both"/>
        <w:rPr>
          <w:i/>
        </w:rPr>
      </w:pPr>
      <w:r>
        <w:t>Conformément à l</w:t>
      </w:r>
      <w:r w:rsidR="00E66383">
        <w:t>’</w:t>
      </w:r>
      <w:r>
        <w:t>Exigence</w:t>
      </w:r>
      <w:r w:rsidR="00A0179E">
        <w:t> </w:t>
      </w:r>
      <w:r>
        <w:t xml:space="preserve">6.3, le </w:t>
      </w:r>
      <w:bookmarkStart w:id="12" w:name="_Hlk494661722"/>
      <w:r w:rsidR="00CA5ED5" w:rsidRPr="00CA5ED5">
        <w:t xml:space="preserve">Groupe multipartite </w:t>
      </w:r>
      <w:bookmarkEnd w:id="12"/>
      <w:r>
        <w:t>devra veiller à ce que les futurs Rapports ITIE de l</w:t>
      </w:r>
      <w:r w:rsidR="00E66383">
        <w:t>’</w:t>
      </w:r>
      <w:r>
        <w:t>Irak fournissent la part dans le PIB des industries extractives (secteurs pétrolier</w:t>
      </w:r>
      <w:r w:rsidR="00CA5ED5">
        <w:t xml:space="preserve"> et</w:t>
      </w:r>
      <w:r>
        <w:t xml:space="preserve"> gazier </w:t>
      </w:r>
      <w:r w:rsidR="00CA5ED5">
        <w:t>ainsi que</w:t>
      </w:r>
      <w:r>
        <w:t xml:space="preserve"> minier en Irak (y compris le Kurdistan)), les revenus gouvernementaux, les exportations et l</w:t>
      </w:r>
      <w:r w:rsidR="00E66383">
        <w:t>’</w:t>
      </w:r>
      <w:r>
        <w:t>emploi en termes absolus et relatifs. Il devra également veiller à ce que l</w:t>
      </w:r>
      <w:r w:rsidR="00E66383">
        <w:t>’</w:t>
      </w:r>
      <w:r>
        <w:t xml:space="preserve">emplacement de toute production significative soit clairement délimité. </w:t>
      </w:r>
    </w:p>
    <w:p w14:paraId="73879976" w14:textId="3192A5EA" w:rsidR="00484ABD" w:rsidRPr="00AE77C5" w:rsidRDefault="00484ABD" w:rsidP="00487513">
      <w:pPr>
        <w:pStyle w:val="Paragraphedeliste"/>
        <w:widowControl w:val="0"/>
        <w:numPr>
          <w:ilvl w:val="0"/>
          <w:numId w:val="10"/>
        </w:numPr>
        <w:suppressAutoHyphens/>
        <w:spacing w:before="120" w:after="240" w:line="240" w:lineRule="auto"/>
        <w:ind w:left="426"/>
        <w:contextualSpacing w:val="0"/>
        <w:jc w:val="both"/>
      </w:pPr>
      <w:r>
        <w:t>Conformément à l</w:t>
      </w:r>
      <w:r w:rsidR="00E66383">
        <w:t>’</w:t>
      </w:r>
      <w:r>
        <w:t>Exigence</w:t>
      </w:r>
      <w:r w:rsidR="00A0179E">
        <w:t> </w:t>
      </w:r>
      <w:r>
        <w:t>7.1, l</w:t>
      </w:r>
      <w:r w:rsidR="00E66383">
        <w:t>’</w:t>
      </w:r>
      <w:r>
        <w:t>ITIE</w:t>
      </w:r>
      <w:r w:rsidR="00CA5ED5">
        <w:t>-</w:t>
      </w:r>
      <w:r>
        <w:t>Irak d</w:t>
      </w:r>
      <w:r w:rsidR="00CA5ED5">
        <w:t>evra</w:t>
      </w:r>
      <w:r>
        <w:t xml:space="preserve"> s</w:t>
      </w:r>
      <w:r w:rsidR="00E66383">
        <w:t>’</w:t>
      </w:r>
      <w:r>
        <w:t>assurer que les futurs rapports soient compréhensibles, activement promus et accessibles au public, et qu</w:t>
      </w:r>
      <w:r w:rsidR="00E66383">
        <w:t>’</w:t>
      </w:r>
      <w:r>
        <w:t>ils contribuent au débat public. L</w:t>
      </w:r>
      <w:r w:rsidR="00E66383">
        <w:t>’</w:t>
      </w:r>
      <w:r w:rsidR="00D50792">
        <w:t>ITIE-Irak devra</w:t>
      </w:r>
      <w:r>
        <w:t xml:space="preserve"> envisager </w:t>
      </w:r>
      <w:r w:rsidR="00CA5ED5">
        <w:t>l</w:t>
      </w:r>
      <w:r w:rsidR="00E66383">
        <w:t>’</w:t>
      </w:r>
      <w:r>
        <w:t>élabor</w:t>
      </w:r>
      <w:r w:rsidR="00CA5ED5">
        <w:t>ation d’</w:t>
      </w:r>
      <w:r>
        <w:t>une stratégie de communication allant au-delà de la construction de la reconnaissance de la marque</w:t>
      </w:r>
      <w:r w:rsidR="00411047">
        <w:t>,</w:t>
      </w:r>
      <w:r>
        <w:t xml:space="preserve"> pour répondre aux priorités nationales identifiées dans le plan de travail. L</w:t>
      </w:r>
      <w:r w:rsidR="00E66383">
        <w:t>’</w:t>
      </w:r>
      <w:r>
        <w:t>ITIE</w:t>
      </w:r>
      <w:r w:rsidR="00CA5ED5">
        <w:t>-</w:t>
      </w:r>
      <w:r w:rsidR="00D50792">
        <w:t>Irak devra</w:t>
      </w:r>
      <w:r>
        <w:t xml:space="preserve"> également convenir d</w:t>
      </w:r>
      <w:r w:rsidR="00E66383">
        <w:t>’</w:t>
      </w:r>
      <w:r>
        <w:t>une politique claire sur l</w:t>
      </w:r>
      <w:r w:rsidR="00E66383">
        <w:t>’</w:t>
      </w:r>
      <w:r>
        <w:t>accès, la publication et la réutilisation des données ITIE et rendre les Rapports ITIE disponibles en ligne sous un format de données ouvertes.</w:t>
      </w:r>
    </w:p>
    <w:p w14:paraId="341737A2" w14:textId="057CE636" w:rsidR="00484ABD" w:rsidRDefault="00484ABD" w:rsidP="00487513">
      <w:pPr>
        <w:pStyle w:val="Paragraphedeliste"/>
        <w:widowControl w:val="0"/>
        <w:numPr>
          <w:ilvl w:val="0"/>
          <w:numId w:val="10"/>
        </w:numPr>
        <w:suppressAutoHyphens/>
        <w:spacing w:before="120" w:after="240" w:line="240" w:lineRule="auto"/>
        <w:ind w:left="426"/>
        <w:contextualSpacing w:val="0"/>
        <w:jc w:val="both"/>
      </w:pPr>
      <w:r>
        <w:rPr>
          <w:color w:val="000000" w:themeColor="text1"/>
        </w:rPr>
        <w:t>Conformément à l</w:t>
      </w:r>
      <w:r w:rsidR="00E66383">
        <w:rPr>
          <w:color w:val="000000" w:themeColor="text1"/>
        </w:rPr>
        <w:t>’</w:t>
      </w:r>
      <w:r>
        <w:rPr>
          <w:color w:val="000000" w:themeColor="text1"/>
        </w:rPr>
        <w:t>Exigence</w:t>
      </w:r>
      <w:r w:rsidR="00A0179E">
        <w:rPr>
          <w:color w:val="000000" w:themeColor="text1"/>
        </w:rPr>
        <w:t> </w:t>
      </w:r>
      <w:r>
        <w:rPr>
          <w:color w:val="000000" w:themeColor="text1"/>
        </w:rPr>
        <w:t xml:space="preserve">7.3, le </w:t>
      </w:r>
      <w:bookmarkStart w:id="13" w:name="_Hlk494661860"/>
      <w:r w:rsidR="005C1E52" w:rsidRPr="005C1E52">
        <w:rPr>
          <w:color w:val="000000" w:themeColor="text1"/>
        </w:rPr>
        <w:t xml:space="preserve">Groupe multipartite </w:t>
      </w:r>
      <w:bookmarkEnd w:id="13"/>
      <w:r>
        <w:rPr>
          <w:color w:val="000000" w:themeColor="text1"/>
        </w:rPr>
        <w:t>devra examiner comment prendre en compte les enseignements tirés en ce qui concerne le GRK et identifier les occasions d</w:t>
      </w:r>
      <w:r w:rsidR="00E66383">
        <w:rPr>
          <w:color w:val="000000" w:themeColor="text1"/>
        </w:rPr>
        <w:t>’</w:t>
      </w:r>
      <w:r>
        <w:rPr>
          <w:color w:val="000000" w:themeColor="text1"/>
        </w:rPr>
        <w:t>accroître l</w:t>
      </w:r>
      <w:r w:rsidR="00E66383">
        <w:rPr>
          <w:color w:val="000000" w:themeColor="text1"/>
        </w:rPr>
        <w:t>’</w:t>
      </w:r>
      <w:r>
        <w:rPr>
          <w:color w:val="000000" w:themeColor="text1"/>
        </w:rPr>
        <w:t xml:space="preserve">engagement avec les parties prenantes dans cette région. Le </w:t>
      </w:r>
      <w:r w:rsidR="005C1E52" w:rsidRPr="005C1E52">
        <w:rPr>
          <w:color w:val="000000" w:themeColor="text1"/>
        </w:rPr>
        <w:t xml:space="preserve">Groupe multipartite </w:t>
      </w:r>
      <w:r w:rsidR="00D50792">
        <w:rPr>
          <w:color w:val="000000" w:themeColor="text1"/>
        </w:rPr>
        <w:t>pourra</w:t>
      </w:r>
      <w:r>
        <w:rPr>
          <w:color w:val="000000" w:themeColor="text1"/>
        </w:rPr>
        <w:t xml:space="preserve"> également jouer un rôle proactif dans la formulation de ses propres recommandations. </w:t>
      </w:r>
    </w:p>
    <w:p w14:paraId="79BE0DC0" w14:textId="3A9673ED" w:rsidR="00484ABD" w:rsidRPr="00370F08" w:rsidRDefault="00484ABD" w:rsidP="00487513">
      <w:pPr>
        <w:pStyle w:val="Paragraphedeliste"/>
        <w:widowControl w:val="0"/>
        <w:numPr>
          <w:ilvl w:val="0"/>
          <w:numId w:val="10"/>
        </w:numPr>
        <w:suppressAutoHyphens/>
        <w:spacing w:before="120" w:after="240" w:line="240" w:lineRule="auto"/>
        <w:ind w:left="426"/>
        <w:contextualSpacing w:val="0"/>
        <w:jc w:val="both"/>
      </w:pPr>
      <w:r>
        <w:t>Conformément à l</w:t>
      </w:r>
      <w:r w:rsidR="00E66383">
        <w:t>’</w:t>
      </w:r>
      <w:r>
        <w:t>Exigence</w:t>
      </w:r>
      <w:r w:rsidR="00A0179E">
        <w:t> </w:t>
      </w:r>
      <w:r>
        <w:t xml:space="preserve">7.4, le </w:t>
      </w:r>
      <w:r w:rsidR="00EC7BA6">
        <w:t>Groupe multipartite</w:t>
      </w:r>
      <w:r>
        <w:t xml:space="preserve"> devra veiller à ce que les rapports annuels d</w:t>
      </w:r>
      <w:r w:rsidR="00E66383">
        <w:t>’</w:t>
      </w:r>
      <w:r>
        <w:t>avancement reflètent clairement les activités de l</w:t>
      </w:r>
      <w:r w:rsidR="00E66383">
        <w:t>’</w:t>
      </w:r>
      <w:r>
        <w:t xml:space="preserve">exercice sous revue et que les progrès réalisés par rapport au plan de travail soient précisés. Le </w:t>
      </w:r>
      <w:r w:rsidR="005C1E52" w:rsidRPr="005C1E52">
        <w:t xml:space="preserve">Groupe multipartite </w:t>
      </w:r>
      <w:r>
        <w:t>devra également veiller à ce que toutes les parties prenantes aient la possibilité de contribuer au rapport annuel d</w:t>
      </w:r>
      <w:r w:rsidR="00E66383">
        <w:t>’</w:t>
      </w:r>
      <w:r>
        <w:t xml:space="preserve">avancement et que leurs points de vue soient reflétés de manière adéquate. Étant donné que la participation du personnel du secrétariat à des réunions constitue une grande partie des activités énumérées dans le rapport </w:t>
      </w:r>
      <w:r>
        <w:lastRenderedPageBreak/>
        <w:t>annuel d</w:t>
      </w:r>
      <w:r w:rsidR="00E66383">
        <w:t>’</w:t>
      </w:r>
      <w:r>
        <w:t xml:space="preserve">avancement, le </w:t>
      </w:r>
      <w:r w:rsidR="005C1E52" w:rsidRPr="005C1E52">
        <w:t xml:space="preserve">Groupe multipartite </w:t>
      </w:r>
      <w:r>
        <w:t>pourrait souhaiter examiner le type d</w:t>
      </w:r>
      <w:r w:rsidR="00E66383">
        <w:t>’</w:t>
      </w:r>
      <w:r>
        <w:t xml:space="preserve">activités que le rapport devra inclure. Le </w:t>
      </w:r>
      <w:r w:rsidR="005C1E52" w:rsidRPr="005C1E52">
        <w:t xml:space="preserve">Groupe multipartite </w:t>
      </w:r>
      <w:r>
        <w:t>devra également envisager de rédiger et de publier des rapports annuels d</w:t>
      </w:r>
      <w:r w:rsidR="00E66383">
        <w:t>’</w:t>
      </w:r>
      <w:r>
        <w:t xml:space="preserve">avancement en arabe pour améliorer le dialogue entre les parties prenantes et assurer une compréhension commune des activités menées par le </w:t>
      </w:r>
      <w:r w:rsidR="00EC7BA6">
        <w:t>Groupe multipartite</w:t>
      </w:r>
      <w:r>
        <w:t xml:space="preserve"> au cours de l</w:t>
      </w:r>
      <w:r w:rsidR="00E66383">
        <w:t>’</w:t>
      </w:r>
      <w:r>
        <w:t xml:space="preserve">exercice sous revue. </w:t>
      </w:r>
    </w:p>
    <w:p w14:paraId="7053208A" w14:textId="2CC17537" w:rsidR="000608BE" w:rsidRPr="000608BE" w:rsidRDefault="000608BE" w:rsidP="00487513">
      <w:pPr>
        <w:widowControl w:val="0"/>
        <w:suppressAutoHyphens/>
        <w:spacing w:after="0" w:line="240" w:lineRule="auto"/>
        <w:jc w:val="center"/>
        <w:rPr>
          <w:rFonts w:cstheme="minorHAnsi"/>
        </w:rPr>
      </w:pPr>
      <w:r>
        <w:t>***</w:t>
      </w:r>
    </w:p>
    <w:sectPr w:rsidR="000608BE" w:rsidRPr="000608BE" w:rsidSect="00C71C1F">
      <w:footerReference w:type="even" r:id="rId11"/>
      <w:footerReference w:type="default" r:id="rId12"/>
      <w:pgSz w:w="12240" w:h="15840" w:code="1"/>
      <w:pgMar w:top="1170" w:right="1260" w:bottom="1170"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eremy Weate" w:date="2017-09-30T09:27:00Z" w:initials="JW">
    <w:p w14:paraId="4DE9100C" w14:textId="76B6567A" w:rsidR="00494C03" w:rsidRDefault="00494C03">
      <w:pPr>
        <w:pStyle w:val="Commentaire"/>
      </w:pPr>
      <w:r>
        <w:rPr>
          <w:rStyle w:val="Marquedecommentaire"/>
        </w:rPr>
        <w:annotationRef/>
      </w:r>
      <w:r>
        <w:t>Sur la base des commentaires du Groupe multipartite et des discussions avec le Secrétariat international, le Validateur est maintenant d’accord avec l’évaluation initia</w:t>
      </w:r>
      <w:r w:rsidR="002C3458">
        <w:t xml:space="preserve">le selon laquelle l’Exigence </w:t>
      </w:r>
      <w:r>
        <w:t>4.2 va au-delà des exigences de la norme ITIE.   Il n’y a pas de condition obligatoire pour le rapprochement des revenus en nature. Les écarts qui se sont produits s’expliquent par les différences entre la comptabilité de trésorerie et la comptabilité d’exercice entre SOMO et les sociétés.</w:t>
      </w:r>
    </w:p>
  </w:comment>
  <w:comment w:id="2" w:author="Jeremy Weate" w:date="2017-09-30T09:27:00Z" w:initials="JW">
    <w:p w14:paraId="5B789AAB" w14:textId="5CBC3EBA" w:rsidR="00494C03" w:rsidRPr="00CB15DA" w:rsidRDefault="00494C03" w:rsidP="00C4341E">
      <w:pPr>
        <w:spacing w:after="0" w:line="240" w:lineRule="auto"/>
        <w:jc w:val="both"/>
        <w:rPr>
          <w:rFonts w:ascii="Calibri" w:eastAsia="Times New Roman" w:hAnsi="Calibri" w:cs="Times New Roman"/>
          <w:color w:val="000000"/>
        </w:rPr>
      </w:pPr>
      <w:r>
        <w:rPr>
          <w:rStyle w:val="Marquedecommentaire"/>
        </w:rPr>
        <w:annotationRef/>
      </w:r>
      <w:r>
        <w:t xml:space="preserve"> </w:t>
      </w:r>
      <w:r>
        <w:rPr>
          <w:rFonts w:ascii="Calibri" w:hAnsi="Calibri"/>
          <w:color w:val="000000"/>
        </w:rPr>
        <w:t>Sur la base des commentaires du Groupe multipartite et des discussions avec le Secrétariat international, le Validateur est maintenant d’accord avec l’évaluation initi</w:t>
      </w:r>
      <w:r>
        <w:rPr>
          <w:rFonts w:ascii="Calibri" w:hAnsi="Calibri"/>
          <w:noProof/>
          <w:color w:val="000000"/>
        </w:rPr>
        <w:t>ale selon laquelle l’Exigence</w:t>
      </w:r>
      <w:r w:rsidR="002C3458">
        <w:rPr>
          <w:rFonts w:ascii="Calibri" w:hAnsi="Calibri"/>
          <w:noProof/>
          <w:color w:val="000000"/>
        </w:rPr>
        <w:t> </w:t>
      </w:r>
      <w:r>
        <w:rPr>
          <w:rFonts w:ascii="Calibri" w:hAnsi="Calibri"/>
          <w:color w:val="000000"/>
        </w:rPr>
        <w:t>4.4 n’est pas applicable dans le cas de l’Irak : les coûts de transport encourus par les entreprises d’État concernées sont remboursés par le biais du processus budgétaire en Irak.</w:t>
      </w:r>
    </w:p>
    <w:p w14:paraId="3A75DB94" w14:textId="13220348" w:rsidR="00494C03" w:rsidRDefault="00494C03">
      <w:pPr>
        <w:pStyle w:val="Commentair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E9100C" w15:done="0"/>
  <w15:commentEx w15:paraId="3A75DB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E9100C" w16cid:durableId="1D7A16C3"/>
  <w16cid:commentId w16cid:paraId="3A75DB94" w16cid:durableId="1D7A16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7AFD4" w14:textId="77777777" w:rsidR="009E0C8C" w:rsidRDefault="009E0C8C" w:rsidP="00186F04">
      <w:pPr>
        <w:spacing w:after="0" w:line="240" w:lineRule="auto"/>
      </w:pPr>
      <w:r>
        <w:separator/>
      </w:r>
    </w:p>
  </w:endnote>
  <w:endnote w:type="continuationSeparator" w:id="0">
    <w:p w14:paraId="178C7ED5" w14:textId="77777777" w:rsidR="009E0C8C" w:rsidRDefault="009E0C8C" w:rsidP="0018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84F37" w14:textId="77777777" w:rsidR="00494C03" w:rsidRDefault="00494C03" w:rsidP="002C0FC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1131422" w14:textId="77777777" w:rsidR="00494C03" w:rsidRDefault="00494C03" w:rsidP="00185BF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03647" w14:textId="2EF2E57A" w:rsidR="00494C03" w:rsidRDefault="00494C03" w:rsidP="002C0FC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C3458">
      <w:rPr>
        <w:rStyle w:val="Numrodepage"/>
        <w:noProof/>
      </w:rPr>
      <w:t>8</w:t>
    </w:r>
    <w:r>
      <w:rPr>
        <w:rStyle w:val="Numrodepage"/>
      </w:rPr>
      <w:fldChar w:fldCharType="end"/>
    </w:r>
  </w:p>
  <w:p w14:paraId="57266DD4" w14:textId="77777777" w:rsidR="00494C03" w:rsidRDefault="00494C03" w:rsidP="00185BF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334BB" w14:textId="77777777" w:rsidR="009E0C8C" w:rsidRDefault="009E0C8C" w:rsidP="00186F04">
      <w:pPr>
        <w:spacing w:after="0" w:line="240" w:lineRule="auto"/>
      </w:pPr>
      <w:r>
        <w:separator/>
      </w:r>
    </w:p>
  </w:footnote>
  <w:footnote w:type="continuationSeparator" w:id="0">
    <w:p w14:paraId="0730325A" w14:textId="77777777" w:rsidR="009E0C8C" w:rsidRDefault="009E0C8C" w:rsidP="00186F04">
      <w:pPr>
        <w:spacing w:after="0" w:line="240" w:lineRule="auto"/>
      </w:pPr>
      <w:r>
        <w:continuationSeparator/>
      </w:r>
    </w:p>
  </w:footnote>
  <w:footnote w:id="1">
    <w:p w14:paraId="6706465B" w14:textId="3E35B098" w:rsidR="00494C03" w:rsidRPr="009C0604" w:rsidRDefault="00494C03" w:rsidP="005D069B">
      <w:pPr>
        <w:pStyle w:val="Notedebasdepage"/>
        <w:rPr>
          <w:rFonts w:asciiTheme="majorHAnsi" w:hAnsiTheme="majorHAnsi"/>
          <w:sz w:val="16"/>
          <w:szCs w:val="16"/>
        </w:rPr>
      </w:pPr>
      <w:r>
        <w:rPr>
          <w:rStyle w:val="Appelnotedebasdep"/>
          <w:rFonts w:asciiTheme="majorHAnsi" w:hAnsiTheme="majorHAnsi"/>
          <w:sz w:val="16"/>
        </w:rPr>
        <w:footnoteRef/>
      </w:r>
      <w:r>
        <w:rPr>
          <w:rFonts w:asciiTheme="majorHAnsi" w:hAnsiTheme="majorHAnsi"/>
          <w:sz w:val="16"/>
        </w:rPr>
        <w:t xml:space="preserve"> Définis comme comportant des réserves de plus de 5 milliards de barils de pétrole brut. </w:t>
      </w:r>
    </w:p>
  </w:footnote>
  <w:footnote w:id="2">
    <w:p w14:paraId="76C5EF51" w14:textId="10277568" w:rsidR="00494C03" w:rsidRPr="009C0604" w:rsidRDefault="00494C03" w:rsidP="005D069B">
      <w:pPr>
        <w:pStyle w:val="Notedebasdepage"/>
        <w:rPr>
          <w:rFonts w:asciiTheme="majorHAnsi" w:hAnsiTheme="majorHAnsi"/>
          <w:sz w:val="16"/>
          <w:szCs w:val="16"/>
        </w:rPr>
      </w:pPr>
      <w:r>
        <w:rPr>
          <w:rStyle w:val="Appelnotedebasdep"/>
          <w:rFonts w:asciiTheme="majorHAnsi" w:hAnsiTheme="majorHAnsi"/>
          <w:sz w:val="16"/>
        </w:rPr>
        <w:footnoteRef/>
      </w:r>
      <w:r>
        <w:rPr>
          <w:rFonts w:asciiTheme="majorHAnsi" w:hAnsiTheme="majorHAnsi"/>
          <w:sz w:val="16"/>
        </w:rPr>
        <w:t xml:space="preserve"> À la date de janvier 2016. </w:t>
      </w:r>
    </w:p>
  </w:footnote>
  <w:footnote w:id="3">
    <w:p w14:paraId="44E34EBB" w14:textId="76BFAF03" w:rsidR="00494C03" w:rsidRPr="009C0604" w:rsidRDefault="00494C03" w:rsidP="00484ABD">
      <w:pPr>
        <w:pStyle w:val="Notedebasdepage"/>
        <w:rPr>
          <w:rFonts w:asciiTheme="majorHAnsi" w:hAnsiTheme="majorHAnsi"/>
          <w:sz w:val="16"/>
          <w:szCs w:val="16"/>
        </w:rPr>
      </w:pPr>
      <w:r>
        <w:rPr>
          <w:rStyle w:val="Appelnotedebasdep"/>
          <w:rFonts w:asciiTheme="majorHAnsi" w:hAnsiTheme="majorHAnsi"/>
          <w:sz w:val="16"/>
        </w:rPr>
        <w:footnoteRef/>
      </w:r>
      <w:r>
        <w:rPr>
          <w:rFonts w:asciiTheme="majorHAnsi" w:hAnsiTheme="majorHAnsi"/>
          <w:sz w:val="16"/>
        </w:rPr>
        <w:t xml:space="preserve"> Sauf indication contraire, « lrak » ou « le gouvernement fédéral irakien » fait référence aux zones contrôlées par Bagdad et n’inclut pas le Gouvernement régional du Kurdistan (GRK).</w:t>
      </w:r>
    </w:p>
  </w:footnote>
  <w:footnote w:id="4">
    <w:p w14:paraId="0B227F08" w14:textId="77777777" w:rsidR="00494C03" w:rsidRPr="009C0604" w:rsidRDefault="00494C03" w:rsidP="00484ABD">
      <w:pPr>
        <w:pStyle w:val="Notedebasdepage"/>
        <w:rPr>
          <w:rFonts w:asciiTheme="majorHAnsi" w:hAnsiTheme="majorHAnsi"/>
          <w:sz w:val="16"/>
          <w:szCs w:val="16"/>
        </w:rPr>
      </w:pPr>
      <w:r>
        <w:rPr>
          <w:rStyle w:val="Appelnotedebasdep"/>
          <w:rFonts w:asciiTheme="majorHAnsi" w:hAnsiTheme="majorHAnsi"/>
          <w:sz w:val="16"/>
        </w:rPr>
        <w:footnoteRef/>
      </w:r>
      <w:r>
        <w:rPr>
          <w:rFonts w:asciiTheme="majorHAnsi" w:hAnsiTheme="majorHAnsi"/>
          <w:sz w:val="16"/>
        </w:rPr>
        <w:t xml:space="preserve"> </w:t>
      </w:r>
      <w:hyperlink r:id="rId1">
        <w:r>
          <w:rPr>
            <w:rStyle w:val="Lienhypertexte"/>
            <w:rFonts w:asciiTheme="majorHAnsi" w:hAnsiTheme="majorHAnsi"/>
            <w:sz w:val="16"/>
          </w:rPr>
          <w:t>https://www.imf.org/external/country/irq/</w:t>
        </w:r>
      </w:hyperlink>
      <w:r>
        <w:rPr>
          <w:rFonts w:asciiTheme="majorHAnsi" w:hAnsiTheme="majorHAnsi"/>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2"/>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55EB6"/>
    <w:multiLevelType w:val="multilevel"/>
    <w:tmpl w:val="493A948C"/>
    <w:lvl w:ilvl="0">
      <w:start w:val="1"/>
      <w:numFmt w:val="decimal"/>
      <w:lvlText w:val="%1."/>
      <w:lvlJc w:val="left"/>
      <w:pPr>
        <w:ind w:left="36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CB5CCD"/>
    <w:multiLevelType w:val="hybridMultilevel"/>
    <w:tmpl w:val="493A948C"/>
    <w:lvl w:ilvl="0" w:tplc="0409000F">
      <w:start w:val="1"/>
      <w:numFmt w:val="decimal"/>
      <w:lvlText w:val="%1."/>
      <w:lvlJc w:val="left"/>
      <w:pPr>
        <w:ind w:left="360" w:hanging="360"/>
      </w:pPr>
      <w:rPr>
        <w:rFonts w:hint="default"/>
      </w:rPr>
    </w:lvl>
    <w:lvl w:ilvl="1" w:tplc="04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DD6164"/>
    <w:multiLevelType w:val="multilevel"/>
    <w:tmpl w:val="B228248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D45DB0"/>
    <w:multiLevelType w:val="hybridMultilevel"/>
    <w:tmpl w:val="CE9028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C0A2CC0"/>
    <w:multiLevelType w:val="hybridMultilevel"/>
    <w:tmpl w:val="64EAEA56"/>
    <w:lvl w:ilvl="0" w:tplc="8E8E4996">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F7849E5"/>
    <w:multiLevelType w:val="hybridMultilevel"/>
    <w:tmpl w:val="39AE5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65690F"/>
    <w:multiLevelType w:val="hybridMultilevel"/>
    <w:tmpl w:val="4C38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64306"/>
    <w:multiLevelType w:val="hybridMultilevel"/>
    <w:tmpl w:val="0046C676"/>
    <w:lvl w:ilvl="0" w:tplc="BDE81F82">
      <w:start w:val="1"/>
      <w:numFmt w:val="decimal"/>
      <w:lvlText w:val="%1.1"/>
      <w:lvlJc w:val="left"/>
      <w:pPr>
        <w:ind w:left="360" w:hanging="360"/>
      </w:pPr>
      <w:rPr>
        <w:rFonts w:hint="default"/>
      </w:rPr>
    </w:lvl>
    <w:lvl w:ilvl="1" w:tplc="04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CF4408"/>
    <w:multiLevelType w:val="multilevel"/>
    <w:tmpl w:val="24202D26"/>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1"/>
  </w:num>
  <w:num w:numId="7">
    <w:abstractNumId w:val="8"/>
  </w:num>
  <w:num w:numId="8">
    <w:abstractNumId w:val="4"/>
  </w:num>
  <w:num w:numId="9">
    <w:abstractNumId w:val="0"/>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76"/>
    <w:rsid w:val="0000008D"/>
    <w:rsid w:val="00000EAA"/>
    <w:rsid w:val="00006738"/>
    <w:rsid w:val="000078E9"/>
    <w:rsid w:val="00010FBC"/>
    <w:rsid w:val="00012BF4"/>
    <w:rsid w:val="0001315D"/>
    <w:rsid w:val="000131DC"/>
    <w:rsid w:val="00016E7E"/>
    <w:rsid w:val="000175AE"/>
    <w:rsid w:val="00020DA4"/>
    <w:rsid w:val="000235AF"/>
    <w:rsid w:val="0002362B"/>
    <w:rsid w:val="00024230"/>
    <w:rsid w:val="000257C0"/>
    <w:rsid w:val="00026B56"/>
    <w:rsid w:val="0002747A"/>
    <w:rsid w:val="00032378"/>
    <w:rsid w:val="0003327A"/>
    <w:rsid w:val="00034E33"/>
    <w:rsid w:val="00040C82"/>
    <w:rsid w:val="00043B92"/>
    <w:rsid w:val="000451B8"/>
    <w:rsid w:val="0004522F"/>
    <w:rsid w:val="000458E0"/>
    <w:rsid w:val="00052B74"/>
    <w:rsid w:val="00052BA4"/>
    <w:rsid w:val="00052CF8"/>
    <w:rsid w:val="00054AFD"/>
    <w:rsid w:val="00055542"/>
    <w:rsid w:val="00056339"/>
    <w:rsid w:val="000608BE"/>
    <w:rsid w:val="000625CE"/>
    <w:rsid w:val="00063632"/>
    <w:rsid w:val="000639AA"/>
    <w:rsid w:val="0006457D"/>
    <w:rsid w:val="00066680"/>
    <w:rsid w:val="00066886"/>
    <w:rsid w:val="000668A8"/>
    <w:rsid w:val="00067645"/>
    <w:rsid w:val="00072E68"/>
    <w:rsid w:val="000740A8"/>
    <w:rsid w:val="00077722"/>
    <w:rsid w:val="00080AC4"/>
    <w:rsid w:val="00084829"/>
    <w:rsid w:val="00086E78"/>
    <w:rsid w:val="0008702B"/>
    <w:rsid w:val="00087545"/>
    <w:rsid w:val="00091E26"/>
    <w:rsid w:val="00093566"/>
    <w:rsid w:val="000948B3"/>
    <w:rsid w:val="00096C45"/>
    <w:rsid w:val="000A0B63"/>
    <w:rsid w:val="000A0C1A"/>
    <w:rsid w:val="000A2F16"/>
    <w:rsid w:val="000A3C50"/>
    <w:rsid w:val="000A3D4E"/>
    <w:rsid w:val="000A69B8"/>
    <w:rsid w:val="000B2406"/>
    <w:rsid w:val="000B2FAB"/>
    <w:rsid w:val="000C2A95"/>
    <w:rsid w:val="000C30FD"/>
    <w:rsid w:val="000C44C2"/>
    <w:rsid w:val="000C4539"/>
    <w:rsid w:val="000C53DD"/>
    <w:rsid w:val="000C5823"/>
    <w:rsid w:val="000C6419"/>
    <w:rsid w:val="000C7450"/>
    <w:rsid w:val="000D0AE4"/>
    <w:rsid w:val="000D2C70"/>
    <w:rsid w:val="000D69DE"/>
    <w:rsid w:val="000D6AB9"/>
    <w:rsid w:val="000D7037"/>
    <w:rsid w:val="000D71C1"/>
    <w:rsid w:val="000D7CEB"/>
    <w:rsid w:val="000E1506"/>
    <w:rsid w:val="000E1BF2"/>
    <w:rsid w:val="000E24F7"/>
    <w:rsid w:val="000E2EF6"/>
    <w:rsid w:val="000E345F"/>
    <w:rsid w:val="000F3FE0"/>
    <w:rsid w:val="000F47AA"/>
    <w:rsid w:val="000F5101"/>
    <w:rsid w:val="000F5A22"/>
    <w:rsid w:val="000F6A0D"/>
    <w:rsid w:val="000F7F99"/>
    <w:rsid w:val="00100B28"/>
    <w:rsid w:val="00103020"/>
    <w:rsid w:val="00106D21"/>
    <w:rsid w:val="00106D40"/>
    <w:rsid w:val="001109C2"/>
    <w:rsid w:val="00112A19"/>
    <w:rsid w:val="00113151"/>
    <w:rsid w:val="00114464"/>
    <w:rsid w:val="00116C05"/>
    <w:rsid w:val="001212FD"/>
    <w:rsid w:val="001244EB"/>
    <w:rsid w:val="00124A0A"/>
    <w:rsid w:val="00125E59"/>
    <w:rsid w:val="00131F3F"/>
    <w:rsid w:val="0013451F"/>
    <w:rsid w:val="00140F76"/>
    <w:rsid w:val="00142290"/>
    <w:rsid w:val="001427A5"/>
    <w:rsid w:val="00143D5A"/>
    <w:rsid w:val="00146EC1"/>
    <w:rsid w:val="00151499"/>
    <w:rsid w:val="00155749"/>
    <w:rsid w:val="00161877"/>
    <w:rsid w:val="00162976"/>
    <w:rsid w:val="001645A4"/>
    <w:rsid w:val="00166319"/>
    <w:rsid w:val="00171CE0"/>
    <w:rsid w:val="00172322"/>
    <w:rsid w:val="001748FF"/>
    <w:rsid w:val="00176B8D"/>
    <w:rsid w:val="0017792C"/>
    <w:rsid w:val="0018007F"/>
    <w:rsid w:val="001817EE"/>
    <w:rsid w:val="00182F37"/>
    <w:rsid w:val="0018358C"/>
    <w:rsid w:val="00184391"/>
    <w:rsid w:val="00185BF5"/>
    <w:rsid w:val="001861D5"/>
    <w:rsid w:val="001862E9"/>
    <w:rsid w:val="0018631A"/>
    <w:rsid w:val="00186F04"/>
    <w:rsid w:val="00191216"/>
    <w:rsid w:val="001921DC"/>
    <w:rsid w:val="001946A4"/>
    <w:rsid w:val="00197D6B"/>
    <w:rsid w:val="001A132E"/>
    <w:rsid w:val="001A386F"/>
    <w:rsid w:val="001A50F7"/>
    <w:rsid w:val="001A6431"/>
    <w:rsid w:val="001B3B6F"/>
    <w:rsid w:val="001C1952"/>
    <w:rsid w:val="001C33F5"/>
    <w:rsid w:val="001C3829"/>
    <w:rsid w:val="001D3A2B"/>
    <w:rsid w:val="001D4318"/>
    <w:rsid w:val="001D68E2"/>
    <w:rsid w:val="001D759A"/>
    <w:rsid w:val="001D7AA3"/>
    <w:rsid w:val="001E3EAC"/>
    <w:rsid w:val="001F0A27"/>
    <w:rsid w:val="001F6B6D"/>
    <w:rsid w:val="00200EC6"/>
    <w:rsid w:val="00201632"/>
    <w:rsid w:val="00201EB8"/>
    <w:rsid w:val="00205C1B"/>
    <w:rsid w:val="00205CD3"/>
    <w:rsid w:val="00205F21"/>
    <w:rsid w:val="00206382"/>
    <w:rsid w:val="002109FB"/>
    <w:rsid w:val="002200AD"/>
    <w:rsid w:val="0022274E"/>
    <w:rsid w:val="002234D7"/>
    <w:rsid w:val="00232B37"/>
    <w:rsid w:val="00232D0F"/>
    <w:rsid w:val="00233DB9"/>
    <w:rsid w:val="002370E4"/>
    <w:rsid w:val="002402D7"/>
    <w:rsid w:val="002416D0"/>
    <w:rsid w:val="00243D4F"/>
    <w:rsid w:val="00243FF7"/>
    <w:rsid w:val="00244055"/>
    <w:rsid w:val="002466C7"/>
    <w:rsid w:val="002505AD"/>
    <w:rsid w:val="0025100A"/>
    <w:rsid w:val="00252B84"/>
    <w:rsid w:val="00255687"/>
    <w:rsid w:val="00255ACF"/>
    <w:rsid w:val="00256D61"/>
    <w:rsid w:val="002571C9"/>
    <w:rsid w:val="002576A4"/>
    <w:rsid w:val="002577E7"/>
    <w:rsid w:val="002609AC"/>
    <w:rsid w:val="00260A19"/>
    <w:rsid w:val="0026125F"/>
    <w:rsid w:val="00265099"/>
    <w:rsid w:val="002661D4"/>
    <w:rsid w:val="00266A77"/>
    <w:rsid w:val="002679BC"/>
    <w:rsid w:val="00271086"/>
    <w:rsid w:val="00271BC7"/>
    <w:rsid w:val="002723E4"/>
    <w:rsid w:val="00272A27"/>
    <w:rsid w:val="00273070"/>
    <w:rsid w:val="002730B2"/>
    <w:rsid w:val="00274673"/>
    <w:rsid w:val="00275241"/>
    <w:rsid w:val="0027612C"/>
    <w:rsid w:val="002807CA"/>
    <w:rsid w:val="00280C48"/>
    <w:rsid w:val="00283F39"/>
    <w:rsid w:val="00285F1D"/>
    <w:rsid w:val="00286C7B"/>
    <w:rsid w:val="002875D7"/>
    <w:rsid w:val="00287F73"/>
    <w:rsid w:val="00291451"/>
    <w:rsid w:val="00292CAD"/>
    <w:rsid w:val="002939E2"/>
    <w:rsid w:val="00294906"/>
    <w:rsid w:val="002A10E4"/>
    <w:rsid w:val="002A2D01"/>
    <w:rsid w:val="002A3A13"/>
    <w:rsid w:val="002A3D9D"/>
    <w:rsid w:val="002A5801"/>
    <w:rsid w:val="002A7BC6"/>
    <w:rsid w:val="002B2A68"/>
    <w:rsid w:val="002B3318"/>
    <w:rsid w:val="002B3865"/>
    <w:rsid w:val="002B53EF"/>
    <w:rsid w:val="002C0504"/>
    <w:rsid w:val="002C0FC7"/>
    <w:rsid w:val="002C1876"/>
    <w:rsid w:val="002C25D5"/>
    <w:rsid w:val="002C3458"/>
    <w:rsid w:val="002C60C6"/>
    <w:rsid w:val="002C640F"/>
    <w:rsid w:val="002C67FF"/>
    <w:rsid w:val="002C75F5"/>
    <w:rsid w:val="002D1528"/>
    <w:rsid w:val="002D2440"/>
    <w:rsid w:val="002D4B3C"/>
    <w:rsid w:val="002D6BB1"/>
    <w:rsid w:val="002E4B8C"/>
    <w:rsid w:val="002E4D95"/>
    <w:rsid w:val="002E590F"/>
    <w:rsid w:val="002E7D4A"/>
    <w:rsid w:val="002F4158"/>
    <w:rsid w:val="002F594B"/>
    <w:rsid w:val="002F73B1"/>
    <w:rsid w:val="00303148"/>
    <w:rsid w:val="0030570C"/>
    <w:rsid w:val="003063CA"/>
    <w:rsid w:val="00306890"/>
    <w:rsid w:val="00307CAE"/>
    <w:rsid w:val="00307DC4"/>
    <w:rsid w:val="00310D77"/>
    <w:rsid w:val="00314413"/>
    <w:rsid w:val="00314572"/>
    <w:rsid w:val="00315CBE"/>
    <w:rsid w:val="003166B3"/>
    <w:rsid w:val="00320061"/>
    <w:rsid w:val="00321499"/>
    <w:rsid w:val="0032211D"/>
    <w:rsid w:val="0032249A"/>
    <w:rsid w:val="003256AB"/>
    <w:rsid w:val="00325E55"/>
    <w:rsid w:val="003267A5"/>
    <w:rsid w:val="0033180A"/>
    <w:rsid w:val="0033333C"/>
    <w:rsid w:val="00333CE7"/>
    <w:rsid w:val="00333DBB"/>
    <w:rsid w:val="00334685"/>
    <w:rsid w:val="0033525E"/>
    <w:rsid w:val="00340268"/>
    <w:rsid w:val="00344212"/>
    <w:rsid w:val="00346286"/>
    <w:rsid w:val="00347E11"/>
    <w:rsid w:val="00351B5C"/>
    <w:rsid w:val="00362704"/>
    <w:rsid w:val="00363CA8"/>
    <w:rsid w:val="0036418F"/>
    <w:rsid w:val="00364807"/>
    <w:rsid w:val="0036521A"/>
    <w:rsid w:val="00373DD8"/>
    <w:rsid w:val="00375307"/>
    <w:rsid w:val="00376AFA"/>
    <w:rsid w:val="00377024"/>
    <w:rsid w:val="0037743F"/>
    <w:rsid w:val="00380CCB"/>
    <w:rsid w:val="00381155"/>
    <w:rsid w:val="0038180E"/>
    <w:rsid w:val="00382343"/>
    <w:rsid w:val="0038392A"/>
    <w:rsid w:val="00384CAF"/>
    <w:rsid w:val="00384E97"/>
    <w:rsid w:val="003857B3"/>
    <w:rsid w:val="00390D5F"/>
    <w:rsid w:val="00392B71"/>
    <w:rsid w:val="003934A3"/>
    <w:rsid w:val="00393564"/>
    <w:rsid w:val="00393AA5"/>
    <w:rsid w:val="00394D1E"/>
    <w:rsid w:val="003950DC"/>
    <w:rsid w:val="00395479"/>
    <w:rsid w:val="0039698B"/>
    <w:rsid w:val="003A26C7"/>
    <w:rsid w:val="003A4AC6"/>
    <w:rsid w:val="003A5D1F"/>
    <w:rsid w:val="003A7667"/>
    <w:rsid w:val="003B0726"/>
    <w:rsid w:val="003B1788"/>
    <w:rsid w:val="003B48A7"/>
    <w:rsid w:val="003B5076"/>
    <w:rsid w:val="003B64A4"/>
    <w:rsid w:val="003B7FE9"/>
    <w:rsid w:val="003C0848"/>
    <w:rsid w:val="003C3DFC"/>
    <w:rsid w:val="003C41A8"/>
    <w:rsid w:val="003C4611"/>
    <w:rsid w:val="003C55B1"/>
    <w:rsid w:val="003C7904"/>
    <w:rsid w:val="003D1826"/>
    <w:rsid w:val="003D19A9"/>
    <w:rsid w:val="003D3D96"/>
    <w:rsid w:val="003D4499"/>
    <w:rsid w:val="003D4EF9"/>
    <w:rsid w:val="003E11EA"/>
    <w:rsid w:val="003E7306"/>
    <w:rsid w:val="003F1B6C"/>
    <w:rsid w:val="003F1C2B"/>
    <w:rsid w:val="003F2A08"/>
    <w:rsid w:val="003F30F3"/>
    <w:rsid w:val="003F3321"/>
    <w:rsid w:val="003F33B0"/>
    <w:rsid w:val="003F52C0"/>
    <w:rsid w:val="00400D91"/>
    <w:rsid w:val="00402384"/>
    <w:rsid w:val="00403081"/>
    <w:rsid w:val="00403C59"/>
    <w:rsid w:val="00403D48"/>
    <w:rsid w:val="00404575"/>
    <w:rsid w:val="00404829"/>
    <w:rsid w:val="00406FF1"/>
    <w:rsid w:val="00407054"/>
    <w:rsid w:val="00411047"/>
    <w:rsid w:val="004200CA"/>
    <w:rsid w:val="00420CFE"/>
    <w:rsid w:val="00421F12"/>
    <w:rsid w:val="00422BC2"/>
    <w:rsid w:val="0042550B"/>
    <w:rsid w:val="00425EE0"/>
    <w:rsid w:val="00425F66"/>
    <w:rsid w:val="004306DD"/>
    <w:rsid w:val="00430FAA"/>
    <w:rsid w:val="00431189"/>
    <w:rsid w:val="0043214E"/>
    <w:rsid w:val="00432C81"/>
    <w:rsid w:val="00441E23"/>
    <w:rsid w:val="00447899"/>
    <w:rsid w:val="00447C69"/>
    <w:rsid w:val="004526E1"/>
    <w:rsid w:val="004561B8"/>
    <w:rsid w:val="0045757A"/>
    <w:rsid w:val="00460639"/>
    <w:rsid w:val="00460C86"/>
    <w:rsid w:val="00460EC4"/>
    <w:rsid w:val="0046105E"/>
    <w:rsid w:val="004623D8"/>
    <w:rsid w:val="00462D99"/>
    <w:rsid w:val="00465FBB"/>
    <w:rsid w:val="004663D8"/>
    <w:rsid w:val="00466F03"/>
    <w:rsid w:val="0047251C"/>
    <w:rsid w:val="00474234"/>
    <w:rsid w:val="00474343"/>
    <w:rsid w:val="00474858"/>
    <w:rsid w:val="004752AF"/>
    <w:rsid w:val="00476A12"/>
    <w:rsid w:val="00484ABD"/>
    <w:rsid w:val="004855CE"/>
    <w:rsid w:val="004855E9"/>
    <w:rsid w:val="00486BD8"/>
    <w:rsid w:val="00487012"/>
    <w:rsid w:val="004872C6"/>
    <w:rsid w:val="00487513"/>
    <w:rsid w:val="00490165"/>
    <w:rsid w:val="004911B9"/>
    <w:rsid w:val="00493D90"/>
    <w:rsid w:val="0049495E"/>
    <w:rsid w:val="00494C03"/>
    <w:rsid w:val="0049754F"/>
    <w:rsid w:val="004A0786"/>
    <w:rsid w:val="004A0B48"/>
    <w:rsid w:val="004A54DF"/>
    <w:rsid w:val="004A6C81"/>
    <w:rsid w:val="004B10D1"/>
    <w:rsid w:val="004B2253"/>
    <w:rsid w:val="004B2428"/>
    <w:rsid w:val="004B3273"/>
    <w:rsid w:val="004B348A"/>
    <w:rsid w:val="004B4969"/>
    <w:rsid w:val="004B5FE7"/>
    <w:rsid w:val="004C04D7"/>
    <w:rsid w:val="004C534B"/>
    <w:rsid w:val="004C6979"/>
    <w:rsid w:val="004C6C04"/>
    <w:rsid w:val="004D0E1C"/>
    <w:rsid w:val="004D5961"/>
    <w:rsid w:val="004D645B"/>
    <w:rsid w:val="004D7FC9"/>
    <w:rsid w:val="004E0BE2"/>
    <w:rsid w:val="004E442C"/>
    <w:rsid w:val="004E6B86"/>
    <w:rsid w:val="004F0128"/>
    <w:rsid w:val="004F0B0E"/>
    <w:rsid w:val="004F2CA7"/>
    <w:rsid w:val="004F300B"/>
    <w:rsid w:val="004F42C6"/>
    <w:rsid w:val="004F7D10"/>
    <w:rsid w:val="00501794"/>
    <w:rsid w:val="00501F2F"/>
    <w:rsid w:val="00504018"/>
    <w:rsid w:val="005046F3"/>
    <w:rsid w:val="00505BAC"/>
    <w:rsid w:val="005063FA"/>
    <w:rsid w:val="005105D2"/>
    <w:rsid w:val="00511324"/>
    <w:rsid w:val="00511804"/>
    <w:rsid w:val="00512ADD"/>
    <w:rsid w:val="005140A5"/>
    <w:rsid w:val="00516DAC"/>
    <w:rsid w:val="00517B78"/>
    <w:rsid w:val="00517FFB"/>
    <w:rsid w:val="00521EA7"/>
    <w:rsid w:val="005227C1"/>
    <w:rsid w:val="0052678F"/>
    <w:rsid w:val="00527026"/>
    <w:rsid w:val="00527027"/>
    <w:rsid w:val="0053095C"/>
    <w:rsid w:val="00530F33"/>
    <w:rsid w:val="0053408A"/>
    <w:rsid w:val="005362E3"/>
    <w:rsid w:val="005379B3"/>
    <w:rsid w:val="00543342"/>
    <w:rsid w:val="005434A8"/>
    <w:rsid w:val="00546A35"/>
    <w:rsid w:val="005509F3"/>
    <w:rsid w:val="00551A79"/>
    <w:rsid w:val="00554692"/>
    <w:rsid w:val="00554A84"/>
    <w:rsid w:val="00555FC2"/>
    <w:rsid w:val="005560CF"/>
    <w:rsid w:val="0055661F"/>
    <w:rsid w:val="00560392"/>
    <w:rsid w:val="005625E1"/>
    <w:rsid w:val="00562D78"/>
    <w:rsid w:val="005639C7"/>
    <w:rsid w:val="00563A07"/>
    <w:rsid w:val="005676C1"/>
    <w:rsid w:val="00570CCE"/>
    <w:rsid w:val="00572CE5"/>
    <w:rsid w:val="00573AAF"/>
    <w:rsid w:val="0057439F"/>
    <w:rsid w:val="00574839"/>
    <w:rsid w:val="005749BE"/>
    <w:rsid w:val="00575789"/>
    <w:rsid w:val="005766FF"/>
    <w:rsid w:val="005767D3"/>
    <w:rsid w:val="005771D0"/>
    <w:rsid w:val="005810AD"/>
    <w:rsid w:val="00581B23"/>
    <w:rsid w:val="00583A02"/>
    <w:rsid w:val="00585073"/>
    <w:rsid w:val="005872A9"/>
    <w:rsid w:val="005900C1"/>
    <w:rsid w:val="005903F2"/>
    <w:rsid w:val="00590CD7"/>
    <w:rsid w:val="005939AC"/>
    <w:rsid w:val="00596E83"/>
    <w:rsid w:val="005A0923"/>
    <w:rsid w:val="005A0985"/>
    <w:rsid w:val="005A3EDA"/>
    <w:rsid w:val="005A45C3"/>
    <w:rsid w:val="005B1E0C"/>
    <w:rsid w:val="005B7604"/>
    <w:rsid w:val="005C0DD5"/>
    <w:rsid w:val="005C1E52"/>
    <w:rsid w:val="005C3ADE"/>
    <w:rsid w:val="005C3DCD"/>
    <w:rsid w:val="005C7005"/>
    <w:rsid w:val="005D069B"/>
    <w:rsid w:val="005D0773"/>
    <w:rsid w:val="005D0D9D"/>
    <w:rsid w:val="005D146A"/>
    <w:rsid w:val="005D4E65"/>
    <w:rsid w:val="005D547A"/>
    <w:rsid w:val="005D64D1"/>
    <w:rsid w:val="005D74C7"/>
    <w:rsid w:val="005E258B"/>
    <w:rsid w:val="005E2F26"/>
    <w:rsid w:val="005E6402"/>
    <w:rsid w:val="005E7CB7"/>
    <w:rsid w:val="005F391B"/>
    <w:rsid w:val="005F55FB"/>
    <w:rsid w:val="00604FF2"/>
    <w:rsid w:val="006125E3"/>
    <w:rsid w:val="00614D35"/>
    <w:rsid w:val="0061665A"/>
    <w:rsid w:val="006227AF"/>
    <w:rsid w:val="00623492"/>
    <w:rsid w:val="00623D3C"/>
    <w:rsid w:val="00623EF8"/>
    <w:rsid w:val="006274A2"/>
    <w:rsid w:val="00627573"/>
    <w:rsid w:val="00630C29"/>
    <w:rsid w:val="00633888"/>
    <w:rsid w:val="00634FBC"/>
    <w:rsid w:val="00635030"/>
    <w:rsid w:val="006369C6"/>
    <w:rsid w:val="00637542"/>
    <w:rsid w:val="00637ED8"/>
    <w:rsid w:val="00641943"/>
    <w:rsid w:val="0064338D"/>
    <w:rsid w:val="00645AC4"/>
    <w:rsid w:val="00646249"/>
    <w:rsid w:val="00647BA8"/>
    <w:rsid w:val="00650747"/>
    <w:rsid w:val="006511EE"/>
    <w:rsid w:val="006528B2"/>
    <w:rsid w:val="00655133"/>
    <w:rsid w:val="00655EB3"/>
    <w:rsid w:val="00656C60"/>
    <w:rsid w:val="00663A70"/>
    <w:rsid w:val="0066559A"/>
    <w:rsid w:val="0066592A"/>
    <w:rsid w:val="0067079A"/>
    <w:rsid w:val="006745FB"/>
    <w:rsid w:val="00674996"/>
    <w:rsid w:val="00675A25"/>
    <w:rsid w:val="00682CBF"/>
    <w:rsid w:val="00682EFA"/>
    <w:rsid w:val="006834F9"/>
    <w:rsid w:val="0068487E"/>
    <w:rsid w:val="006910F3"/>
    <w:rsid w:val="00691602"/>
    <w:rsid w:val="006919A4"/>
    <w:rsid w:val="00692422"/>
    <w:rsid w:val="006944BB"/>
    <w:rsid w:val="006951CD"/>
    <w:rsid w:val="00695C72"/>
    <w:rsid w:val="006960C7"/>
    <w:rsid w:val="006976C8"/>
    <w:rsid w:val="006A0DF3"/>
    <w:rsid w:val="006A50DC"/>
    <w:rsid w:val="006A5849"/>
    <w:rsid w:val="006A6EE1"/>
    <w:rsid w:val="006B4CDF"/>
    <w:rsid w:val="006B52FA"/>
    <w:rsid w:val="006B688F"/>
    <w:rsid w:val="006C0CDF"/>
    <w:rsid w:val="006C43F6"/>
    <w:rsid w:val="006C56E6"/>
    <w:rsid w:val="006D058E"/>
    <w:rsid w:val="006D5EA2"/>
    <w:rsid w:val="006D718F"/>
    <w:rsid w:val="006D7323"/>
    <w:rsid w:val="006E04A7"/>
    <w:rsid w:val="006E0670"/>
    <w:rsid w:val="006E53C1"/>
    <w:rsid w:val="006F0D0F"/>
    <w:rsid w:val="006F0D9A"/>
    <w:rsid w:val="006F1CB2"/>
    <w:rsid w:val="006F208D"/>
    <w:rsid w:val="006F4E34"/>
    <w:rsid w:val="006F54EB"/>
    <w:rsid w:val="006F6C76"/>
    <w:rsid w:val="006F6FD1"/>
    <w:rsid w:val="007057B2"/>
    <w:rsid w:val="00710D95"/>
    <w:rsid w:val="007122AF"/>
    <w:rsid w:val="00712372"/>
    <w:rsid w:val="007144B0"/>
    <w:rsid w:val="007148AA"/>
    <w:rsid w:val="007173FD"/>
    <w:rsid w:val="00717845"/>
    <w:rsid w:val="007211CC"/>
    <w:rsid w:val="00721280"/>
    <w:rsid w:val="00721C29"/>
    <w:rsid w:val="0072316D"/>
    <w:rsid w:val="00723260"/>
    <w:rsid w:val="0072571A"/>
    <w:rsid w:val="0073578D"/>
    <w:rsid w:val="00737D5D"/>
    <w:rsid w:val="00737E2E"/>
    <w:rsid w:val="0074091B"/>
    <w:rsid w:val="00740C2D"/>
    <w:rsid w:val="007413D3"/>
    <w:rsid w:val="00742650"/>
    <w:rsid w:val="007430E1"/>
    <w:rsid w:val="0074366E"/>
    <w:rsid w:val="00744454"/>
    <w:rsid w:val="007454CA"/>
    <w:rsid w:val="00745B79"/>
    <w:rsid w:val="0074662E"/>
    <w:rsid w:val="00750730"/>
    <w:rsid w:val="00750901"/>
    <w:rsid w:val="00751EFD"/>
    <w:rsid w:val="00754851"/>
    <w:rsid w:val="00757AF9"/>
    <w:rsid w:val="007610B9"/>
    <w:rsid w:val="00761D22"/>
    <w:rsid w:val="00766D41"/>
    <w:rsid w:val="00767209"/>
    <w:rsid w:val="00770734"/>
    <w:rsid w:val="00772924"/>
    <w:rsid w:val="00776B0E"/>
    <w:rsid w:val="00776C2D"/>
    <w:rsid w:val="00780054"/>
    <w:rsid w:val="007817D2"/>
    <w:rsid w:val="007830A7"/>
    <w:rsid w:val="00783488"/>
    <w:rsid w:val="00785F68"/>
    <w:rsid w:val="00786845"/>
    <w:rsid w:val="00787A65"/>
    <w:rsid w:val="00794895"/>
    <w:rsid w:val="00795D6F"/>
    <w:rsid w:val="007A1C92"/>
    <w:rsid w:val="007A2F0A"/>
    <w:rsid w:val="007A4AAF"/>
    <w:rsid w:val="007A5596"/>
    <w:rsid w:val="007A6A78"/>
    <w:rsid w:val="007A716C"/>
    <w:rsid w:val="007B1E7B"/>
    <w:rsid w:val="007B254D"/>
    <w:rsid w:val="007B29DA"/>
    <w:rsid w:val="007B3640"/>
    <w:rsid w:val="007B4CB8"/>
    <w:rsid w:val="007B4FD2"/>
    <w:rsid w:val="007B54EB"/>
    <w:rsid w:val="007B5B50"/>
    <w:rsid w:val="007B5F54"/>
    <w:rsid w:val="007B660A"/>
    <w:rsid w:val="007B66A0"/>
    <w:rsid w:val="007B708B"/>
    <w:rsid w:val="007B71B4"/>
    <w:rsid w:val="007B73A9"/>
    <w:rsid w:val="007C0497"/>
    <w:rsid w:val="007C3785"/>
    <w:rsid w:val="007D1611"/>
    <w:rsid w:val="007D16DE"/>
    <w:rsid w:val="007D33F8"/>
    <w:rsid w:val="007D380E"/>
    <w:rsid w:val="007D429D"/>
    <w:rsid w:val="007D48CD"/>
    <w:rsid w:val="007E1CEC"/>
    <w:rsid w:val="007E28F0"/>
    <w:rsid w:val="007E4AE0"/>
    <w:rsid w:val="007E5B01"/>
    <w:rsid w:val="007E73F3"/>
    <w:rsid w:val="007F10B5"/>
    <w:rsid w:val="007F1C2E"/>
    <w:rsid w:val="007F2D87"/>
    <w:rsid w:val="007F318E"/>
    <w:rsid w:val="007F5E89"/>
    <w:rsid w:val="007F60D3"/>
    <w:rsid w:val="007F730B"/>
    <w:rsid w:val="007F7FDF"/>
    <w:rsid w:val="00800CDD"/>
    <w:rsid w:val="00802D4A"/>
    <w:rsid w:val="00803CB3"/>
    <w:rsid w:val="0080431C"/>
    <w:rsid w:val="008116D3"/>
    <w:rsid w:val="00813694"/>
    <w:rsid w:val="00815301"/>
    <w:rsid w:val="0081641D"/>
    <w:rsid w:val="00823D46"/>
    <w:rsid w:val="00824402"/>
    <w:rsid w:val="00825CD1"/>
    <w:rsid w:val="00830F20"/>
    <w:rsid w:val="00833DCA"/>
    <w:rsid w:val="00840C7F"/>
    <w:rsid w:val="0084290B"/>
    <w:rsid w:val="00850815"/>
    <w:rsid w:val="0085150B"/>
    <w:rsid w:val="00852CC3"/>
    <w:rsid w:val="00857314"/>
    <w:rsid w:val="00860B70"/>
    <w:rsid w:val="00860D5F"/>
    <w:rsid w:val="00865D33"/>
    <w:rsid w:val="008661EA"/>
    <w:rsid w:val="008721E4"/>
    <w:rsid w:val="00874A03"/>
    <w:rsid w:val="00874C2F"/>
    <w:rsid w:val="00874CF2"/>
    <w:rsid w:val="008761C1"/>
    <w:rsid w:val="008826A2"/>
    <w:rsid w:val="00886D03"/>
    <w:rsid w:val="00894529"/>
    <w:rsid w:val="0089655B"/>
    <w:rsid w:val="008B121A"/>
    <w:rsid w:val="008B3137"/>
    <w:rsid w:val="008B4CB1"/>
    <w:rsid w:val="008B667D"/>
    <w:rsid w:val="008B7147"/>
    <w:rsid w:val="008C0ECA"/>
    <w:rsid w:val="008C1814"/>
    <w:rsid w:val="008C4492"/>
    <w:rsid w:val="008D172E"/>
    <w:rsid w:val="008D5482"/>
    <w:rsid w:val="008D78FC"/>
    <w:rsid w:val="008D79EB"/>
    <w:rsid w:val="008E009D"/>
    <w:rsid w:val="008E0C36"/>
    <w:rsid w:val="008E0D4E"/>
    <w:rsid w:val="008E16D4"/>
    <w:rsid w:val="008E2677"/>
    <w:rsid w:val="008E410C"/>
    <w:rsid w:val="008E537B"/>
    <w:rsid w:val="008E5EE5"/>
    <w:rsid w:val="008F07C2"/>
    <w:rsid w:val="008F1C8B"/>
    <w:rsid w:val="008F3335"/>
    <w:rsid w:val="008F4867"/>
    <w:rsid w:val="008F7C5B"/>
    <w:rsid w:val="008F7EC5"/>
    <w:rsid w:val="00902651"/>
    <w:rsid w:val="00902A78"/>
    <w:rsid w:val="00903744"/>
    <w:rsid w:val="00903C9E"/>
    <w:rsid w:val="00903E42"/>
    <w:rsid w:val="0090462C"/>
    <w:rsid w:val="0090474E"/>
    <w:rsid w:val="00905186"/>
    <w:rsid w:val="00905644"/>
    <w:rsid w:val="00906DA4"/>
    <w:rsid w:val="00911C86"/>
    <w:rsid w:val="009123C8"/>
    <w:rsid w:val="00912864"/>
    <w:rsid w:val="009143D5"/>
    <w:rsid w:val="009155AD"/>
    <w:rsid w:val="00915E6C"/>
    <w:rsid w:val="0091688B"/>
    <w:rsid w:val="00916ADD"/>
    <w:rsid w:val="0092137D"/>
    <w:rsid w:val="00924DC3"/>
    <w:rsid w:val="0092600C"/>
    <w:rsid w:val="00930609"/>
    <w:rsid w:val="00932E1B"/>
    <w:rsid w:val="00936119"/>
    <w:rsid w:val="00937F9D"/>
    <w:rsid w:val="0094108D"/>
    <w:rsid w:val="00941286"/>
    <w:rsid w:val="0094181A"/>
    <w:rsid w:val="00941D2C"/>
    <w:rsid w:val="009429A2"/>
    <w:rsid w:val="00944954"/>
    <w:rsid w:val="00945CB6"/>
    <w:rsid w:val="0094655E"/>
    <w:rsid w:val="009508CB"/>
    <w:rsid w:val="00950B14"/>
    <w:rsid w:val="0095193E"/>
    <w:rsid w:val="00951DF1"/>
    <w:rsid w:val="00953F64"/>
    <w:rsid w:val="00954096"/>
    <w:rsid w:val="009550D1"/>
    <w:rsid w:val="009551FD"/>
    <w:rsid w:val="009574AE"/>
    <w:rsid w:val="00957574"/>
    <w:rsid w:val="00961B28"/>
    <w:rsid w:val="00962437"/>
    <w:rsid w:val="00962F6C"/>
    <w:rsid w:val="00964A41"/>
    <w:rsid w:val="0096519D"/>
    <w:rsid w:val="009677D5"/>
    <w:rsid w:val="0096785F"/>
    <w:rsid w:val="0097024C"/>
    <w:rsid w:val="00970DFB"/>
    <w:rsid w:val="009712AD"/>
    <w:rsid w:val="00972743"/>
    <w:rsid w:val="00972E76"/>
    <w:rsid w:val="0097367B"/>
    <w:rsid w:val="00973CC9"/>
    <w:rsid w:val="009815A8"/>
    <w:rsid w:val="0098211F"/>
    <w:rsid w:val="00985885"/>
    <w:rsid w:val="00990351"/>
    <w:rsid w:val="00990CD0"/>
    <w:rsid w:val="00995FA6"/>
    <w:rsid w:val="00997C83"/>
    <w:rsid w:val="009A03D9"/>
    <w:rsid w:val="009A2490"/>
    <w:rsid w:val="009A25AC"/>
    <w:rsid w:val="009A58DE"/>
    <w:rsid w:val="009B0699"/>
    <w:rsid w:val="009B0806"/>
    <w:rsid w:val="009B2767"/>
    <w:rsid w:val="009B2EEB"/>
    <w:rsid w:val="009B4AC8"/>
    <w:rsid w:val="009B6799"/>
    <w:rsid w:val="009B6B17"/>
    <w:rsid w:val="009B7BDA"/>
    <w:rsid w:val="009C1A8A"/>
    <w:rsid w:val="009C4089"/>
    <w:rsid w:val="009D2723"/>
    <w:rsid w:val="009D4EA9"/>
    <w:rsid w:val="009D58E6"/>
    <w:rsid w:val="009E0C8C"/>
    <w:rsid w:val="009E28B1"/>
    <w:rsid w:val="009E3509"/>
    <w:rsid w:val="009E7803"/>
    <w:rsid w:val="009E780B"/>
    <w:rsid w:val="009F1FB7"/>
    <w:rsid w:val="009F2700"/>
    <w:rsid w:val="009F6C43"/>
    <w:rsid w:val="00A0179E"/>
    <w:rsid w:val="00A01C92"/>
    <w:rsid w:val="00A023FA"/>
    <w:rsid w:val="00A0249F"/>
    <w:rsid w:val="00A03FEB"/>
    <w:rsid w:val="00A04230"/>
    <w:rsid w:val="00A15B94"/>
    <w:rsid w:val="00A16606"/>
    <w:rsid w:val="00A16EDC"/>
    <w:rsid w:val="00A1799A"/>
    <w:rsid w:val="00A20847"/>
    <w:rsid w:val="00A22D21"/>
    <w:rsid w:val="00A33B07"/>
    <w:rsid w:val="00A43946"/>
    <w:rsid w:val="00A4497F"/>
    <w:rsid w:val="00A4629A"/>
    <w:rsid w:val="00A464D8"/>
    <w:rsid w:val="00A46E39"/>
    <w:rsid w:val="00A47026"/>
    <w:rsid w:val="00A531BC"/>
    <w:rsid w:val="00A54825"/>
    <w:rsid w:val="00A57147"/>
    <w:rsid w:val="00A57487"/>
    <w:rsid w:val="00A57C07"/>
    <w:rsid w:val="00A60A4A"/>
    <w:rsid w:val="00A65255"/>
    <w:rsid w:val="00A669F4"/>
    <w:rsid w:val="00A67544"/>
    <w:rsid w:val="00A70C93"/>
    <w:rsid w:val="00A75E93"/>
    <w:rsid w:val="00A81804"/>
    <w:rsid w:val="00A85227"/>
    <w:rsid w:val="00A87823"/>
    <w:rsid w:val="00A912CB"/>
    <w:rsid w:val="00A938B1"/>
    <w:rsid w:val="00A9393E"/>
    <w:rsid w:val="00A939F1"/>
    <w:rsid w:val="00A93D30"/>
    <w:rsid w:val="00A944D6"/>
    <w:rsid w:val="00A952F9"/>
    <w:rsid w:val="00A957F0"/>
    <w:rsid w:val="00A97B13"/>
    <w:rsid w:val="00AA1BCE"/>
    <w:rsid w:val="00AA281B"/>
    <w:rsid w:val="00AA2F8F"/>
    <w:rsid w:val="00AA444B"/>
    <w:rsid w:val="00AA7231"/>
    <w:rsid w:val="00AA7251"/>
    <w:rsid w:val="00AB16B3"/>
    <w:rsid w:val="00AB36FC"/>
    <w:rsid w:val="00AB786F"/>
    <w:rsid w:val="00AC0C73"/>
    <w:rsid w:val="00AC2FD8"/>
    <w:rsid w:val="00AC3332"/>
    <w:rsid w:val="00AC40BE"/>
    <w:rsid w:val="00AD33EE"/>
    <w:rsid w:val="00AD497F"/>
    <w:rsid w:val="00AD49F8"/>
    <w:rsid w:val="00AD50B4"/>
    <w:rsid w:val="00AD598E"/>
    <w:rsid w:val="00AD6DE8"/>
    <w:rsid w:val="00AE2020"/>
    <w:rsid w:val="00AE4128"/>
    <w:rsid w:val="00AE5306"/>
    <w:rsid w:val="00AE5B93"/>
    <w:rsid w:val="00AF0430"/>
    <w:rsid w:val="00AF0859"/>
    <w:rsid w:val="00AF0CDD"/>
    <w:rsid w:val="00AF0EE1"/>
    <w:rsid w:val="00AF138C"/>
    <w:rsid w:val="00AF1E33"/>
    <w:rsid w:val="00AF28C9"/>
    <w:rsid w:val="00AF316B"/>
    <w:rsid w:val="00AF37FB"/>
    <w:rsid w:val="00AF5426"/>
    <w:rsid w:val="00AF635C"/>
    <w:rsid w:val="00B02336"/>
    <w:rsid w:val="00B0367E"/>
    <w:rsid w:val="00B03E30"/>
    <w:rsid w:val="00B04870"/>
    <w:rsid w:val="00B048C2"/>
    <w:rsid w:val="00B05CC1"/>
    <w:rsid w:val="00B06A77"/>
    <w:rsid w:val="00B06EE0"/>
    <w:rsid w:val="00B07586"/>
    <w:rsid w:val="00B07992"/>
    <w:rsid w:val="00B10E6F"/>
    <w:rsid w:val="00B147B0"/>
    <w:rsid w:val="00B2079E"/>
    <w:rsid w:val="00B225AF"/>
    <w:rsid w:val="00B22E6C"/>
    <w:rsid w:val="00B25E68"/>
    <w:rsid w:val="00B271CD"/>
    <w:rsid w:val="00B27E27"/>
    <w:rsid w:val="00B30EAD"/>
    <w:rsid w:val="00B32036"/>
    <w:rsid w:val="00B3300F"/>
    <w:rsid w:val="00B34825"/>
    <w:rsid w:val="00B35B22"/>
    <w:rsid w:val="00B37F39"/>
    <w:rsid w:val="00B40CB9"/>
    <w:rsid w:val="00B4521C"/>
    <w:rsid w:val="00B47BC9"/>
    <w:rsid w:val="00B50E85"/>
    <w:rsid w:val="00B511F6"/>
    <w:rsid w:val="00B526CB"/>
    <w:rsid w:val="00B53590"/>
    <w:rsid w:val="00B55D5A"/>
    <w:rsid w:val="00B6008D"/>
    <w:rsid w:val="00B64094"/>
    <w:rsid w:val="00B642BA"/>
    <w:rsid w:val="00B64DC6"/>
    <w:rsid w:val="00B65E3A"/>
    <w:rsid w:val="00B669A2"/>
    <w:rsid w:val="00B66D69"/>
    <w:rsid w:val="00B6700F"/>
    <w:rsid w:val="00B70FFE"/>
    <w:rsid w:val="00B743A5"/>
    <w:rsid w:val="00B770F5"/>
    <w:rsid w:val="00B773B0"/>
    <w:rsid w:val="00B83776"/>
    <w:rsid w:val="00B83C18"/>
    <w:rsid w:val="00B85D9C"/>
    <w:rsid w:val="00B86B02"/>
    <w:rsid w:val="00B87CB6"/>
    <w:rsid w:val="00B87D76"/>
    <w:rsid w:val="00B926B1"/>
    <w:rsid w:val="00B93554"/>
    <w:rsid w:val="00B94F8A"/>
    <w:rsid w:val="00B951FB"/>
    <w:rsid w:val="00B95C7F"/>
    <w:rsid w:val="00B978D5"/>
    <w:rsid w:val="00BA0AF7"/>
    <w:rsid w:val="00BA150D"/>
    <w:rsid w:val="00BA18AA"/>
    <w:rsid w:val="00BA284A"/>
    <w:rsid w:val="00BA54EA"/>
    <w:rsid w:val="00BA5A94"/>
    <w:rsid w:val="00BA6C85"/>
    <w:rsid w:val="00BB2777"/>
    <w:rsid w:val="00BB2A2B"/>
    <w:rsid w:val="00BB49C2"/>
    <w:rsid w:val="00BB7037"/>
    <w:rsid w:val="00BB7947"/>
    <w:rsid w:val="00BC4E7C"/>
    <w:rsid w:val="00BC5DCC"/>
    <w:rsid w:val="00BD0C3E"/>
    <w:rsid w:val="00BD30FB"/>
    <w:rsid w:val="00BD3D13"/>
    <w:rsid w:val="00BD4C4D"/>
    <w:rsid w:val="00BD540C"/>
    <w:rsid w:val="00BD64DA"/>
    <w:rsid w:val="00BE13C1"/>
    <w:rsid w:val="00BE1E8C"/>
    <w:rsid w:val="00BE26BA"/>
    <w:rsid w:val="00BE2F8E"/>
    <w:rsid w:val="00BE48E7"/>
    <w:rsid w:val="00BE648E"/>
    <w:rsid w:val="00BF08C5"/>
    <w:rsid w:val="00BF54B8"/>
    <w:rsid w:val="00BF5F28"/>
    <w:rsid w:val="00BF67DB"/>
    <w:rsid w:val="00BF7697"/>
    <w:rsid w:val="00C01E3B"/>
    <w:rsid w:val="00C02D6F"/>
    <w:rsid w:val="00C02F53"/>
    <w:rsid w:val="00C0356E"/>
    <w:rsid w:val="00C119F7"/>
    <w:rsid w:val="00C11D94"/>
    <w:rsid w:val="00C13980"/>
    <w:rsid w:val="00C14716"/>
    <w:rsid w:val="00C160F1"/>
    <w:rsid w:val="00C164CE"/>
    <w:rsid w:val="00C16FCE"/>
    <w:rsid w:val="00C177F7"/>
    <w:rsid w:val="00C17CE1"/>
    <w:rsid w:val="00C20462"/>
    <w:rsid w:val="00C20E69"/>
    <w:rsid w:val="00C218FB"/>
    <w:rsid w:val="00C22E7B"/>
    <w:rsid w:val="00C23A0D"/>
    <w:rsid w:val="00C249A5"/>
    <w:rsid w:val="00C26C87"/>
    <w:rsid w:val="00C26E45"/>
    <w:rsid w:val="00C26FC9"/>
    <w:rsid w:val="00C3170E"/>
    <w:rsid w:val="00C31E31"/>
    <w:rsid w:val="00C33101"/>
    <w:rsid w:val="00C352FD"/>
    <w:rsid w:val="00C367FB"/>
    <w:rsid w:val="00C36A0B"/>
    <w:rsid w:val="00C37244"/>
    <w:rsid w:val="00C40879"/>
    <w:rsid w:val="00C41CFE"/>
    <w:rsid w:val="00C429B0"/>
    <w:rsid w:val="00C42FE9"/>
    <w:rsid w:val="00C430F5"/>
    <w:rsid w:val="00C4341E"/>
    <w:rsid w:val="00C46DD8"/>
    <w:rsid w:val="00C50EFF"/>
    <w:rsid w:val="00C51917"/>
    <w:rsid w:val="00C5288D"/>
    <w:rsid w:val="00C53725"/>
    <w:rsid w:val="00C5438D"/>
    <w:rsid w:val="00C555A1"/>
    <w:rsid w:val="00C57187"/>
    <w:rsid w:val="00C612C8"/>
    <w:rsid w:val="00C61C1E"/>
    <w:rsid w:val="00C631BE"/>
    <w:rsid w:val="00C655F8"/>
    <w:rsid w:val="00C70A72"/>
    <w:rsid w:val="00C70F86"/>
    <w:rsid w:val="00C7180A"/>
    <w:rsid w:val="00C71C1F"/>
    <w:rsid w:val="00C734C5"/>
    <w:rsid w:val="00C74BA7"/>
    <w:rsid w:val="00C75489"/>
    <w:rsid w:val="00C76470"/>
    <w:rsid w:val="00C7693B"/>
    <w:rsid w:val="00C77D00"/>
    <w:rsid w:val="00C82944"/>
    <w:rsid w:val="00C86FAB"/>
    <w:rsid w:val="00C9094A"/>
    <w:rsid w:val="00C91384"/>
    <w:rsid w:val="00C9238C"/>
    <w:rsid w:val="00C95705"/>
    <w:rsid w:val="00C95CC0"/>
    <w:rsid w:val="00C96469"/>
    <w:rsid w:val="00C974D4"/>
    <w:rsid w:val="00C975D6"/>
    <w:rsid w:val="00CA0614"/>
    <w:rsid w:val="00CA0880"/>
    <w:rsid w:val="00CA10D3"/>
    <w:rsid w:val="00CA2804"/>
    <w:rsid w:val="00CA2E58"/>
    <w:rsid w:val="00CA33DF"/>
    <w:rsid w:val="00CA393E"/>
    <w:rsid w:val="00CA5ED5"/>
    <w:rsid w:val="00CA7E4C"/>
    <w:rsid w:val="00CB15DA"/>
    <w:rsid w:val="00CB1604"/>
    <w:rsid w:val="00CB1A95"/>
    <w:rsid w:val="00CB1B31"/>
    <w:rsid w:val="00CB1CE2"/>
    <w:rsid w:val="00CB1EB3"/>
    <w:rsid w:val="00CB24F7"/>
    <w:rsid w:val="00CB43A3"/>
    <w:rsid w:val="00CB5568"/>
    <w:rsid w:val="00CB630E"/>
    <w:rsid w:val="00CB7EBF"/>
    <w:rsid w:val="00CB7F7E"/>
    <w:rsid w:val="00CC098D"/>
    <w:rsid w:val="00CC0B3C"/>
    <w:rsid w:val="00CC0B9A"/>
    <w:rsid w:val="00CC10A6"/>
    <w:rsid w:val="00CC23A6"/>
    <w:rsid w:val="00CC3E54"/>
    <w:rsid w:val="00CD0CD0"/>
    <w:rsid w:val="00CD1382"/>
    <w:rsid w:val="00CD1743"/>
    <w:rsid w:val="00CD5202"/>
    <w:rsid w:val="00CD53E9"/>
    <w:rsid w:val="00CD5789"/>
    <w:rsid w:val="00CD6CD1"/>
    <w:rsid w:val="00CD6D28"/>
    <w:rsid w:val="00CD76CC"/>
    <w:rsid w:val="00CE0025"/>
    <w:rsid w:val="00CE126D"/>
    <w:rsid w:val="00CE24D1"/>
    <w:rsid w:val="00CE27AD"/>
    <w:rsid w:val="00CE3B4B"/>
    <w:rsid w:val="00CE41AA"/>
    <w:rsid w:val="00CE4E79"/>
    <w:rsid w:val="00CE5083"/>
    <w:rsid w:val="00CE6709"/>
    <w:rsid w:val="00CF0693"/>
    <w:rsid w:val="00CF192B"/>
    <w:rsid w:val="00CF5BE1"/>
    <w:rsid w:val="00CF603F"/>
    <w:rsid w:val="00CF7153"/>
    <w:rsid w:val="00CF74A0"/>
    <w:rsid w:val="00D02565"/>
    <w:rsid w:val="00D025CC"/>
    <w:rsid w:val="00D03129"/>
    <w:rsid w:val="00D041FD"/>
    <w:rsid w:val="00D046CE"/>
    <w:rsid w:val="00D04A3E"/>
    <w:rsid w:val="00D05445"/>
    <w:rsid w:val="00D06B82"/>
    <w:rsid w:val="00D06B92"/>
    <w:rsid w:val="00D11B86"/>
    <w:rsid w:val="00D137EB"/>
    <w:rsid w:val="00D13AC7"/>
    <w:rsid w:val="00D14477"/>
    <w:rsid w:val="00D17081"/>
    <w:rsid w:val="00D178DA"/>
    <w:rsid w:val="00D218CA"/>
    <w:rsid w:val="00D22315"/>
    <w:rsid w:val="00D236F9"/>
    <w:rsid w:val="00D23BA8"/>
    <w:rsid w:val="00D2433A"/>
    <w:rsid w:val="00D25C6A"/>
    <w:rsid w:val="00D25F46"/>
    <w:rsid w:val="00D2606A"/>
    <w:rsid w:val="00D269D9"/>
    <w:rsid w:val="00D26CA7"/>
    <w:rsid w:val="00D27F80"/>
    <w:rsid w:val="00D302BB"/>
    <w:rsid w:val="00D320DC"/>
    <w:rsid w:val="00D326EE"/>
    <w:rsid w:val="00D35781"/>
    <w:rsid w:val="00D3638F"/>
    <w:rsid w:val="00D364FF"/>
    <w:rsid w:val="00D368F1"/>
    <w:rsid w:val="00D452EA"/>
    <w:rsid w:val="00D50792"/>
    <w:rsid w:val="00D50AE7"/>
    <w:rsid w:val="00D50BDC"/>
    <w:rsid w:val="00D52429"/>
    <w:rsid w:val="00D52F3D"/>
    <w:rsid w:val="00D53A58"/>
    <w:rsid w:val="00D53CD7"/>
    <w:rsid w:val="00D649C2"/>
    <w:rsid w:val="00D65487"/>
    <w:rsid w:val="00D6561D"/>
    <w:rsid w:val="00D67D3D"/>
    <w:rsid w:val="00D70416"/>
    <w:rsid w:val="00D71923"/>
    <w:rsid w:val="00D71DE6"/>
    <w:rsid w:val="00D72004"/>
    <w:rsid w:val="00D73BF2"/>
    <w:rsid w:val="00D73FA1"/>
    <w:rsid w:val="00D745BC"/>
    <w:rsid w:val="00D74EE2"/>
    <w:rsid w:val="00D75C59"/>
    <w:rsid w:val="00D7634C"/>
    <w:rsid w:val="00D7787C"/>
    <w:rsid w:val="00D8040D"/>
    <w:rsid w:val="00D8152E"/>
    <w:rsid w:val="00D81D8C"/>
    <w:rsid w:val="00D8221A"/>
    <w:rsid w:val="00D82592"/>
    <w:rsid w:val="00D86219"/>
    <w:rsid w:val="00D86BD4"/>
    <w:rsid w:val="00D879EC"/>
    <w:rsid w:val="00D90A87"/>
    <w:rsid w:val="00D90CCC"/>
    <w:rsid w:val="00D91249"/>
    <w:rsid w:val="00D9137C"/>
    <w:rsid w:val="00D93DAD"/>
    <w:rsid w:val="00D96975"/>
    <w:rsid w:val="00DA06A3"/>
    <w:rsid w:val="00DA2233"/>
    <w:rsid w:val="00DA2313"/>
    <w:rsid w:val="00DA2638"/>
    <w:rsid w:val="00DA29C1"/>
    <w:rsid w:val="00DB02A0"/>
    <w:rsid w:val="00DB1B3C"/>
    <w:rsid w:val="00DB2D43"/>
    <w:rsid w:val="00DB3B61"/>
    <w:rsid w:val="00DB64C4"/>
    <w:rsid w:val="00DC0654"/>
    <w:rsid w:val="00DC259D"/>
    <w:rsid w:val="00DC3DA9"/>
    <w:rsid w:val="00DC3E7F"/>
    <w:rsid w:val="00DC52D4"/>
    <w:rsid w:val="00DC6A43"/>
    <w:rsid w:val="00DC7B11"/>
    <w:rsid w:val="00DD1148"/>
    <w:rsid w:val="00DD1288"/>
    <w:rsid w:val="00DD3B1D"/>
    <w:rsid w:val="00DE02EF"/>
    <w:rsid w:val="00DE2352"/>
    <w:rsid w:val="00DE39AE"/>
    <w:rsid w:val="00DE3DA4"/>
    <w:rsid w:val="00DE717E"/>
    <w:rsid w:val="00DF67D8"/>
    <w:rsid w:val="00E00C09"/>
    <w:rsid w:val="00E01D93"/>
    <w:rsid w:val="00E02483"/>
    <w:rsid w:val="00E02578"/>
    <w:rsid w:val="00E0443E"/>
    <w:rsid w:val="00E04945"/>
    <w:rsid w:val="00E04B67"/>
    <w:rsid w:val="00E12E22"/>
    <w:rsid w:val="00E13D2F"/>
    <w:rsid w:val="00E13FB3"/>
    <w:rsid w:val="00E14F3A"/>
    <w:rsid w:val="00E15BF1"/>
    <w:rsid w:val="00E1659F"/>
    <w:rsid w:val="00E170CA"/>
    <w:rsid w:val="00E20152"/>
    <w:rsid w:val="00E2183D"/>
    <w:rsid w:val="00E22ABF"/>
    <w:rsid w:val="00E234B8"/>
    <w:rsid w:val="00E24E40"/>
    <w:rsid w:val="00E30020"/>
    <w:rsid w:val="00E3661A"/>
    <w:rsid w:val="00E41B1C"/>
    <w:rsid w:val="00E42A35"/>
    <w:rsid w:val="00E44584"/>
    <w:rsid w:val="00E450EA"/>
    <w:rsid w:val="00E45BDC"/>
    <w:rsid w:val="00E46A1D"/>
    <w:rsid w:val="00E5022A"/>
    <w:rsid w:val="00E50D56"/>
    <w:rsid w:val="00E50E51"/>
    <w:rsid w:val="00E5126C"/>
    <w:rsid w:val="00E51B6C"/>
    <w:rsid w:val="00E53F90"/>
    <w:rsid w:val="00E5478B"/>
    <w:rsid w:val="00E56189"/>
    <w:rsid w:val="00E5696D"/>
    <w:rsid w:val="00E57AA1"/>
    <w:rsid w:val="00E603A5"/>
    <w:rsid w:val="00E60A76"/>
    <w:rsid w:val="00E64B40"/>
    <w:rsid w:val="00E66383"/>
    <w:rsid w:val="00E66BE8"/>
    <w:rsid w:val="00E70F1E"/>
    <w:rsid w:val="00E719C0"/>
    <w:rsid w:val="00E72398"/>
    <w:rsid w:val="00E72FF0"/>
    <w:rsid w:val="00E73729"/>
    <w:rsid w:val="00E746A6"/>
    <w:rsid w:val="00E74A9A"/>
    <w:rsid w:val="00E75635"/>
    <w:rsid w:val="00E75A5A"/>
    <w:rsid w:val="00E7775B"/>
    <w:rsid w:val="00E87345"/>
    <w:rsid w:val="00E878C8"/>
    <w:rsid w:val="00E90261"/>
    <w:rsid w:val="00E91F3B"/>
    <w:rsid w:val="00E93401"/>
    <w:rsid w:val="00EA0A4A"/>
    <w:rsid w:val="00EA1766"/>
    <w:rsid w:val="00EA5319"/>
    <w:rsid w:val="00EA5353"/>
    <w:rsid w:val="00EA54F0"/>
    <w:rsid w:val="00EA5D98"/>
    <w:rsid w:val="00EA5EEE"/>
    <w:rsid w:val="00EA66E7"/>
    <w:rsid w:val="00EA675E"/>
    <w:rsid w:val="00EA7355"/>
    <w:rsid w:val="00EB0774"/>
    <w:rsid w:val="00EB1B1F"/>
    <w:rsid w:val="00EB1CC0"/>
    <w:rsid w:val="00EB2F0D"/>
    <w:rsid w:val="00EB4F71"/>
    <w:rsid w:val="00EB52DB"/>
    <w:rsid w:val="00EB57D2"/>
    <w:rsid w:val="00EB5DF7"/>
    <w:rsid w:val="00EB73CC"/>
    <w:rsid w:val="00EB7959"/>
    <w:rsid w:val="00EC16A4"/>
    <w:rsid w:val="00EC1F22"/>
    <w:rsid w:val="00EC46A9"/>
    <w:rsid w:val="00EC6E28"/>
    <w:rsid w:val="00EC7BA6"/>
    <w:rsid w:val="00ED01A9"/>
    <w:rsid w:val="00ED148E"/>
    <w:rsid w:val="00ED40FA"/>
    <w:rsid w:val="00ED6D37"/>
    <w:rsid w:val="00EE0BD4"/>
    <w:rsid w:val="00EE3818"/>
    <w:rsid w:val="00EE5583"/>
    <w:rsid w:val="00EF163C"/>
    <w:rsid w:val="00EF4766"/>
    <w:rsid w:val="00EF52FF"/>
    <w:rsid w:val="00F050ED"/>
    <w:rsid w:val="00F064B2"/>
    <w:rsid w:val="00F07874"/>
    <w:rsid w:val="00F11C2A"/>
    <w:rsid w:val="00F11FEE"/>
    <w:rsid w:val="00F1219F"/>
    <w:rsid w:val="00F12713"/>
    <w:rsid w:val="00F150D5"/>
    <w:rsid w:val="00F151C5"/>
    <w:rsid w:val="00F213BB"/>
    <w:rsid w:val="00F21D58"/>
    <w:rsid w:val="00F22E21"/>
    <w:rsid w:val="00F25768"/>
    <w:rsid w:val="00F262E1"/>
    <w:rsid w:val="00F30774"/>
    <w:rsid w:val="00F30B12"/>
    <w:rsid w:val="00F31641"/>
    <w:rsid w:val="00F323F2"/>
    <w:rsid w:val="00F32BDF"/>
    <w:rsid w:val="00F32F2C"/>
    <w:rsid w:val="00F36A52"/>
    <w:rsid w:val="00F40780"/>
    <w:rsid w:val="00F42594"/>
    <w:rsid w:val="00F43817"/>
    <w:rsid w:val="00F44191"/>
    <w:rsid w:val="00F44B57"/>
    <w:rsid w:val="00F457CD"/>
    <w:rsid w:val="00F45B39"/>
    <w:rsid w:val="00F46036"/>
    <w:rsid w:val="00F46CC4"/>
    <w:rsid w:val="00F46FD4"/>
    <w:rsid w:val="00F51BD2"/>
    <w:rsid w:val="00F548E3"/>
    <w:rsid w:val="00F55B2D"/>
    <w:rsid w:val="00F5609A"/>
    <w:rsid w:val="00F56317"/>
    <w:rsid w:val="00F56B11"/>
    <w:rsid w:val="00F57F2D"/>
    <w:rsid w:val="00F6021B"/>
    <w:rsid w:val="00F60377"/>
    <w:rsid w:val="00F6041B"/>
    <w:rsid w:val="00F62BD3"/>
    <w:rsid w:val="00F64E37"/>
    <w:rsid w:val="00F64F77"/>
    <w:rsid w:val="00F72095"/>
    <w:rsid w:val="00F74025"/>
    <w:rsid w:val="00F8091C"/>
    <w:rsid w:val="00F80B03"/>
    <w:rsid w:val="00F81BB5"/>
    <w:rsid w:val="00F83E54"/>
    <w:rsid w:val="00F84E81"/>
    <w:rsid w:val="00F90C9A"/>
    <w:rsid w:val="00F92B2D"/>
    <w:rsid w:val="00F93002"/>
    <w:rsid w:val="00F94B5B"/>
    <w:rsid w:val="00F965D5"/>
    <w:rsid w:val="00F9782F"/>
    <w:rsid w:val="00F97A43"/>
    <w:rsid w:val="00FA1714"/>
    <w:rsid w:val="00FA20FE"/>
    <w:rsid w:val="00FA5182"/>
    <w:rsid w:val="00FA6245"/>
    <w:rsid w:val="00FB4B0F"/>
    <w:rsid w:val="00FC40BF"/>
    <w:rsid w:val="00FC4788"/>
    <w:rsid w:val="00FC6653"/>
    <w:rsid w:val="00FD1109"/>
    <w:rsid w:val="00FD1CB7"/>
    <w:rsid w:val="00FD23A8"/>
    <w:rsid w:val="00FD3C97"/>
    <w:rsid w:val="00FD41DA"/>
    <w:rsid w:val="00FD740D"/>
    <w:rsid w:val="00FD7E25"/>
    <w:rsid w:val="00FE182A"/>
    <w:rsid w:val="00FE2354"/>
    <w:rsid w:val="00FE3065"/>
    <w:rsid w:val="00FE54D1"/>
    <w:rsid w:val="00FE7B06"/>
    <w:rsid w:val="00FF0E9A"/>
    <w:rsid w:val="00FF1F75"/>
    <w:rsid w:val="00FF315F"/>
    <w:rsid w:val="00FF3D86"/>
    <w:rsid w:val="00FF4EF5"/>
    <w:rsid w:val="00FF60F3"/>
    <w:rsid w:val="00FF6345"/>
    <w:rsid w:val="00FF6F68"/>
    <w:rsid w:val="00FF72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E6E419"/>
  <w15:docId w15:val="{294B2B6A-1349-4B37-8C2D-7D238A47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C3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6">
    <w:name w:val="heading 6"/>
    <w:aliases w:val="Footnote"/>
    <w:basedOn w:val="Normal"/>
    <w:next w:val="Normal"/>
    <w:link w:val="Titre6Car"/>
    <w:autoRedefine/>
    <w:uiPriority w:val="99"/>
    <w:qFormat/>
    <w:rsid w:val="001D759A"/>
    <w:pPr>
      <w:keepNext/>
      <w:keepLines/>
      <w:widowControl w:val="0"/>
      <w:tabs>
        <w:tab w:val="num" w:pos="0"/>
      </w:tabs>
      <w:suppressAutoHyphens/>
      <w:spacing w:after="0" w:line="240" w:lineRule="auto"/>
      <w:contextualSpacing/>
      <w:outlineLvl w:val="5"/>
    </w:pPr>
    <w:rPr>
      <w:rFonts w:ascii="Calibri" w:eastAsia="Times New Roman" w:hAnsi="Calibri" w:cs="Times New Roman"/>
      <w:iCs/>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Citation List,본문(내용),List Paragraph (numbered (a)),Bullets,Use Case List Paragraph,Medium Grid 1 - Accent 21,References,Resume Title,List bullets,Bullet paras,Heading 1.1,ANNEX,List Paragraph1,List Paragraph2"/>
    <w:basedOn w:val="Normal"/>
    <w:link w:val="ParagraphedelisteCar"/>
    <w:uiPriority w:val="34"/>
    <w:qFormat/>
    <w:rsid w:val="00056339"/>
    <w:pPr>
      <w:ind w:left="720"/>
      <w:contextualSpacing/>
    </w:pPr>
  </w:style>
  <w:style w:type="character" w:styleId="Marquedecommentaire">
    <w:name w:val="annotation reference"/>
    <w:basedOn w:val="Policepardfaut"/>
    <w:uiPriority w:val="99"/>
    <w:semiHidden/>
    <w:unhideWhenUsed/>
    <w:rsid w:val="00056339"/>
    <w:rPr>
      <w:sz w:val="16"/>
      <w:szCs w:val="16"/>
    </w:rPr>
  </w:style>
  <w:style w:type="paragraph" w:styleId="Commentaire">
    <w:name w:val="annotation text"/>
    <w:basedOn w:val="Normal"/>
    <w:link w:val="CommentaireCar"/>
    <w:uiPriority w:val="99"/>
    <w:semiHidden/>
    <w:unhideWhenUsed/>
    <w:rsid w:val="00056339"/>
    <w:pPr>
      <w:spacing w:line="240" w:lineRule="auto"/>
    </w:pPr>
    <w:rPr>
      <w:sz w:val="20"/>
      <w:szCs w:val="20"/>
    </w:rPr>
  </w:style>
  <w:style w:type="character" w:customStyle="1" w:styleId="CommentaireCar">
    <w:name w:val="Commentaire Car"/>
    <w:basedOn w:val="Policepardfaut"/>
    <w:link w:val="Commentaire"/>
    <w:uiPriority w:val="99"/>
    <w:semiHidden/>
    <w:rsid w:val="00056339"/>
    <w:rPr>
      <w:sz w:val="20"/>
      <w:szCs w:val="20"/>
    </w:rPr>
  </w:style>
  <w:style w:type="paragraph" w:styleId="Objetducommentaire">
    <w:name w:val="annotation subject"/>
    <w:basedOn w:val="Commentaire"/>
    <w:next w:val="Commentaire"/>
    <w:link w:val="ObjetducommentaireCar"/>
    <w:uiPriority w:val="99"/>
    <w:semiHidden/>
    <w:unhideWhenUsed/>
    <w:rsid w:val="00056339"/>
    <w:rPr>
      <w:b/>
      <w:bCs/>
    </w:rPr>
  </w:style>
  <w:style w:type="character" w:customStyle="1" w:styleId="ObjetducommentaireCar">
    <w:name w:val="Objet du commentaire Car"/>
    <w:basedOn w:val="CommentaireCar"/>
    <w:link w:val="Objetducommentaire"/>
    <w:uiPriority w:val="99"/>
    <w:semiHidden/>
    <w:rsid w:val="00056339"/>
    <w:rPr>
      <w:b/>
      <w:bCs/>
      <w:sz w:val="20"/>
      <w:szCs w:val="20"/>
    </w:rPr>
  </w:style>
  <w:style w:type="paragraph" w:styleId="Textedebulles">
    <w:name w:val="Balloon Text"/>
    <w:basedOn w:val="Normal"/>
    <w:link w:val="TextedebullesCar"/>
    <w:uiPriority w:val="99"/>
    <w:semiHidden/>
    <w:unhideWhenUsed/>
    <w:rsid w:val="000563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6339"/>
    <w:rPr>
      <w:rFonts w:ascii="Segoe UI" w:hAnsi="Segoe UI" w:cs="Segoe UI"/>
      <w:sz w:val="18"/>
      <w:szCs w:val="18"/>
    </w:rPr>
  </w:style>
  <w:style w:type="table" w:styleId="Grilledutableau">
    <w:name w:val="Table Grid"/>
    <w:basedOn w:val="TableauNormal"/>
    <w:uiPriority w:val="59"/>
    <w:rsid w:val="00447C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93554"/>
    <w:rPr>
      <w:color w:val="0000FF" w:themeColor="hyperlink"/>
      <w:u w:val="single"/>
    </w:rPr>
  </w:style>
  <w:style w:type="paragraph" w:styleId="En-tte">
    <w:name w:val="header"/>
    <w:basedOn w:val="Normal"/>
    <w:link w:val="En-tteCar"/>
    <w:uiPriority w:val="99"/>
    <w:unhideWhenUsed/>
    <w:rsid w:val="00186F04"/>
    <w:pPr>
      <w:tabs>
        <w:tab w:val="center" w:pos="4680"/>
        <w:tab w:val="right" w:pos="9360"/>
      </w:tabs>
      <w:spacing w:after="0" w:line="240" w:lineRule="auto"/>
    </w:pPr>
  </w:style>
  <w:style w:type="character" w:customStyle="1" w:styleId="En-tteCar">
    <w:name w:val="En-tête Car"/>
    <w:basedOn w:val="Policepardfaut"/>
    <w:link w:val="En-tte"/>
    <w:uiPriority w:val="99"/>
    <w:rsid w:val="00186F04"/>
  </w:style>
  <w:style w:type="paragraph" w:styleId="Pieddepage">
    <w:name w:val="footer"/>
    <w:basedOn w:val="Normal"/>
    <w:link w:val="PieddepageCar"/>
    <w:uiPriority w:val="99"/>
    <w:unhideWhenUsed/>
    <w:rsid w:val="00186F0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86F04"/>
  </w:style>
  <w:style w:type="character" w:customStyle="1" w:styleId="Titre6Car">
    <w:name w:val="Titre 6 Car"/>
    <w:aliases w:val="Footnote Car"/>
    <w:basedOn w:val="Policepardfaut"/>
    <w:link w:val="Titre6"/>
    <w:uiPriority w:val="99"/>
    <w:rsid w:val="001D759A"/>
    <w:rPr>
      <w:rFonts w:ascii="Calibri" w:eastAsia="Times New Roman" w:hAnsi="Calibri" w:cs="Times New Roman"/>
      <w:iCs/>
      <w:sz w:val="18"/>
    </w:rPr>
  </w:style>
  <w:style w:type="character" w:styleId="Appelnotedebasdep">
    <w:name w:val="footnote reference"/>
    <w:basedOn w:val="Policepardfaut"/>
    <w:uiPriority w:val="99"/>
    <w:rsid w:val="001D759A"/>
    <w:rPr>
      <w:rFonts w:cs="Times New Roman"/>
      <w:vertAlign w:val="superscript"/>
    </w:rPr>
  </w:style>
  <w:style w:type="paragraph" w:styleId="Notedebasdepage">
    <w:name w:val="footnote text"/>
    <w:basedOn w:val="Normal"/>
    <w:link w:val="NotedebasdepageCar"/>
    <w:uiPriority w:val="99"/>
    <w:rsid w:val="00E75A5A"/>
    <w:pPr>
      <w:widowControl w:val="0"/>
      <w:suppressAutoHyphens/>
      <w:spacing w:after="120"/>
    </w:pPr>
    <w:rPr>
      <w:rFonts w:ascii="Times New Roman" w:eastAsia="Times New Roman" w:hAnsi="Times New Roman" w:cs="Calibri"/>
      <w:sz w:val="20"/>
      <w:szCs w:val="20"/>
    </w:rPr>
  </w:style>
  <w:style w:type="character" w:customStyle="1" w:styleId="FootnoteTextChar">
    <w:name w:val="Footnote Text Char"/>
    <w:basedOn w:val="Policepardfaut"/>
    <w:uiPriority w:val="99"/>
    <w:semiHidden/>
    <w:rsid w:val="00E75A5A"/>
    <w:rPr>
      <w:sz w:val="20"/>
      <w:szCs w:val="20"/>
    </w:rPr>
  </w:style>
  <w:style w:type="character" w:customStyle="1" w:styleId="NotedebasdepageCar">
    <w:name w:val="Note de bas de page Car"/>
    <w:basedOn w:val="Policepardfaut"/>
    <w:link w:val="Notedebasdepage"/>
    <w:uiPriority w:val="99"/>
    <w:rsid w:val="00E75A5A"/>
    <w:rPr>
      <w:rFonts w:ascii="Times New Roman" w:eastAsia="Times New Roman" w:hAnsi="Times New Roman" w:cs="Calibri"/>
      <w:sz w:val="20"/>
      <w:szCs w:val="20"/>
    </w:rPr>
  </w:style>
  <w:style w:type="paragraph" w:styleId="Rvision">
    <w:name w:val="Revision"/>
    <w:hidden/>
    <w:uiPriority w:val="99"/>
    <w:semiHidden/>
    <w:rsid w:val="00460639"/>
    <w:pPr>
      <w:spacing w:after="0" w:line="240" w:lineRule="auto"/>
    </w:pPr>
  </w:style>
  <w:style w:type="character" w:customStyle="1" w:styleId="Titre1Car">
    <w:name w:val="Titre 1 Car"/>
    <w:basedOn w:val="Policepardfaut"/>
    <w:link w:val="Titre1"/>
    <w:uiPriority w:val="9"/>
    <w:rsid w:val="000C30FD"/>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uiPriority w:val="99"/>
    <w:semiHidden/>
    <w:unhideWhenUsed/>
    <w:rsid w:val="003B64A4"/>
  </w:style>
  <w:style w:type="character" w:customStyle="1" w:styleId="ParagraphedelisteCar">
    <w:name w:val="Paragraphe de liste Car"/>
    <w:aliases w:val="Citation List Car,본문(내용) Car,List Paragraph (numbered (a)) Car,Bullets Car,Use Case List Paragraph Car,Medium Grid 1 - Accent 21 Car,References Car,Resume Title Car,List bullets Car,Bullet paras Car,Heading 1.1 Car,ANNEX Car"/>
    <w:link w:val="Paragraphedeliste"/>
    <w:uiPriority w:val="34"/>
    <w:rsid w:val="001427A5"/>
  </w:style>
  <w:style w:type="paragraph" w:styleId="Sansinterligne">
    <w:name w:val="No Spacing"/>
    <w:uiPriority w:val="1"/>
    <w:qFormat/>
    <w:rsid w:val="00FA6245"/>
    <w:pPr>
      <w:widowControl w:val="0"/>
      <w:suppressAutoHyphens/>
      <w:spacing w:after="0" w:line="240" w:lineRule="auto"/>
    </w:pPr>
    <w:rPr>
      <w:rFonts w:ascii="Calibri" w:eastAsia="Times New Roman" w:hAnsi="Calibri" w:cs="Calibri"/>
    </w:rPr>
  </w:style>
  <w:style w:type="character" w:customStyle="1" w:styleId="shorttext">
    <w:name w:val="short_text"/>
    <w:basedOn w:val="Policepardfaut"/>
    <w:rsid w:val="003B48A7"/>
  </w:style>
  <w:style w:type="paragraph" w:customStyle="1" w:styleId="m-9122321016640388389p1">
    <w:name w:val="m_-9122321016640388389p1"/>
    <w:basedOn w:val="Normal"/>
    <w:rsid w:val="003F30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9122321016640388389s1">
    <w:name w:val="m_-9122321016640388389s1"/>
    <w:basedOn w:val="Policepardfaut"/>
    <w:rsid w:val="003F30F3"/>
  </w:style>
  <w:style w:type="paragraph" w:customStyle="1" w:styleId="story-body-text">
    <w:name w:val="story-body-text"/>
    <w:basedOn w:val="Normal"/>
    <w:rsid w:val="00D720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9234">
      <w:bodyDiv w:val="1"/>
      <w:marLeft w:val="0"/>
      <w:marRight w:val="0"/>
      <w:marTop w:val="0"/>
      <w:marBottom w:val="0"/>
      <w:divBdr>
        <w:top w:val="none" w:sz="0" w:space="0" w:color="auto"/>
        <w:left w:val="none" w:sz="0" w:space="0" w:color="auto"/>
        <w:bottom w:val="none" w:sz="0" w:space="0" w:color="auto"/>
        <w:right w:val="none" w:sz="0" w:space="0" w:color="auto"/>
      </w:divBdr>
    </w:div>
    <w:div w:id="22176336">
      <w:bodyDiv w:val="1"/>
      <w:marLeft w:val="0"/>
      <w:marRight w:val="0"/>
      <w:marTop w:val="0"/>
      <w:marBottom w:val="0"/>
      <w:divBdr>
        <w:top w:val="none" w:sz="0" w:space="0" w:color="auto"/>
        <w:left w:val="none" w:sz="0" w:space="0" w:color="auto"/>
        <w:bottom w:val="none" w:sz="0" w:space="0" w:color="auto"/>
        <w:right w:val="none" w:sz="0" w:space="0" w:color="auto"/>
      </w:divBdr>
    </w:div>
    <w:div w:id="36514742">
      <w:bodyDiv w:val="1"/>
      <w:marLeft w:val="0"/>
      <w:marRight w:val="0"/>
      <w:marTop w:val="0"/>
      <w:marBottom w:val="0"/>
      <w:divBdr>
        <w:top w:val="none" w:sz="0" w:space="0" w:color="auto"/>
        <w:left w:val="none" w:sz="0" w:space="0" w:color="auto"/>
        <w:bottom w:val="none" w:sz="0" w:space="0" w:color="auto"/>
        <w:right w:val="none" w:sz="0" w:space="0" w:color="auto"/>
      </w:divBdr>
    </w:div>
    <w:div w:id="168328353">
      <w:bodyDiv w:val="1"/>
      <w:marLeft w:val="0"/>
      <w:marRight w:val="0"/>
      <w:marTop w:val="0"/>
      <w:marBottom w:val="0"/>
      <w:divBdr>
        <w:top w:val="none" w:sz="0" w:space="0" w:color="auto"/>
        <w:left w:val="none" w:sz="0" w:space="0" w:color="auto"/>
        <w:bottom w:val="none" w:sz="0" w:space="0" w:color="auto"/>
        <w:right w:val="none" w:sz="0" w:space="0" w:color="auto"/>
      </w:divBdr>
    </w:div>
    <w:div w:id="195584596">
      <w:bodyDiv w:val="1"/>
      <w:marLeft w:val="0"/>
      <w:marRight w:val="0"/>
      <w:marTop w:val="0"/>
      <w:marBottom w:val="0"/>
      <w:divBdr>
        <w:top w:val="none" w:sz="0" w:space="0" w:color="auto"/>
        <w:left w:val="none" w:sz="0" w:space="0" w:color="auto"/>
        <w:bottom w:val="none" w:sz="0" w:space="0" w:color="auto"/>
        <w:right w:val="none" w:sz="0" w:space="0" w:color="auto"/>
      </w:divBdr>
    </w:div>
    <w:div w:id="206989505">
      <w:bodyDiv w:val="1"/>
      <w:marLeft w:val="0"/>
      <w:marRight w:val="0"/>
      <w:marTop w:val="0"/>
      <w:marBottom w:val="0"/>
      <w:divBdr>
        <w:top w:val="none" w:sz="0" w:space="0" w:color="auto"/>
        <w:left w:val="none" w:sz="0" w:space="0" w:color="auto"/>
        <w:bottom w:val="none" w:sz="0" w:space="0" w:color="auto"/>
        <w:right w:val="none" w:sz="0" w:space="0" w:color="auto"/>
      </w:divBdr>
    </w:div>
    <w:div w:id="286204864">
      <w:bodyDiv w:val="1"/>
      <w:marLeft w:val="0"/>
      <w:marRight w:val="0"/>
      <w:marTop w:val="0"/>
      <w:marBottom w:val="0"/>
      <w:divBdr>
        <w:top w:val="none" w:sz="0" w:space="0" w:color="auto"/>
        <w:left w:val="none" w:sz="0" w:space="0" w:color="auto"/>
        <w:bottom w:val="none" w:sz="0" w:space="0" w:color="auto"/>
        <w:right w:val="none" w:sz="0" w:space="0" w:color="auto"/>
      </w:divBdr>
    </w:div>
    <w:div w:id="437875059">
      <w:bodyDiv w:val="1"/>
      <w:marLeft w:val="0"/>
      <w:marRight w:val="0"/>
      <w:marTop w:val="0"/>
      <w:marBottom w:val="0"/>
      <w:divBdr>
        <w:top w:val="none" w:sz="0" w:space="0" w:color="auto"/>
        <w:left w:val="none" w:sz="0" w:space="0" w:color="auto"/>
        <w:bottom w:val="none" w:sz="0" w:space="0" w:color="auto"/>
        <w:right w:val="none" w:sz="0" w:space="0" w:color="auto"/>
      </w:divBdr>
    </w:div>
    <w:div w:id="467629010">
      <w:bodyDiv w:val="1"/>
      <w:marLeft w:val="0"/>
      <w:marRight w:val="0"/>
      <w:marTop w:val="0"/>
      <w:marBottom w:val="0"/>
      <w:divBdr>
        <w:top w:val="none" w:sz="0" w:space="0" w:color="auto"/>
        <w:left w:val="none" w:sz="0" w:space="0" w:color="auto"/>
        <w:bottom w:val="none" w:sz="0" w:space="0" w:color="auto"/>
        <w:right w:val="none" w:sz="0" w:space="0" w:color="auto"/>
      </w:divBdr>
    </w:div>
    <w:div w:id="498471303">
      <w:bodyDiv w:val="1"/>
      <w:marLeft w:val="0"/>
      <w:marRight w:val="0"/>
      <w:marTop w:val="0"/>
      <w:marBottom w:val="0"/>
      <w:divBdr>
        <w:top w:val="none" w:sz="0" w:space="0" w:color="auto"/>
        <w:left w:val="none" w:sz="0" w:space="0" w:color="auto"/>
        <w:bottom w:val="none" w:sz="0" w:space="0" w:color="auto"/>
        <w:right w:val="none" w:sz="0" w:space="0" w:color="auto"/>
      </w:divBdr>
      <w:divsChild>
        <w:div w:id="2010522873">
          <w:marLeft w:val="0"/>
          <w:marRight w:val="0"/>
          <w:marTop w:val="0"/>
          <w:marBottom w:val="0"/>
          <w:divBdr>
            <w:top w:val="none" w:sz="0" w:space="0" w:color="auto"/>
            <w:left w:val="none" w:sz="0" w:space="0" w:color="auto"/>
            <w:bottom w:val="none" w:sz="0" w:space="0" w:color="auto"/>
            <w:right w:val="none" w:sz="0" w:space="0" w:color="auto"/>
          </w:divBdr>
        </w:div>
        <w:div w:id="2093579666">
          <w:marLeft w:val="0"/>
          <w:marRight w:val="0"/>
          <w:marTop w:val="0"/>
          <w:marBottom w:val="0"/>
          <w:divBdr>
            <w:top w:val="none" w:sz="0" w:space="0" w:color="auto"/>
            <w:left w:val="none" w:sz="0" w:space="0" w:color="auto"/>
            <w:bottom w:val="none" w:sz="0" w:space="0" w:color="auto"/>
            <w:right w:val="none" w:sz="0" w:space="0" w:color="auto"/>
          </w:divBdr>
        </w:div>
        <w:div w:id="117799375">
          <w:marLeft w:val="0"/>
          <w:marRight w:val="0"/>
          <w:marTop w:val="0"/>
          <w:marBottom w:val="0"/>
          <w:divBdr>
            <w:top w:val="none" w:sz="0" w:space="0" w:color="auto"/>
            <w:left w:val="none" w:sz="0" w:space="0" w:color="auto"/>
            <w:bottom w:val="none" w:sz="0" w:space="0" w:color="auto"/>
            <w:right w:val="none" w:sz="0" w:space="0" w:color="auto"/>
          </w:divBdr>
        </w:div>
      </w:divsChild>
    </w:div>
    <w:div w:id="507212817">
      <w:bodyDiv w:val="1"/>
      <w:marLeft w:val="0"/>
      <w:marRight w:val="0"/>
      <w:marTop w:val="0"/>
      <w:marBottom w:val="0"/>
      <w:divBdr>
        <w:top w:val="none" w:sz="0" w:space="0" w:color="auto"/>
        <w:left w:val="none" w:sz="0" w:space="0" w:color="auto"/>
        <w:bottom w:val="none" w:sz="0" w:space="0" w:color="auto"/>
        <w:right w:val="none" w:sz="0" w:space="0" w:color="auto"/>
      </w:divBdr>
    </w:div>
    <w:div w:id="535316326">
      <w:bodyDiv w:val="1"/>
      <w:marLeft w:val="0"/>
      <w:marRight w:val="0"/>
      <w:marTop w:val="0"/>
      <w:marBottom w:val="0"/>
      <w:divBdr>
        <w:top w:val="none" w:sz="0" w:space="0" w:color="auto"/>
        <w:left w:val="none" w:sz="0" w:space="0" w:color="auto"/>
        <w:bottom w:val="none" w:sz="0" w:space="0" w:color="auto"/>
        <w:right w:val="none" w:sz="0" w:space="0" w:color="auto"/>
      </w:divBdr>
    </w:div>
    <w:div w:id="545531217">
      <w:bodyDiv w:val="1"/>
      <w:marLeft w:val="0"/>
      <w:marRight w:val="0"/>
      <w:marTop w:val="0"/>
      <w:marBottom w:val="0"/>
      <w:divBdr>
        <w:top w:val="none" w:sz="0" w:space="0" w:color="auto"/>
        <w:left w:val="none" w:sz="0" w:space="0" w:color="auto"/>
        <w:bottom w:val="none" w:sz="0" w:space="0" w:color="auto"/>
        <w:right w:val="none" w:sz="0" w:space="0" w:color="auto"/>
      </w:divBdr>
      <w:divsChild>
        <w:div w:id="637107203">
          <w:marLeft w:val="0"/>
          <w:marRight w:val="0"/>
          <w:marTop w:val="0"/>
          <w:marBottom w:val="0"/>
          <w:divBdr>
            <w:top w:val="none" w:sz="0" w:space="0" w:color="auto"/>
            <w:left w:val="none" w:sz="0" w:space="0" w:color="auto"/>
            <w:bottom w:val="none" w:sz="0" w:space="0" w:color="auto"/>
            <w:right w:val="none" w:sz="0" w:space="0" w:color="auto"/>
          </w:divBdr>
          <w:divsChild>
            <w:div w:id="1154568565">
              <w:marLeft w:val="0"/>
              <w:marRight w:val="0"/>
              <w:marTop w:val="0"/>
              <w:marBottom w:val="0"/>
              <w:divBdr>
                <w:top w:val="none" w:sz="0" w:space="0" w:color="auto"/>
                <w:left w:val="none" w:sz="0" w:space="0" w:color="auto"/>
                <w:bottom w:val="none" w:sz="0" w:space="0" w:color="auto"/>
                <w:right w:val="none" w:sz="0" w:space="0" w:color="auto"/>
              </w:divBdr>
            </w:div>
          </w:divsChild>
        </w:div>
        <w:div w:id="881400547">
          <w:marLeft w:val="0"/>
          <w:marRight w:val="0"/>
          <w:marTop w:val="0"/>
          <w:marBottom w:val="0"/>
          <w:divBdr>
            <w:top w:val="none" w:sz="0" w:space="0" w:color="auto"/>
            <w:left w:val="none" w:sz="0" w:space="0" w:color="auto"/>
            <w:bottom w:val="none" w:sz="0" w:space="0" w:color="auto"/>
            <w:right w:val="none" w:sz="0" w:space="0" w:color="auto"/>
          </w:divBdr>
        </w:div>
        <w:div w:id="316157516">
          <w:marLeft w:val="0"/>
          <w:marRight w:val="0"/>
          <w:marTop w:val="0"/>
          <w:marBottom w:val="0"/>
          <w:divBdr>
            <w:top w:val="none" w:sz="0" w:space="0" w:color="auto"/>
            <w:left w:val="none" w:sz="0" w:space="0" w:color="auto"/>
            <w:bottom w:val="none" w:sz="0" w:space="0" w:color="auto"/>
            <w:right w:val="none" w:sz="0" w:space="0" w:color="auto"/>
          </w:divBdr>
        </w:div>
      </w:divsChild>
    </w:div>
    <w:div w:id="569461676">
      <w:bodyDiv w:val="1"/>
      <w:marLeft w:val="0"/>
      <w:marRight w:val="0"/>
      <w:marTop w:val="0"/>
      <w:marBottom w:val="0"/>
      <w:divBdr>
        <w:top w:val="none" w:sz="0" w:space="0" w:color="auto"/>
        <w:left w:val="none" w:sz="0" w:space="0" w:color="auto"/>
        <w:bottom w:val="none" w:sz="0" w:space="0" w:color="auto"/>
        <w:right w:val="none" w:sz="0" w:space="0" w:color="auto"/>
      </w:divBdr>
    </w:div>
    <w:div w:id="577790470">
      <w:bodyDiv w:val="1"/>
      <w:marLeft w:val="0"/>
      <w:marRight w:val="0"/>
      <w:marTop w:val="0"/>
      <w:marBottom w:val="0"/>
      <w:divBdr>
        <w:top w:val="none" w:sz="0" w:space="0" w:color="auto"/>
        <w:left w:val="none" w:sz="0" w:space="0" w:color="auto"/>
        <w:bottom w:val="none" w:sz="0" w:space="0" w:color="auto"/>
        <w:right w:val="none" w:sz="0" w:space="0" w:color="auto"/>
      </w:divBdr>
    </w:div>
    <w:div w:id="588586863">
      <w:bodyDiv w:val="1"/>
      <w:marLeft w:val="0"/>
      <w:marRight w:val="0"/>
      <w:marTop w:val="0"/>
      <w:marBottom w:val="0"/>
      <w:divBdr>
        <w:top w:val="none" w:sz="0" w:space="0" w:color="auto"/>
        <w:left w:val="none" w:sz="0" w:space="0" w:color="auto"/>
        <w:bottom w:val="none" w:sz="0" w:space="0" w:color="auto"/>
        <w:right w:val="none" w:sz="0" w:space="0" w:color="auto"/>
      </w:divBdr>
    </w:div>
    <w:div w:id="600796831">
      <w:bodyDiv w:val="1"/>
      <w:marLeft w:val="0"/>
      <w:marRight w:val="0"/>
      <w:marTop w:val="0"/>
      <w:marBottom w:val="0"/>
      <w:divBdr>
        <w:top w:val="none" w:sz="0" w:space="0" w:color="auto"/>
        <w:left w:val="none" w:sz="0" w:space="0" w:color="auto"/>
        <w:bottom w:val="none" w:sz="0" w:space="0" w:color="auto"/>
        <w:right w:val="none" w:sz="0" w:space="0" w:color="auto"/>
      </w:divBdr>
    </w:div>
    <w:div w:id="646132157">
      <w:bodyDiv w:val="1"/>
      <w:marLeft w:val="0"/>
      <w:marRight w:val="0"/>
      <w:marTop w:val="0"/>
      <w:marBottom w:val="0"/>
      <w:divBdr>
        <w:top w:val="none" w:sz="0" w:space="0" w:color="auto"/>
        <w:left w:val="none" w:sz="0" w:space="0" w:color="auto"/>
        <w:bottom w:val="none" w:sz="0" w:space="0" w:color="auto"/>
        <w:right w:val="none" w:sz="0" w:space="0" w:color="auto"/>
      </w:divBdr>
    </w:div>
    <w:div w:id="650059167">
      <w:bodyDiv w:val="1"/>
      <w:marLeft w:val="0"/>
      <w:marRight w:val="0"/>
      <w:marTop w:val="0"/>
      <w:marBottom w:val="0"/>
      <w:divBdr>
        <w:top w:val="none" w:sz="0" w:space="0" w:color="auto"/>
        <w:left w:val="none" w:sz="0" w:space="0" w:color="auto"/>
        <w:bottom w:val="none" w:sz="0" w:space="0" w:color="auto"/>
        <w:right w:val="none" w:sz="0" w:space="0" w:color="auto"/>
      </w:divBdr>
    </w:div>
    <w:div w:id="659887875">
      <w:bodyDiv w:val="1"/>
      <w:marLeft w:val="0"/>
      <w:marRight w:val="0"/>
      <w:marTop w:val="0"/>
      <w:marBottom w:val="0"/>
      <w:divBdr>
        <w:top w:val="none" w:sz="0" w:space="0" w:color="auto"/>
        <w:left w:val="none" w:sz="0" w:space="0" w:color="auto"/>
        <w:bottom w:val="none" w:sz="0" w:space="0" w:color="auto"/>
        <w:right w:val="none" w:sz="0" w:space="0" w:color="auto"/>
      </w:divBdr>
    </w:div>
    <w:div w:id="668482189">
      <w:bodyDiv w:val="1"/>
      <w:marLeft w:val="0"/>
      <w:marRight w:val="0"/>
      <w:marTop w:val="0"/>
      <w:marBottom w:val="0"/>
      <w:divBdr>
        <w:top w:val="none" w:sz="0" w:space="0" w:color="auto"/>
        <w:left w:val="none" w:sz="0" w:space="0" w:color="auto"/>
        <w:bottom w:val="none" w:sz="0" w:space="0" w:color="auto"/>
        <w:right w:val="none" w:sz="0" w:space="0" w:color="auto"/>
      </w:divBdr>
    </w:div>
    <w:div w:id="720133656">
      <w:bodyDiv w:val="1"/>
      <w:marLeft w:val="0"/>
      <w:marRight w:val="0"/>
      <w:marTop w:val="0"/>
      <w:marBottom w:val="0"/>
      <w:divBdr>
        <w:top w:val="none" w:sz="0" w:space="0" w:color="auto"/>
        <w:left w:val="none" w:sz="0" w:space="0" w:color="auto"/>
        <w:bottom w:val="none" w:sz="0" w:space="0" w:color="auto"/>
        <w:right w:val="none" w:sz="0" w:space="0" w:color="auto"/>
      </w:divBdr>
    </w:div>
    <w:div w:id="776369541">
      <w:bodyDiv w:val="1"/>
      <w:marLeft w:val="0"/>
      <w:marRight w:val="0"/>
      <w:marTop w:val="0"/>
      <w:marBottom w:val="0"/>
      <w:divBdr>
        <w:top w:val="none" w:sz="0" w:space="0" w:color="auto"/>
        <w:left w:val="none" w:sz="0" w:space="0" w:color="auto"/>
        <w:bottom w:val="none" w:sz="0" w:space="0" w:color="auto"/>
        <w:right w:val="none" w:sz="0" w:space="0" w:color="auto"/>
      </w:divBdr>
    </w:div>
    <w:div w:id="798839205">
      <w:bodyDiv w:val="1"/>
      <w:marLeft w:val="0"/>
      <w:marRight w:val="0"/>
      <w:marTop w:val="0"/>
      <w:marBottom w:val="0"/>
      <w:divBdr>
        <w:top w:val="none" w:sz="0" w:space="0" w:color="auto"/>
        <w:left w:val="none" w:sz="0" w:space="0" w:color="auto"/>
        <w:bottom w:val="none" w:sz="0" w:space="0" w:color="auto"/>
        <w:right w:val="none" w:sz="0" w:space="0" w:color="auto"/>
      </w:divBdr>
    </w:div>
    <w:div w:id="827526315">
      <w:bodyDiv w:val="1"/>
      <w:marLeft w:val="0"/>
      <w:marRight w:val="0"/>
      <w:marTop w:val="0"/>
      <w:marBottom w:val="0"/>
      <w:divBdr>
        <w:top w:val="none" w:sz="0" w:space="0" w:color="auto"/>
        <w:left w:val="none" w:sz="0" w:space="0" w:color="auto"/>
        <w:bottom w:val="none" w:sz="0" w:space="0" w:color="auto"/>
        <w:right w:val="none" w:sz="0" w:space="0" w:color="auto"/>
      </w:divBdr>
    </w:div>
    <w:div w:id="931085301">
      <w:bodyDiv w:val="1"/>
      <w:marLeft w:val="0"/>
      <w:marRight w:val="0"/>
      <w:marTop w:val="0"/>
      <w:marBottom w:val="0"/>
      <w:divBdr>
        <w:top w:val="none" w:sz="0" w:space="0" w:color="auto"/>
        <w:left w:val="none" w:sz="0" w:space="0" w:color="auto"/>
        <w:bottom w:val="none" w:sz="0" w:space="0" w:color="auto"/>
        <w:right w:val="none" w:sz="0" w:space="0" w:color="auto"/>
      </w:divBdr>
    </w:div>
    <w:div w:id="974067848">
      <w:bodyDiv w:val="1"/>
      <w:marLeft w:val="0"/>
      <w:marRight w:val="0"/>
      <w:marTop w:val="0"/>
      <w:marBottom w:val="0"/>
      <w:divBdr>
        <w:top w:val="none" w:sz="0" w:space="0" w:color="auto"/>
        <w:left w:val="none" w:sz="0" w:space="0" w:color="auto"/>
        <w:bottom w:val="none" w:sz="0" w:space="0" w:color="auto"/>
        <w:right w:val="none" w:sz="0" w:space="0" w:color="auto"/>
      </w:divBdr>
    </w:div>
    <w:div w:id="1051423701">
      <w:bodyDiv w:val="1"/>
      <w:marLeft w:val="0"/>
      <w:marRight w:val="0"/>
      <w:marTop w:val="0"/>
      <w:marBottom w:val="0"/>
      <w:divBdr>
        <w:top w:val="none" w:sz="0" w:space="0" w:color="auto"/>
        <w:left w:val="none" w:sz="0" w:space="0" w:color="auto"/>
        <w:bottom w:val="none" w:sz="0" w:space="0" w:color="auto"/>
        <w:right w:val="none" w:sz="0" w:space="0" w:color="auto"/>
      </w:divBdr>
    </w:div>
    <w:div w:id="1056126720">
      <w:bodyDiv w:val="1"/>
      <w:marLeft w:val="0"/>
      <w:marRight w:val="0"/>
      <w:marTop w:val="0"/>
      <w:marBottom w:val="0"/>
      <w:divBdr>
        <w:top w:val="none" w:sz="0" w:space="0" w:color="auto"/>
        <w:left w:val="none" w:sz="0" w:space="0" w:color="auto"/>
        <w:bottom w:val="none" w:sz="0" w:space="0" w:color="auto"/>
        <w:right w:val="none" w:sz="0" w:space="0" w:color="auto"/>
      </w:divBdr>
    </w:div>
    <w:div w:id="1094059106">
      <w:bodyDiv w:val="1"/>
      <w:marLeft w:val="0"/>
      <w:marRight w:val="0"/>
      <w:marTop w:val="0"/>
      <w:marBottom w:val="0"/>
      <w:divBdr>
        <w:top w:val="none" w:sz="0" w:space="0" w:color="auto"/>
        <w:left w:val="none" w:sz="0" w:space="0" w:color="auto"/>
        <w:bottom w:val="none" w:sz="0" w:space="0" w:color="auto"/>
        <w:right w:val="none" w:sz="0" w:space="0" w:color="auto"/>
      </w:divBdr>
    </w:div>
    <w:div w:id="1096561134">
      <w:bodyDiv w:val="1"/>
      <w:marLeft w:val="0"/>
      <w:marRight w:val="0"/>
      <w:marTop w:val="0"/>
      <w:marBottom w:val="0"/>
      <w:divBdr>
        <w:top w:val="none" w:sz="0" w:space="0" w:color="auto"/>
        <w:left w:val="none" w:sz="0" w:space="0" w:color="auto"/>
        <w:bottom w:val="none" w:sz="0" w:space="0" w:color="auto"/>
        <w:right w:val="none" w:sz="0" w:space="0" w:color="auto"/>
      </w:divBdr>
    </w:div>
    <w:div w:id="1208642598">
      <w:bodyDiv w:val="1"/>
      <w:marLeft w:val="0"/>
      <w:marRight w:val="0"/>
      <w:marTop w:val="0"/>
      <w:marBottom w:val="0"/>
      <w:divBdr>
        <w:top w:val="none" w:sz="0" w:space="0" w:color="auto"/>
        <w:left w:val="none" w:sz="0" w:space="0" w:color="auto"/>
        <w:bottom w:val="none" w:sz="0" w:space="0" w:color="auto"/>
        <w:right w:val="none" w:sz="0" w:space="0" w:color="auto"/>
      </w:divBdr>
    </w:div>
    <w:div w:id="1238704987">
      <w:bodyDiv w:val="1"/>
      <w:marLeft w:val="0"/>
      <w:marRight w:val="0"/>
      <w:marTop w:val="0"/>
      <w:marBottom w:val="0"/>
      <w:divBdr>
        <w:top w:val="none" w:sz="0" w:space="0" w:color="auto"/>
        <w:left w:val="none" w:sz="0" w:space="0" w:color="auto"/>
        <w:bottom w:val="none" w:sz="0" w:space="0" w:color="auto"/>
        <w:right w:val="none" w:sz="0" w:space="0" w:color="auto"/>
      </w:divBdr>
    </w:div>
    <w:div w:id="1272516533">
      <w:bodyDiv w:val="1"/>
      <w:marLeft w:val="0"/>
      <w:marRight w:val="0"/>
      <w:marTop w:val="0"/>
      <w:marBottom w:val="0"/>
      <w:divBdr>
        <w:top w:val="none" w:sz="0" w:space="0" w:color="auto"/>
        <w:left w:val="none" w:sz="0" w:space="0" w:color="auto"/>
        <w:bottom w:val="none" w:sz="0" w:space="0" w:color="auto"/>
        <w:right w:val="none" w:sz="0" w:space="0" w:color="auto"/>
      </w:divBdr>
    </w:div>
    <w:div w:id="1289169869">
      <w:bodyDiv w:val="1"/>
      <w:marLeft w:val="0"/>
      <w:marRight w:val="0"/>
      <w:marTop w:val="0"/>
      <w:marBottom w:val="0"/>
      <w:divBdr>
        <w:top w:val="none" w:sz="0" w:space="0" w:color="auto"/>
        <w:left w:val="none" w:sz="0" w:space="0" w:color="auto"/>
        <w:bottom w:val="none" w:sz="0" w:space="0" w:color="auto"/>
        <w:right w:val="none" w:sz="0" w:space="0" w:color="auto"/>
      </w:divBdr>
    </w:div>
    <w:div w:id="1313173291">
      <w:bodyDiv w:val="1"/>
      <w:marLeft w:val="0"/>
      <w:marRight w:val="0"/>
      <w:marTop w:val="0"/>
      <w:marBottom w:val="0"/>
      <w:divBdr>
        <w:top w:val="none" w:sz="0" w:space="0" w:color="auto"/>
        <w:left w:val="none" w:sz="0" w:space="0" w:color="auto"/>
        <w:bottom w:val="none" w:sz="0" w:space="0" w:color="auto"/>
        <w:right w:val="none" w:sz="0" w:space="0" w:color="auto"/>
      </w:divBdr>
    </w:div>
    <w:div w:id="1483810027">
      <w:bodyDiv w:val="1"/>
      <w:marLeft w:val="0"/>
      <w:marRight w:val="0"/>
      <w:marTop w:val="0"/>
      <w:marBottom w:val="0"/>
      <w:divBdr>
        <w:top w:val="none" w:sz="0" w:space="0" w:color="auto"/>
        <w:left w:val="none" w:sz="0" w:space="0" w:color="auto"/>
        <w:bottom w:val="none" w:sz="0" w:space="0" w:color="auto"/>
        <w:right w:val="none" w:sz="0" w:space="0" w:color="auto"/>
      </w:divBdr>
    </w:div>
    <w:div w:id="1516534570">
      <w:bodyDiv w:val="1"/>
      <w:marLeft w:val="0"/>
      <w:marRight w:val="0"/>
      <w:marTop w:val="0"/>
      <w:marBottom w:val="0"/>
      <w:divBdr>
        <w:top w:val="none" w:sz="0" w:space="0" w:color="auto"/>
        <w:left w:val="none" w:sz="0" w:space="0" w:color="auto"/>
        <w:bottom w:val="none" w:sz="0" w:space="0" w:color="auto"/>
        <w:right w:val="none" w:sz="0" w:space="0" w:color="auto"/>
      </w:divBdr>
    </w:div>
    <w:div w:id="1516924361">
      <w:bodyDiv w:val="1"/>
      <w:marLeft w:val="0"/>
      <w:marRight w:val="0"/>
      <w:marTop w:val="0"/>
      <w:marBottom w:val="0"/>
      <w:divBdr>
        <w:top w:val="none" w:sz="0" w:space="0" w:color="auto"/>
        <w:left w:val="none" w:sz="0" w:space="0" w:color="auto"/>
        <w:bottom w:val="none" w:sz="0" w:space="0" w:color="auto"/>
        <w:right w:val="none" w:sz="0" w:space="0" w:color="auto"/>
      </w:divBdr>
    </w:div>
    <w:div w:id="1548227209">
      <w:bodyDiv w:val="1"/>
      <w:marLeft w:val="0"/>
      <w:marRight w:val="0"/>
      <w:marTop w:val="0"/>
      <w:marBottom w:val="0"/>
      <w:divBdr>
        <w:top w:val="none" w:sz="0" w:space="0" w:color="auto"/>
        <w:left w:val="none" w:sz="0" w:space="0" w:color="auto"/>
        <w:bottom w:val="none" w:sz="0" w:space="0" w:color="auto"/>
        <w:right w:val="none" w:sz="0" w:space="0" w:color="auto"/>
      </w:divBdr>
    </w:div>
    <w:div w:id="1772969192">
      <w:bodyDiv w:val="1"/>
      <w:marLeft w:val="0"/>
      <w:marRight w:val="0"/>
      <w:marTop w:val="0"/>
      <w:marBottom w:val="0"/>
      <w:divBdr>
        <w:top w:val="none" w:sz="0" w:space="0" w:color="auto"/>
        <w:left w:val="none" w:sz="0" w:space="0" w:color="auto"/>
        <w:bottom w:val="none" w:sz="0" w:space="0" w:color="auto"/>
        <w:right w:val="none" w:sz="0" w:space="0" w:color="auto"/>
      </w:divBdr>
    </w:div>
    <w:div w:id="1809082600">
      <w:bodyDiv w:val="1"/>
      <w:marLeft w:val="0"/>
      <w:marRight w:val="0"/>
      <w:marTop w:val="0"/>
      <w:marBottom w:val="0"/>
      <w:divBdr>
        <w:top w:val="none" w:sz="0" w:space="0" w:color="auto"/>
        <w:left w:val="none" w:sz="0" w:space="0" w:color="auto"/>
        <w:bottom w:val="none" w:sz="0" w:space="0" w:color="auto"/>
        <w:right w:val="none" w:sz="0" w:space="0" w:color="auto"/>
      </w:divBdr>
    </w:div>
    <w:div w:id="1848858553">
      <w:bodyDiv w:val="1"/>
      <w:marLeft w:val="0"/>
      <w:marRight w:val="0"/>
      <w:marTop w:val="0"/>
      <w:marBottom w:val="0"/>
      <w:divBdr>
        <w:top w:val="none" w:sz="0" w:space="0" w:color="auto"/>
        <w:left w:val="none" w:sz="0" w:space="0" w:color="auto"/>
        <w:bottom w:val="none" w:sz="0" w:space="0" w:color="auto"/>
        <w:right w:val="none" w:sz="0" w:space="0" w:color="auto"/>
      </w:divBdr>
    </w:div>
    <w:div w:id="1885214717">
      <w:bodyDiv w:val="1"/>
      <w:marLeft w:val="0"/>
      <w:marRight w:val="0"/>
      <w:marTop w:val="0"/>
      <w:marBottom w:val="0"/>
      <w:divBdr>
        <w:top w:val="none" w:sz="0" w:space="0" w:color="auto"/>
        <w:left w:val="none" w:sz="0" w:space="0" w:color="auto"/>
        <w:bottom w:val="none" w:sz="0" w:space="0" w:color="auto"/>
        <w:right w:val="none" w:sz="0" w:space="0" w:color="auto"/>
      </w:divBdr>
    </w:div>
    <w:div w:id="1917085243">
      <w:bodyDiv w:val="1"/>
      <w:marLeft w:val="0"/>
      <w:marRight w:val="0"/>
      <w:marTop w:val="0"/>
      <w:marBottom w:val="0"/>
      <w:divBdr>
        <w:top w:val="none" w:sz="0" w:space="0" w:color="auto"/>
        <w:left w:val="none" w:sz="0" w:space="0" w:color="auto"/>
        <w:bottom w:val="none" w:sz="0" w:space="0" w:color="auto"/>
        <w:right w:val="none" w:sz="0" w:space="0" w:color="auto"/>
      </w:divBdr>
    </w:div>
    <w:div w:id="2000228536">
      <w:bodyDiv w:val="1"/>
      <w:marLeft w:val="0"/>
      <w:marRight w:val="0"/>
      <w:marTop w:val="0"/>
      <w:marBottom w:val="0"/>
      <w:divBdr>
        <w:top w:val="none" w:sz="0" w:space="0" w:color="auto"/>
        <w:left w:val="none" w:sz="0" w:space="0" w:color="auto"/>
        <w:bottom w:val="none" w:sz="0" w:space="0" w:color="auto"/>
        <w:right w:val="none" w:sz="0" w:space="0" w:color="auto"/>
      </w:divBdr>
    </w:div>
    <w:div w:id="2030718790">
      <w:bodyDiv w:val="1"/>
      <w:marLeft w:val="0"/>
      <w:marRight w:val="0"/>
      <w:marTop w:val="0"/>
      <w:marBottom w:val="0"/>
      <w:divBdr>
        <w:top w:val="none" w:sz="0" w:space="0" w:color="auto"/>
        <w:left w:val="none" w:sz="0" w:space="0" w:color="auto"/>
        <w:bottom w:val="none" w:sz="0" w:space="0" w:color="auto"/>
        <w:right w:val="none" w:sz="0" w:space="0" w:color="auto"/>
      </w:divBdr>
    </w:div>
    <w:div w:id="204972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mf.org/external/country/ir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PHE1642</b:Tag>
    <b:SourceType>InternetSite</b:SourceType>
    <b:Guid>{E8E924D0-C9BB-D84E-9CFD-8C05DEEE256F}</b:Guid>
    <b:Author>
      <b:Author>
        <b:Corporate>PH-EITI</b:Corporate>
      </b:Author>
    </b:Author>
    <b:Title>PH-EITI Presentation to the 63rd Annual National Mine Safety and Environment Conference Minerals Industry Symposium</b:Title>
    <b:Year>2016</b:Year>
    <b:URL>unpublished, provided the PH-EITI Secretariat</b:URL>
    <b:Month>November</b:Month>
    <b:Day>17</b:Day>
    <b:YearAccessed>2017</b:YearAccessed>
    <b:MonthAccessed>February</b:MonthAccessed>
    <b:RefOrder>23</b:RefOrder>
  </b:Source>
  <b:Source>
    <b:Tag>Bus16</b:Tag>
    <b:SourceType>InternetSite</b:SourceType>
    <b:Guid>{CC3ADAC9-7692-234A-9035-C65F1E25CBF6}</b:Guid>
    <b:Author>
      <b:Author>
        <b:Corporate>BusinessWorld</b:Corporate>
      </b:Author>
    </b:Author>
    <b:Title>PHL sees oil, gas potential as EITI efforts lauded</b:Title>
    <b:URL>http://www.bworldonline.com/content.php?section=Economy&amp;title=phl-sees-oil-gas-potential-as-eiti-efforts-lauded&amp;id=123663</b:URL>
    <b:Year>2016</b:Year>
    <b:Month>February</b:Month>
    <b:Day>26</b:Day>
    <b:YearAccessed>2017</b:YearAccessed>
    <b:MonthAccessed>February</b:MonthAccessed>
    <b:RefOrder>24</b:RefOrder>
  </b:Source>
  <b:Source>
    <b:Tag>Min161</b:Tag>
    <b:SourceType>InternetSite</b:SourceType>
    <b:Guid>{E852BD1C-4913-F046-A42C-1310A47013CD}</b:Guid>
    <b:Author>
      <b:Author>
        <b:Corporate>Mines and Geosciences Bureau</b:Corporate>
      </b:Author>
    </b:Author>
    <b:Title>Mineral Resource Inventory</b:Title>
    <b:URL>http://www.mgb.gov.ph/2015-05-13-01-44-56/2015-05-13-01-47-51#</b:URL>
    <b:Year>2016</b:Year>
    <b:YearAccessed>2016</b:YearAccessed>
    <b:MonthAccessed>October</b:MonthAccessed>
    <b:RefOrder>25</b:RefOrder>
  </b:Source>
  <b:Source>
    <b:Tag>PHE156</b:Tag>
    <b:SourceType>DocumentFromInternetSite</b:SourceType>
    <b:Guid>{B6460EE1-35AF-7546-83B5-07FBDDF8FE7E}</b:Guid>
    <b:Author>
      <b:Author>
        <b:Corporate>PH-EITI</b:Corporate>
      </b:Author>
    </b:Author>
    <b:Title>The 2nd PH-EITI Country Report (FY2013) - Executive Summary</b:Title>
    <b:URL>http://ph-eiti.org/document/EITI-Report/Second-Country-Report/Executive%20Summary_2015.pdf</b:URL>
    <b:Year>2015</b:Year>
    <b:Month>December</b:Month>
    <b:YearAccessed>2016</b:YearAccessed>
    <b:MonthAccessed>September</b:MonthAccessed>
    <b:RefOrder>26</b:RefOrder>
  </b:Source>
  <b:Source>
    <b:Tag>Reu16</b:Tag>
    <b:SourceType>DocumentFromInternetSite</b:SourceType>
    <b:Guid>{BDD6010E-B972-354A-8F58-0E1CAD3ABAB3}</b:Guid>
    <b:Author>
      <b:Author>
        <b:Corporate>Reuters</b:Corporate>
      </b:Author>
    </b:Author>
    <b:Title>The Philippines Will Suspend More Mines Over Environmental Violations</b:Title>
    <b:Year>2016</b:Year>
    <b:URL>http://fortune.com/2016/09/05/philippines-mines-suspend/</b:URL>
    <b:Month>September</b:Month>
    <b:Day>5</b:Day>
    <b:YearAccessed>2016</b:YearAccessed>
    <b:MonthAccessed>September</b:MonthAccessed>
    <b:RefOrder>27</b:RefOrder>
  </b:Source>
  <b:Source>
    <b:Tag>EIT162</b:Tag>
    <b:SourceType>InternetSite</b:SourceType>
    <b:Guid>{4E21543C-9CAF-134D-A132-629099C36A65}</b:Guid>
    <b:Author>
      <b:Author>
        <b:Corporate>EITI</b:Corporate>
      </b:Author>
    </b:Author>
    <b:Title>Philippines country page</b:Title>
    <b:URL>https://eiti.org/implementing_country/2</b:URL>
    <b:YearAccessed>2016</b:YearAccessed>
    <b:MonthAccessed>November</b:MonthAccessed>
    <b:Year>2016</b:Year>
    <b:RefOrder>28</b:RefOrder>
  </b:Source>
  <b:Source>
    <b:Tag>USE16</b:Tag>
    <b:SourceType>InternetSite</b:SourceType>
    <b:Guid>{377D9B84-F821-2E4A-8849-6CB20A3556EF}</b:Guid>
    <b:Author>
      <b:Author>
        <b:Corporate>US Energy Information Administration</b:Corporate>
      </b:Author>
    </b:Author>
    <b:Title>Country analysis: Iraq</b:Title>
    <b:URL>https://www.eia.gov/beta/international/analysis_includes/countries_long/Iraq/iraq.pdf</b:URL>
    <b:Year>2016</b:Year>
    <b:Month>April</b:Month>
    <b:Day>28</b:Day>
    <b:YearAccessed>2016</b:YearAccessed>
    <b:MonthAccessed>November</b:MonthAccessed>
    <b:RefOrder>1</b:RefOrder>
  </b:Source>
  <b:Source>
    <b:Tag>USG15</b:Tag>
    <b:SourceType>InternetSite</b:SourceType>
    <b:Guid>{51CBB6D0-A144-D047-A32F-8CF7BE779235}</b:Guid>
    <b:Author>
      <b:Author>
        <b:Corporate>US Geological Service</b:Corporate>
      </b:Author>
    </b:Author>
    <b:Title>2013 Minerals Yearbook Iraq</b:Title>
    <b:URL>http://minerals.usgs.gov/minerals/pubs/country/2013/myb3-2013-iz.pdf</b:URL>
    <b:Year>2015</b:Year>
    <b:Month>July</b:Month>
    <b:YearAccessed>2016</b:YearAccessed>
    <b:MonthAccessed>November</b:MonthAccessed>
    <b:RefOrder>2</b:RefOrder>
  </b:Source>
  <b:Source>
    <b:Tag>KRG15</b:Tag>
    <b:SourceType>InternetSite</b:SourceType>
    <b:Guid>{956D84FF-5BAF-E941-B899-D381B35B15ED}</b:Guid>
    <b:Author>
      <b:Author>
        <b:Corporate>KRG Ministry of Natural Resources</b:Corporate>
      </b:Author>
    </b:Author>
    <b:Title>Mining Vision</b:Title>
    <b:URL>http://mnr.krg.org/index.php/en/mining/mining-vision</b:URL>
    <b:Year>2015</b:Year>
    <b:YearAccessed>2016</b:YearAccessed>
    <b:MonthAccessed>November</b:MonthAccessed>
    <b:RefOrder>3</b:RefOrder>
  </b:Source>
  <b:Source>
    <b:Tag>Ira16</b:Tag>
    <b:SourceType>InternetSite</b:SourceType>
    <b:Guid>{1F57BCD6-9486-B147-B700-5D3CB216B393}</b:Guid>
    <b:Author>
      <b:Author>
        <b:Corporate>Iraqi Economists</b:Corporate>
      </b:Author>
    </b:Author>
    <b:Title>Iraq License Contracts – Facts &amp; Figures</b:Title>
    <b:URL>http://iraqieconomists.net/en/wp-content/uploads/sites/7/2016/01/Iraq-Oil-Contracts-Facts-Figures.pdf</b:URL>
    <b:Year>2016</b:Year>
    <b:Month>January</b:Month>
    <b:YearAccessed>2016</b:YearAccessed>
    <b:MonthAccessed>November</b:MonthAccessed>
    <b:RefOrder>4</b:RefOrder>
  </b:Source>
  <b:Source>
    <b:Tag>Han15</b:Tag>
    <b:SourceType>InternetSite</b:SourceType>
    <b:Guid>{AD6623F6-F84C-994B-B3E2-5E39BA25EFB7}</b:Guid>
    <b:Author>
      <b:Author>
        <b:Corporate>Hannam &amp; Partners</b:Corporate>
      </b:Author>
    </b:Author>
    <b:Title>Iraq Oil &amp; Gas Outlook</b:Title>
    <b:URL>http://www.hannamandpartners.com/uploads/2015/10/Iraq.pdf</b:URL>
    <b:Year>2015</b:Year>
    <b:Month>May</b:Month>
    <b:YearAccessed>2016</b:YearAccessed>
    <b:MonthAccessed>November</b:MonthAccessed>
    <b:RefOrder>5</b:RefOrder>
  </b:Source>
  <b:Source>
    <b:Tag>CME16</b:Tag>
    <b:SourceType>InternetSite</b:SourceType>
    <b:Guid>{9C342CC3-FB31-6346-87A6-208B13D3B7DA}</b:Guid>
    <b:Author>
      <b:Author>
        <b:Corporate>CME Group</b:Corporate>
      </b:Author>
    </b:Author>
    <b:Title>Oil: Assessing Global Geopolitical Risks</b:Title>
    <b:URL>https://www.cmegroup.com/education/files/oil-assessing-global-geopolitical-risks.pdf</b:URL>
    <b:Year>2016</b:Year>
    <b:Month>August</b:Month>
    <b:Day>31</b:Day>
    <b:YearAccessed>2016</b:YearAccessed>
    <b:MonthAccessed>November</b:MonthAccessed>
    <b:RefOrder>6</b:RefOrder>
  </b:Source>
  <b:Source>
    <b:Tag>Glo151</b:Tag>
    <b:SourceType>InternetSite</b:SourceType>
    <b:Guid>{F03175EC-E62C-9344-8499-7ECDA963F84A}</b:Guid>
    <b:Author>
      <b:Author>
        <b:Corporate>Global Risk Insights</b:Corporate>
      </b:Author>
    </b:Author>
    <b:Title>The future of oil production in Iraq</b:Title>
    <b:URL>http://globalriskinsights.com/2015/12/the-future-of-oil-production-in-iraq/</b:URL>
    <b:Year>2015</b:Year>
    <b:Month>December</b:Month>
    <b:Day>21</b:Day>
    <b:YearAccessed>2016</b:YearAccessed>
    <b:MonthAccessed>November</b:MonthAccessed>
    <b:RefOrder>7</b:RefOrder>
  </b:Source>
  <b:Source>
    <b:Tag>Ira161</b:Tag>
    <b:SourceType>InternetSite</b:SourceType>
    <b:Guid>{755DDFA5-5511-9F49-83D5-A6CCAD976354}</b:Guid>
    <b:Author>
      <b:Author>
        <b:Corporate>Iraq Business News</b:Corporate>
      </b:Author>
    </b:Author>
    <b:Title>Ministry of Oil: IOC Contracts Must Reflect Prices</b:Title>
    <b:URL>http://www.iraq-businessnews.com/2016/08/23/ministry-of-oil-ioc-contracts-must-reflect-prices/</b:URL>
    <b:Year>2016</b:Year>
    <b:Month>August</b:Month>
    <b:Day>23</b:Day>
    <b:YearAccessed>2016</b:YearAccessed>
    <b:MonthAccessed>November</b:MonthAccessed>
    <b:RefOrder>29</b:RefOrder>
  </b:Source>
  <b:Source>
    <b:Tag>Ira162</b:Tag>
    <b:SourceType>InternetSite</b:SourceType>
    <b:Guid>{483456AB-36AF-A948-85D6-D2405D07B948}</b:Guid>
    <b:Author>
      <b:Author>
        <b:Corporate>Iraqi Economists</b:Corporate>
      </b:Author>
    </b:Author>
    <b:Title>Iraq License Contracts – Facts &amp; Figures</b:Title>
    <b:URL>http://iraqieconomists.net/en/wp-content/uploads/sites/7/2016/01/Iraq-Oil-Contracts-Facts-Figures.pdf</b:URL>
    <b:Year>2016</b:Year>
    <b:Month>January</b:Month>
    <b:YearAccessed>2016</b:YearAccessed>
    <b:MonthAccessed>November</b:MonthAccessed>
    <b:RefOrder>8</b:RefOrder>
  </b:Source>
  <b:Source>
    <b:Tag>The162</b:Tag>
    <b:SourceType>InternetSite</b:SourceType>
    <b:Guid>{0F734152-F103-1E45-B9B2-945F8111EBA0}</b:Guid>
    <b:Author>
      <b:Author>
        <b:Corporate>The Oxford Institute for Energy Studies </b:Corporate>
      </b:Author>
    </b:Author>
    <b:Title>Can Iraqi oil production surprise again on the upside?</b:Title>
    <b:URL>https://www.oxfordenergy.org/wpcms/wp-content/uploads/2016/10/Can-Iraqi-oil-production-surprise-again-on-the-upside.pdf</b:URL>
    <b:Year>2016</b:Year>
    <b:Month>October</b:Month>
    <b:YearAccessed>2016</b:YearAccessed>
    <b:MonthAccessed>November</b:MonthAccessed>
    <b:RefOrder>9</b:RefOrder>
  </b:Source>
  <b:Source>
    <b:Tag>Int16</b:Tag>
    <b:SourceType>InternetSite</b:SourceType>
    <b:Guid>{D76C184D-B4AA-E246-ABD4-E4429878F5D2}</b:Guid>
    <b:Author>
      <b:Author>
        <b:Corporate>International Energy Agency</b:Corporate>
      </b:Author>
    </b:Author>
    <b:Title>World Energy Outlook 2016</b:Title>
    <b:URL>https://www.iea.org/publications/freepublications/publication/WorldEnergyOutlook2016ExecutiveSummaryEnglish.pdf</b:URL>
    <b:Year>2016</b:Year>
    <b:Month>November</b:Month>
    <b:YearAccessed>2016</b:YearAccessed>
    <b:MonthAccessed>November</b:MonthAccessed>
    <b:RefOrder>10</b:RefOrder>
  </b:Source>
  <b:Source>
    <b:Tag>IMF156</b:Tag>
    <b:SourceType>InternetSite</b:SourceType>
    <b:Guid>{8ED94196-58DC-D146-95A5-B6C62082CCA6}</b:Guid>
    <b:Author>
      <b:Author>
        <b:Corporate>IMF</b:Corporate>
      </b:Author>
    </b:Author>
    <b:Title>Iraq: 2015 Article IV Consultation</b:Title>
    <b:URL>https://www.imf.org/external/pubs/ft/scr/2015/cr15235.pdf</b:URL>
    <b:Year>2015</b:Year>
    <b:Month>August</b:Month>
    <b:YearAccessed>2016</b:YearAccessed>
    <b:MonthAccessed>November</b:MonthAccessed>
    <b:RefOrder>11</b:RefOrder>
  </b:Source>
  <b:Source>
    <b:Tag>Wor164</b:Tag>
    <b:SourceType>InternetSite</b:SourceType>
    <b:Guid>{91EEFB58-D6E4-0C4E-B0BE-5E7A3AEE12F5}</b:Guid>
    <b:Author>
      <b:Author>
        <b:Corporate>World Bank</b:Corporate>
      </b:Author>
    </b:Author>
    <b:Title>Iraq’s Economic Outlook- Spring 2016</b:Title>
    <b:URL>http://pubdocs.worldbank.org/en/877101460208803340/Iraq-MEM.pdf</b:URL>
    <b:Year>2016</b:Year>
    <b:Month>April</b:Month>
    <b:YearAccessed>2016</b:YearAccessed>
    <b:MonthAccessed>November</b:MonthAccessed>
    <b:RefOrder>30</b:RefOrder>
  </b:Source>
  <b:Source>
    <b:Tag>The161</b:Tag>
    <b:SourceType>InternetSite</b:SourceType>
    <b:Guid>{B5607E39-0E6F-BC46-A333-232FFAF83311}</b:Guid>
    <b:Author>
      <b:Author>
        <b:Corporate>The Oxford Institute for Energy Studies</b:Corporate>
      </b:Author>
    </b:Author>
    <b:Title>Under the Mountains: Kurdish Oil and Regional Politics</b:Title>
    <b:URL>https://www.oxfordenergy.org/wpcms/wp-content/uploads/2016/02/Kurdish-Oil-and-Regional-Politics-WPM-63.pdf</b:URL>
    <b:Year>2016</b:Year>
    <b:Month>January</b:Month>
    <b:YearAccessed>2016</b:YearAccessed>
    <b:MonthAccessed>November</b:MonthAccessed>
    <b:RefOrder>12</b:RefOrder>
  </b:Source>
  <b:Source>
    <b:Tag>Cri12</b:Tag>
    <b:SourceType>InternetSite</b:SourceType>
    <b:Guid>{09EF7823-EAAF-EF46-8857-203C403C3212}</b:Guid>
    <b:Author>
      <b:Author>
        <b:Corporate>Crisis Group</b:Corporate>
      </b:Author>
    </b:Author>
    <b:Title>Iraq and the Kurds: The High-Stakes Hydrocarbons Gambit</b:Title>
    <b:URL>https://www.crisisgroup.org/middle-east-north-africa/gulf-and-arabian-peninsula/iraq/iraq-and-kurds-high-stakes-hydrocarbons-gambit</b:URL>
    <b:Year>2012</b:Year>
    <b:Month>April</b:Month>
    <b:Day>19</b:Day>
    <b:YearAccessed>2016</b:YearAccessed>
    <b:MonthAccessed>November</b:MonthAccessed>
    <b:RefOrder>13</b:RefOrder>
  </b:Source>
  <b:Source>
    <b:Tag>NRG161</b:Tag>
    <b:SourceType>InternetSite</b:SourceType>
    <b:Guid>{9E4FE57E-E984-F046-AB18-87B33C280A27}</b:Guid>
    <b:Author>
      <b:Author>
        <b:Corporate>NRGI</b:Corporate>
      </b:Author>
    </b:Author>
    <b:Title>Iraq: Oil and Gas Revenue Sharing</b:Title>
    <b:URL>http://www.resourcegovernance.org/sites/default/files/documents/oil-gas-revenue-sharing-iraq_infographic.pdf</b:URL>
    <b:Year>2016</b:Year>
    <b:YearAccessed>2016</b:YearAccessed>
    <b:MonthAccessed>November</b:MonthAccessed>
    <b:RefOrder>14</b:RefOrder>
  </b:Source>
  <b:Source>
    <b:Tag>Ira10</b:Tag>
    <b:SourceType>InternetSite</b:SourceType>
    <b:Guid>{C1FBCF6D-B713-C74E-9F14-3365B8F95422}</b:Guid>
    <b:Author>
      <b:Author>
        <b:Corporate>Iraqi Ministry of Oil, Fossil Fuel Resources</b:Corporate>
      </b:Author>
    </b:Author>
    <b:Title>Latest estimates</b:Title>
    <b:URL>http://eneken.ieej.or.jp/data/3196.pdf</b:URL>
    <b:Year>2010</b:Year>
    <b:Month>June</b:Month>
    <b:YearAccessed>2016</b:YearAccessed>
    <b:MonthAccessed>November</b:MonthAccessed>
    <b:RefOrder>15</b:RefOrder>
  </b:Source>
  <b:Source>
    <b:Tag>Exp16</b:Tag>
    <b:SourceType>InternetSite</b:SourceType>
    <b:Guid>{2A83771B-1994-5D46-93E3-3280D0A1DF9D}</b:Guid>
    <b:Author>
      <b:Author>
        <b:Corporate>Export.gov</b:Corporate>
      </b:Author>
    </b:Author>
    <b:Title>Iraq - Oil and Gas Equipment and Services</b:Title>
    <b:URL>https://www.export.gov/apex/article2?id=Iraq-Oil-and-Gas-Equipment-and-Services</b:URL>
    <b:Year>2016</b:Year>
    <b:Month>April</b:Month>
    <b:Day>17</b:Day>
    <b:YearAccessed>2016</b:YearAccessed>
    <b:MonthAccessed>November</b:MonthAccessed>
    <b:RefOrder>16</b:RefOrder>
  </b:Source>
  <b:Source>
    <b:Tag>NRG17</b:Tag>
    <b:SourceType>Report</b:SourceType>
    <b:Guid>{A2BCB560-BA97-45C3-B88C-1349B28F44FA}</b:Guid>
    <b:Title>Resource Governance Index - Iraq</b:Title>
    <b:Year>2017</b:Year>
    <b:Publisher>NRGI</b:Publisher>
    <b:Author>
      <b:Author>
        <b:Corporate>NRGI</b:Corporate>
      </b:Author>
    </b:Author>
    <b:RefOrder>17</b:RefOrder>
  </b:Source>
  <b:Source>
    <b:Tag>Tra151</b:Tag>
    <b:SourceType>InternetSite</b:SourceType>
    <b:Guid>{1DF15DEF-4BD6-0041-B1F6-20F37CB5D412}</b:Guid>
    <b:Author>
      <b:Author>
        <b:Corporate>Transparency International</b:Corporate>
      </b:Author>
    </b:Author>
    <b:Title>Corruption Perception Index 2015</b:Title>
    <b:URL>http://www.transparency.org/cpi2015/</b:URL>
    <b:Year>2015</b:Year>
    <b:YearAccessed>2016</b:YearAccessed>
    <b:MonthAccessed>November</b:MonthAccessed>
    <b:RefOrder>18</b:RefOrder>
  </b:Source>
  <b:Source>
    <b:Tag>Wor165</b:Tag>
    <b:SourceType>InternetSite</b:SourceType>
    <b:Guid>{0C517C56-306E-CE49-ADA5-9D46AA6C6A5A}</b:Guid>
    <b:Author>
      <b:Author>
        <b:Corporate>World Bank</b:Corporate>
      </b:Author>
    </b:Author>
    <b:Title>Doing Business 2016</b:Title>
    <b:URL>http://www.doingbusiness.org/rankings</b:URL>
    <b:Year>2016</b:Year>
    <b:YearAccessed>2016</b:YearAccessed>
    <b:MonthAccessed>November</b:MonthAccessed>
    <b:RefOrder>19</b:RefOrder>
  </b:Source>
  <b:Source>
    <b:Tag>Int162</b:Tag>
    <b:SourceType>InternetSite</b:SourceType>
    <b:Guid>{B267B6FC-F9C2-AB4B-9C20-62117FED3A9D}</b:Guid>
    <b:Author>
      <b:Author>
        <b:Corporate>International Budget Partnership</b:Corporate>
      </b:Author>
    </b:Author>
    <b:Title>2016 Open Budget Index Iraq</b:Title>
    <b:URL>http://www.internationalbudget.org/opening-budgets/open-budget-initiative/open-budget-survey/country-info/?country=iq</b:URL>
    <b:Year>2016</b:Year>
    <b:Month>April</b:Month>
    <b:YearAccessed>2016</b:YearAccessed>
    <b:MonthAccessed>November</b:MonthAccessed>
    <b:RefOrder>20</b:RefOrder>
  </b:Source>
  <b:Source>
    <b:Tag>IMF162</b:Tag>
    <b:SourceType>InternetSite</b:SourceType>
    <b:Guid>{85166610-29F1-4945-95D3-53A34D20DCD8}</b:Guid>
    <b:Author>
      <b:Author>
        <b:Corporate>IMF</b:Corporate>
      </b:Author>
    </b:Author>
    <b:Title> Letter of Intent, Memorandum of Economic Financial Policies, and Technical Memorandum of Understanding</b:Title>
    <b:URL>http://www.imf.org/external/np/loi/2016/irq/06192016.pdf</b:URL>
    <b:Year>2016</b:Year>
    <b:Month>June</b:Month>
    <b:Day>19</b:Day>
    <b:YearAccessed>2016</b:YearAccessed>
    <b:MonthAccessed>November</b:MonthAccessed>
    <b:RefOrder>21</b:RefOrder>
  </b:Source>
  <b:Source>
    <b:Tag>Atl16</b:Tag>
    <b:SourceType>InternetSite</b:SourceType>
    <b:Guid>{0A2F7966-21A9-794C-A8B1-40FA0AF669DD}</b:Guid>
    <b:Author>
      <b:Author>
        <b:Corporate>Atlantic Council</b:Corporate>
      </b:Author>
    </b:Author>
    <b:Title>Iraqi Kurdistan Oil and Gas Outlook</b:Title>
    <b:URL>https://euagenda.eu/upload/publications/untitled-6654-ea.pdf</b:URL>
    <b:Year>2016</b:Year>
    <b:Month>September</b:Month>
    <b:YearAccessed>2016</b:YearAccessed>
    <b:MonthAccessed>November</b:MonthAccessed>
    <b:RefOrder>22</b:RefOrder>
  </b:Source>
</b:Sources>
</file>

<file path=customXml/itemProps1.xml><?xml version="1.0" encoding="utf-8"?>
<ds:datastoreItem xmlns:ds="http://schemas.openxmlformats.org/officeDocument/2006/customXml" ds:itemID="{A7586BF5-6147-4806-9428-D3520B0C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16</Pages>
  <Words>8171</Words>
  <Characters>44946</Characters>
  <Application>Microsoft Office Word</Application>
  <DocSecurity>0</DocSecurity>
  <Lines>374</Lines>
  <Paragraphs>106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Weate</dc:creator>
  <cp:lastModifiedBy>Andre J-C. Montocchio</cp:lastModifiedBy>
  <cp:revision>17</cp:revision>
  <dcterms:created xsi:type="dcterms:W3CDTF">2017-10-02T09:34:00Z</dcterms:created>
  <dcterms:modified xsi:type="dcterms:W3CDTF">2017-10-02T10:34:00Z</dcterms:modified>
</cp:coreProperties>
</file>