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3E25B" w14:textId="77777777" w:rsidR="00F62F09" w:rsidRPr="00F62F09" w:rsidRDefault="00F62F09" w:rsidP="00F62F09">
      <w:pPr>
        <w:widowControl/>
        <w:suppressAutoHyphens w:val="0"/>
        <w:spacing w:before="480" w:after="60"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sz w:val="56"/>
          <w:szCs w:val="56"/>
          <w:lang w:eastAsia="en-GB"/>
        </w:rPr>
        <w:t>Mainstreaming</w:t>
      </w:r>
    </w:p>
    <w:p w14:paraId="777F7E9E" w14:textId="77777777" w:rsidR="00F62F09" w:rsidRPr="00F62F09" w:rsidRDefault="00F62F09" w:rsidP="00F62F09">
      <w:pPr>
        <w:widowControl/>
        <w:suppressAutoHyphens w:val="0"/>
        <w:spacing w:after="0" w:line="240" w:lineRule="auto"/>
        <w:rPr>
          <w:rFonts w:ascii="Times New Roman" w:hAnsi="Times New Roman" w:cs="Times New Roman"/>
          <w:noProof w:val="0"/>
          <w:sz w:val="24"/>
          <w:szCs w:val="24"/>
          <w:lang w:eastAsia="en-GB"/>
        </w:rPr>
      </w:pPr>
      <w:r w:rsidRPr="00F62F09">
        <w:rPr>
          <w:rFonts w:ascii="Calibri" w:hAnsi="Calibri" w:cs="Times New Roman"/>
          <w:noProof w:val="0"/>
          <w:color w:val="666666"/>
          <w:sz w:val="32"/>
          <w:szCs w:val="32"/>
          <w:lang w:eastAsia="en-GB"/>
        </w:rPr>
        <w:t>A toolkit for mainstreaming EITI disclosures</w:t>
      </w:r>
    </w:p>
    <w:p w14:paraId="71297120" w14:textId="77777777" w:rsidR="00F62F09" w:rsidRPr="00F62F09" w:rsidRDefault="00C94F9C" w:rsidP="00F62F09">
      <w:pPr>
        <w:widowControl/>
        <w:suppressAutoHyphens w:val="0"/>
        <w:spacing w:after="0" w:line="240" w:lineRule="auto"/>
        <w:rPr>
          <w:rFonts w:ascii="Calibri" w:hAnsi="Calibri" w:cs="Times New Roman"/>
          <w:noProof w:val="0"/>
          <w:color w:val="000000"/>
          <w:lang w:eastAsia="en-GB"/>
        </w:rPr>
      </w:pPr>
      <w:r>
        <w:rPr>
          <w:rFonts w:ascii="Calibri" w:hAnsi="Calibri" w:cs="Times New Roman"/>
          <w:noProof w:val="0"/>
          <w:color w:val="000000"/>
          <w:lang w:eastAsia="en-GB"/>
        </w:rPr>
        <w:pict w14:anchorId="255AACED">
          <v:rect id="_x0000_i1025" style="width:0;height:1.5pt" o:hralign="center" o:hrstd="t" o:hr="t" fillcolor="#a0a0a0" stroked="f"/>
        </w:pict>
      </w:r>
    </w:p>
    <w:p w14:paraId="5DE5D109" w14:textId="77777777" w:rsidR="00F62F09" w:rsidRPr="00F62F09" w:rsidRDefault="00F62F09" w:rsidP="00F62F09">
      <w:pPr>
        <w:pStyle w:val="Heading1"/>
        <w:rPr>
          <w:rFonts w:ascii="Times New Roman" w:hAnsi="Times New Roman"/>
        </w:rPr>
      </w:pPr>
      <w:r w:rsidRPr="00F62F09">
        <w:t>What is mainstreaming</w:t>
      </w:r>
    </w:p>
    <w:p w14:paraId="54911C36" w14:textId="77777777"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Extractive industry transparency should not be confined to an EITI Report. Rather, it should become an integral part of how governments manage their extractive sector and companies manage their operations.</w:t>
      </w:r>
      <w:r w:rsidRPr="00F62F09">
        <w:rPr>
          <w:rFonts w:ascii="Calibri" w:hAnsi="Calibri" w:cs="Times New Roman"/>
          <w:noProof w:val="0"/>
          <w:color w:val="000000"/>
          <w:lang w:eastAsia="en-GB"/>
        </w:rPr>
        <w:br/>
      </w:r>
      <w:r w:rsidRPr="00F62F09">
        <w:rPr>
          <w:rFonts w:ascii="Calibri" w:hAnsi="Calibri" w:cs="Times New Roman"/>
          <w:noProof w:val="0"/>
          <w:color w:val="000000"/>
          <w:lang w:eastAsia="en-GB"/>
        </w:rPr>
        <w:br/>
      </w:r>
      <w:r w:rsidRPr="00F62F09">
        <w:rPr>
          <w:rFonts w:ascii="Calibri" w:hAnsi="Calibri" w:cs="Times New Roman"/>
          <w:noProof w:val="0"/>
          <w:color w:val="000000"/>
          <w:lang w:eastAsia="en-GB"/>
        </w:rPr>
        <w:t>EITI implementing countries are increasingly making the information required by the EITI Standard available through government and corporate reporting systems. Information is now available through databases, websites, annual progress reports, portals etc., rather than relying on EITI Reports to bring about transparency.</w:t>
      </w:r>
    </w:p>
    <w:p w14:paraId="5DF42A91" w14:textId="183FD219"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This toolkit briefly explains what mainstreaming means in practice; it introduces a tool for assessing which disclosures are already mainstreamed, identifies some common challenges and provide</w:t>
      </w:r>
      <w:r w:rsidR="00397B56">
        <w:rPr>
          <w:rFonts w:ascii="Calibri" w:hAnsi="Calibri" w:cs="Times New Roman"/>
          <w:noProof w:val="0"/>
          <w:color w:val="000000"/>
          <w:lang w:eastAsia="en-GB"/>
        </w:rPr>
        <w:t>s</w:t>
      </w:r>
      <w:r w:rsidRPr="00F62F09">
        <w:rPr>
          <w:rFonts w:ascii="Calibri" w:hAnsi="Calibri" w:cs="Times New Roman"/>
          <w:noProof w:val="0"/>
          <w:color w:val="000000"/>
          <w:lang w:eastAsia="en-GB"/>
        </w:rPr>
        <w:t xml:space="preserve"> some examples of how countries have mainstreamed some aspects of the EITI Standard.</w:t>
      </w:r>
    </w:p>
    <w:p w14:paraId="7B11EC8A" w14:textId="77777777" w:rsidR="00F62F09" w:rsidRPr="00F62F09" w:rsidRDefault="00F62F09" w:rsidP="00F62F09">
      <w:pPr>
        <w:pStyle w:val="Heading1"/>
      </w:pPr>
      <w:r w:rsidRPr="00F62F09">
        <w:t>Mainstreaming in practice</w:t>
      </w:r>
    </w:p>
    <w:p w14:paraId="79AC719A" w14:textId="1FBDBD2D"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Mainstreaming EITI disclosures means that governments and company agencies integrate, or systematically disclose, information covered by </w:t>
      </w:r>
      <w:hyperlink r:id="rId11" w:history="1">
        <w:r w:rsidRPr="00F62F09">
          <w:rPr>
            <w:rFonts w:ascii="Calibri" w:hAnsi="Calibri" w:cs="Times New Roman"/>
            <w:noProof w:val="0"/>
            <w:color w:val="1155CC"/>
            <w:u w:val="single"/>
            <w:lang w:eastAsia="en-GB"/>
          </w:rPr>
          <w:t>EITI Requirements</w:t>
        </w:r>
      </w:hyperlink>
      <w:r w:rsidRPr="00F62F09">
        <w:rPr>
          <w:rFonts w:ascii="Calibri" w:hAnsi="Calibri" w:cs="Times New Roman"/>
          <w:noProof w:val="0"/>
          <w:color w:val="000000"/>
          <w:lang w:eastAsia="en-GB"/>
        </w:rPr>
        <w:t>. When countries mainstream, EITI Reports are used as a tool to address gaps in information, if/when needed.</w:t>
      </w:r>
      <w:r w:rsidR="00397B56">
        <w:rPr>
          <w:rFonts w:ascii="Calibri" w:hAnsi="Calibri" w:cs="Times New Roman"/>
          <w:noProof w:val="0"/>
          <w:color w:val="000000"/>
          <w:lang w:eastAsia="en-GB"/>
        </w:rPr>
        <w:t xml:space="preserve"> EITI Reports can also be used to collate information from the primary sources, with a focus on making this information more understandable to the general public. </w:t>
      </w:r>
    </w:p>
    <w:p w14:paraId="678F0A5E" w14:textId="652E5C39"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i/>
          <w:iCs/>
          <w:noProof w:val="0"/>
          <w:color w:val="000000"/>
          <w:lang w:eastAsia="en-GB"/>
        </w:rPr>
        <w:t>Systematic disclosure</w:t>
      </w:r>
      <w:r w:rsidRPr="00F62F09">
        <w:rPr>
          <w:rFonts w:ascii="Calibri" w:hAnsi="Calibri" w:cs="Times New Roman"/>
          <w:noProof w:val="0"/>
          <w:color w:val="000000"/>
          <w:lang w:eastAsia="en-GB"/>
        </w:rPr>
        <w:t xml:space="preserve"> mean</w:t>
      </w:r>
      <w:r w:rsidR="00397B56">
        <w:rPr>
          <w:rFonts w:ascii="Calibri" w:hAnsi="Calibri" w:cs="Times New Roman"/>
          <w:noProof w:val="0"/>
          <w:color w:val="000000"/>
          <w:lang w:eastAsia="en-GB"/>
        </w:rPr>
        <w:t>s</w:t>
      </w:r>
      <w:r w:rsidRPr="00F62F09">
        <w:rPr>
          <w:rFonts w:ascii="Calibri" w:hAnsi="Calibri" w:cs="Times New Roman"/>
          <w:noProof w:val="0"/>
          <w:color w:val="000000"/>
          <w:lang w:eastAsia="en-GB"/>
        </w:rPr>
        <w:t xml:space="preserve"> that government agencies and companies - which would have otherwise provided information to an EITI Report through reporting templates - start </w:t>
      </w:r>
      <w:r w:rsidR="00397B56">
        <w:rPr>
          <w:rFonts w:ascii="Calibri" w:hAnsi="Calibri" w:cs="Times New Roman"/>
          <w:noProof w:val="0"/>
          <w:color w:val="000000"/>
          <w:lang w:eastAsia="en-GB"/>
        </w:rPr>
        <w:t>providing</w:t>
      </w:r>
      <w:r w:rsidR="00397B56" w:rsidRPr="00F62F09">
        <w:rPr>
          <w:rFonts w:ascii="Calibri" w:hAnsi="Calibri" w:cs="Times New Roman"/>
          <w:noProof w:val="0"/>
          <w:color w:val="000000"/>
          <w:lang w:eastAsia="en-GB"/>
        </w:rPr>
        <w:t xml:space="preserve"> </w:t>
      </w:r>
      <w:r w:rsidRPr="00F62F09">
        <w:rPr>
          <w:rFonts w:ascii="Calibri" w:hAnsi="Calibri" w:cs="Times New Roman"/>
          <w:noProof w:val="0"/>
          <w:color w:val="000000"/>
          <w:lang w:eastAsia="en-GB"/>
        </w:rPr>
        <w:t xml:space="preserve">these disclosures ‘at source’; </w:t>
      </w:r>
      <w:r w:rsidR="00397B56">
        <w:rPr>
          <w:rFonts w:ascii="Calibri" w:hAnsi="Calibri" w:cs="Times New Roman"/>
          <w:noProof w:val="0"/>
          <w:color w:val="000000"/>
          <w:lang w:eastAsia="en-GB"/>
        </w:rPr>
        <w:t xml:space="preserve">in their </w:t>
      </w:r>
      <w:r w:rsidRPr="00F62F09">
        <w:rPr>
          <w:rFonts w:ascii="Calibri" w:hAnsi="Calibri" w:cs="Times New Roman"/>
          <w:noProof w:val="0"/>
          <w:color w:val="000000"/>
          <w:lang w:eastAsia="en-GB"/>
        </w:rPr>
        <w:t>o</w:t>
      </w:r>
      <w:r w:rsidR="00397B56">
        <w:rPr>
          <w:rFonts w:ascii="Calibri" w:hAnsi="Calibri" w:cs="Times New Roman"/>
          <w:noProof w:val="0"/>
          <w:color w:val="000000"/>
          <w:lang w:eastAsia="en-GB"/>
        </w:rPr>
        <w:t>w</w:t>
      </w:r>
      <w:r w:rsidRPr="00F62F09">
        <w:rPr>
          <w:rFonts w:ascii="Calibri" w:hAnsi="Calibri" w:cs="Times New Roman"/>
          <w:noProof w:val="0"/>
          <w:color w:val="000000"/>
          <w:lang w:eastAsia="en-GB"/>
        </w:rPr>
        <w:t xml:space="preserve">n </w:t>
      </w:r>
      <w:r w:rsidR="00397B56">
        <w:rPr>
          <w:rFonts w:ascii="Calibri" w:hAnsi="Calibri" w:cs="Times New Roman"/>
          <w:noProof w:val="0"/>
          <w:color w:val="000000"/>
          <w:lang w:eastAsia="en-GB"/>
        </w:rPr>
        <w:t xml:space="preserve">publications and </w:t>
      </w:r>
      <w:r w:rsidRPr="00F62F09">
        <w:rPr>
          <w:rFonts w:ascii="Calibri" w:hAnsi="Calibri" w:cs="Times New Roman"/>
          <w:noProof w:val="0"/>
          <w:color w:val="000000"/>
          <w:lang w:eastAsia="en-GB"/>
        </w:rPr>
        <w:t xml:space="preserve">websites. </w:t>
      </w:r>
    </w:p>
    <w:p w14:paraId="758DA7DD" w14:textId="7EEEAE7E"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In the EITI Standard, most of the ‘disclosure-requirements’ </w:t>
      </w:r>
      <w:r w:rsidR="00397B56">
        <w:rPr>
          <w:rFonts w:ascii="Calibri" w:hAnsi="Calibri" w:cs="Times New Roman"/>
          <w:noProof w:val="0"/>
          <w:color w:val="000000"/>
          <w:lang w:eastAsia="en-GB"/>
        </w:rPr>
        <w:t xml:space="preserve">refer to publication </w:t>
      </w:r>
      <w:r w:rsidRPr="00F62F09">
        <w:rPr>
          <w:rFonts w:ascii="Calibri" w:hAnsi="Calibri" w:cs="Times New Roman"/>
          <w:noProof w:val="0"/>
          <w:color w:val="000000"/>
          <w:lang w:eastAsia="en-GB"/>
        </w:rPr>
        <w:t xml:space="preserve">in an </w:t>
      </w:r>
      <w:r w:rsidRPr="00F62F09">
        <w:rPr>
          <w:rFonts w:ascii="Calibri" w:hAnsi="Calibri" w:cs="Times New Roman"/>
          <w:i/>
          <w:iCs/>
          <w:noProof w:val="0"/>
          <w:color w:val="000000"/>
          <w:lang w:eastAsia="en-GB"/>
        </w:rPr>
        <w:t>EITI Report</w:t>
      </w:r>
      <w:r w:rsidRPr="00F62F09">
        <w:rPr>
          <w:rFonts w:ascii="Calibri" w:hAnsi="Calibri" w:cs="Times New Roman"/>
          <w:noProof w:val="0"/>
          <w:color w:val="000000"/>
          <w:lang w:eastAsia="en-GB"/>
        </w:rPr>
        <w:t xml:space="preserve">. But the definition of </w:t>
      </w:r>
      <w:r w:rsidR="00397B56">
        <w:rPr>
          <w:rFonts w:ascii="Calibri" w:hAnsi="Calibri" w:cs="Times New Roman"/>
          <w:noProof w:val="0"/>
          <w:color w:val="000000"/>
          <w:lang w:eastAsia="en-GB"/>
        </w:rPr>
        <w:t xml:space="preserve">“EITI Report” </w:t>
      </w:r>
      <w:r w:rsidRPr="00F62F09">
        <w:rPr>
          <w:rFonts w:ascii="Calibri" w:hAnsi="Calibri" w:cs="Times New Roman"/>
          <w:noProof w:val="0"/>
          <w:color w:val="000000"/>
          <w:lang w:eastAsia="en-GB"/>
        </w:rPr>
        <w:t xml:space="preserve">is very broad, enabling mainstreaming: </w:t>
      </w:r>
      <w:r w:rsidRPr="00F62F09">
        <w:rPr>
          <w:rFonts w:ascii="Calibri" w:hAnsi="Calibri" w:cs="Times New Roman"/>
          <w:i/>
          <w:iCs/>
          <w:noProof w:val="0"/>
          <w:color w:val="000000"/>
          <w:lang w:eastAsia="en-GB"/>
        </w:rPr>
        <w:t xml:space="preserve">“The data [required by the EITI] can be disclosed in the form of an EITI Report, </w:t>
      </w:r>
      <w:r w:rsidRPr="00F62F09">
        <w:rPr>
          <w:rFonts w:ascii="Calibri" w:hAnsi="Calibri" w:cs="Times New Roman"/>
          <w:i/>
          <w:iCs/>
          <w:noProof w:val="0"/>
          <w:color w:val="000000"/>
          <w:u w:val="single"/>
          <w:lang w:eastAsia="en-GB"/>
        </w:rPr>
        <w:t>or constitute publicly available information and data gathered or cross-referenced</w:t>
      </w:r>
      <w:r w:rsidRPr="00F62F09">
        <w:rPr>
          <w:rFonts w:ascii="Calibri" w:hAnsi="Calibri" w:cs="Times New Roman"/>
          <w:i/>
          <w:iCs/>
          <w:noProof w:val="0"/>
          <w:color w:val="000000"/>
          <w:lang w:eastAsia="en-GB"/>
        </w:rPr>
        <w:t xml:space="preserve"> as part of the EITI process”</w:t>
      </w:r>
      <w:r w:rsidRPr="00F62F09">
        <w:rPr>
          <w:rFonts w:ascii="Calibri" w:hAnsi="Calibri" w:cs="Times New Roman"/>
          <w:noProof w:val="0"/>
          <w:color w:val="000000"/>
          <w:lang w:eastAsia="en-GB"/>
        </w:rPr>
        <w:t xml:space="preserve"> (</w:t>
      </w:r>
      <w:hyperlink r:id="rId12" w:history="1">
        <w:r w:rsidRPr="00F62F09">
          <w:rPr>
            <w:rFonts w:ascii="Calibri" w:hAnsi="Calibri" w:cs="Times New Roman"/>
            <w:noProof w:val="0"/>
            <w:color w:val="1155CC"/>
            <w:u w:val="single"/>
            <w:lang w:eastAsia="en-GB"/>
          </w:rPr>
          <w:t>EITI Standard, p. 12</w:t>
        </w:r>
      </w:hyperlink>
      <w:r w:rsidRPr="00F62F09">
        <w:rPr>
          <w:rFonts w:ascii="Calibri" w:hAnsi="Calibri" w:cs="Times New Roman"/>
          <w:noProof w:val="0"/>
          <w:color w:val="000000"/>
          <w:lang w:eastAsia="en-GB"/>
        </w:rPr>
        <w:t xml:space="preserve">). </w:t>
      </w:r>
      <w:r w:rsidR="00397B56">
        <w:rPr>
          <w:rFonts w:ascii="Calibri" w:hAnsi="Calibri" w:cs="Times New Roman"/>
          <w:noProof w:val="0"/>
          <w:color w:val="000000"/>
          <w:lang w:eastAsia="en-GB"/>
        </w:rPr>
        <w:t xml:space="preserve">This approach does not require approval from the EITI Board. </w:t>
      </w:r>
    </w:p>
    <w:p w14:paraId="566DC2D1" w14:textId="26205C84"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u w:val="single"/>
          <w:lang w:eastAsia="en-GB"/>
        </w:rPr>
        <w:t>Reconciliation of revenues and payments by an Independent Administrators (IAs) is the exception</w:t>
      </w:r>
      <w:r w:rsidRPr="00F62F09">
        <w:rPr>
          <w:rFonts w:ascii="Calibri" w:hAnsi="Calibri" w:cs="Times New Roman"/>
          <w:noProof w:val="0"/>
          <w:color w:val="000000"/>
          <w:lang w:eastAsia="en-GB"/>
        </w:rPr>
        <w:t xml:space="preserve">, until the multi-stakeholder groups (MSGs) agrees that routine disclosure is performed in enough detail, and that it is subject to a </w:t>
      </w:r>
      <w:r w:rsidRPr="00F62F09">
        <w:rPr>
          <w:rFonts w:ascii="Calibri" w:hAnsi="Calibri" w:cs="Times New Roman"/>
          <w:i/>
          <w:iCs/>
          <w:noProof w:val="0"/>
          <w:color w:val="000000"/>
          <w:lang w:eastAsia="en-GB"/>
        </w:rPr>
        <w:t xml:space="preserve">“... credible, independent audit applying international standards …” </w:t>
      </w:r>
      <w:r w:rsidRPr="00F62F09">
        <w:rPr>
          <w:rFonts w:ascii="Calibri" w:hAnsi="Calibri" w:cs="Times New Roman"/>
          <w:noProof w:val="0"/>
          <w:color w:val="000000"/>
          <w:lang w:eastAsia="en-GB"/>
        </w:rPr>
        <w:t>(</w:t>
      </w:r>
      <w:hyperlink r:id="rId13" w:history="1">
        <w:r w:rsidRPr="00F62F09">
          <w:rPr>
            <w:rFonts w:ascii="Calibri" w:hAnsi="Calibri" w:cs="Times New Roman"/>
            <w:noProof w:val="0"/>
            <w:color w:val="1155CC"/>
            <w:u w:val="single"/>
            <w:lang w:eastAsia="en-GB"/>
          </w:rPr>
          <w:t>EITI Standard, p. 26</w:t>
        </w:r>
      </w:hyperlink>
      <w:r w:rsidRPr="00F62F09">
        <w:rPr>
          <w:rFonts w:ascii="Calibri" w:hAnsi="Calibri" w:cs="Times New Roman"/>
          <w:noProof w:val="0"/>
          <w:color w:val="000000"/>
          <w:lang w:eastAsia="en-GB"/>
        </w:rPr>
        <w:t xml:space="preserve">). If so, the </w:t>
      </w:r>
      <w:hyperlink r:id="rId14" w:history="1">
        <w:r w:rsidRPr="00F62F09">
          <w:rPr>
            <w:rFonts w:ascii="Calibri" w:hAnsi="Calibri" w:cs="Times New Roman"/>
            <w:noProof w:val="0"/>
            <w:color w:val="1155CC"/>
            <w:u w:val="single"/>
            <w:lang w:eastAsia="en-GB"/>
          </w:rPr>
          <w:t>MSGs can apply to the EITI Board for also mainstreaming the final piece of information - the quality assurance of financial disclosures</w:t>
        </w:r>
      </w:hyperlink>
      <w:r w:rsidRPr="00F62F09">
        <w:rPr>
          <w:rFonts w:ascii="Calibri" w:hAnsi="Calibri" w:cs="Times New Roman"/>
          <w:noProof w:val="0"/>
          <w:color w:val="000000"/>
          <w:lang w:eastAsia="en-GB"/>
        </w:rPr>
        <w:t>. This require</w:t>
      </w:r>
      <w:r w:rsidR="00397B56">
        <w:rPr>
          <w:rFonts w:ascii="Calibri" w:hAnsi="Calibri" w:cs="Times New Roman"/>
          <w:noProof w:val="0"/>
          <w:color w:val="000000"/>
          <w:lang w:eastAsia="en-GB"/>
        </w:rPr>
        <w:t>s</w:t>
      </w:r>
      <w:r w:rsidRPr="00F62F09">
        <w:rPr>
          <w:rFonts w:ascii="Calibri" w:hAnsi="Calibri" w:cs="Times New Roman"/>
          <w:noProof w:val="0"/>
          <w:color w:val="000000"/>
          <w:lang w:eastAsia="en-GB"/>
        </w:rPr>
        <w:t xml:space="preserve"> a feasibility study</w:t>
      </w:r>
      <w:r w:rsidR="008D6FA5">
        <w:rPr>
          <w:rFonts w:ascii="Calibri" w:hAnsi="Calibri" w:cs="Times New Roman"/>
          <w:noProof w:val="0"/>
          <w:color w:val="000000"/>
          <w:lang w:eastAsia="en-GB"/>
        </w:rPr>
        <w:t>.</w:t>
      </w:r>
    </w:p>
    <w:p w14:paraId="70C7C4C6" w14:textId="1EC30503"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The disclosures required by the EITI Standard are summarised in both the </w:t>
      </w:r>
      <w:hyperlink r:id="rId15" w:history="1">
        <w:r w:rsidRPr="00F62F09">
          <w:rPr>
            <w:rFonts w:ascii="Calibri" w:hAnsi="Calibri" w:cs="Times New Roman"/>
            <w:noProof w:val="0"/>
            <w:color w:val="1155CC"/>
            <w:u w:val="single"/>
            <w:lang w:eastAsia="en-GB"/>
          </w:rPr>
          <w:t>Terms of Reference for a mainstreaming feasibility study</w:t>
        </w:r>
      </w:hyperlink>
      <w:r w:rsidRPr="00F62F09">
        <w:rPr>
          <w:rFonts w:ascii="Calibri" w:hAnsi="Calibri" w:cs="Times New Roman"/>
          <w:noProof w:val="0"/>
          <w:color w:val="000000"/>
          <w:lang w:eastAsia="en-GB"/>
        </w:rPr>
        <w:t xml:space="preserve">, and in the </w:t>
      </w:r>
      <w:hyperlink r:id="rId16" w:history="1">
        <w:r w:rsidRPr="00F62F09">
          <w:rPr>
            <w:rFonts w:ascii="Calibri" w:hAnsi="Calibri" w:cs="Times New Roman"/>
            <w:noProof w:val="0"/>
            <w:color w:val="1155CC"/>
            <w:u w:val="single"/>
            <w:lang w:eastAsia="en-GB"/>
          </w:rPr>
          <w:t>‘Mainstreaming tool’</w:t>
        </w:r>
      </w:hyperlink>
      <w:r w:rsidRPr="00F62F09">
        <w:rPr>
          <w:rFonts w:ascii="Calibri" w:hAnsi="Calibri" w:cs="Times New Roman"/>
          <w:noProof w:val="0"/>
          <w:color w:val="000000"/>
          <w:lang w:eastAsia="en-GB"/>
        </w:rPr>
        <w:t xml:space="preserve"> presented below. </w:t>
      </w:r>
    </w:p>
    <w:p w14:paraId="12A1B5CC" w14:textId="3AA410E4" w:rsidR="00F62F09" w:rsidRPr="00F62F09" w:rsidRDefault="00F62F09" w:rsidP="00F62F09">
      <w:pPr>
        <w:pStyle w:val="Heading1"/>
        <w:rPr>
          <w:rFonts w:ascii="Times New Roman" w:hAnsi="Times New Roman"/>
          <w:sz w:val="48"/>
          <w:szCs w:val="48"/>
        </w:rPr>
      </w:pPr>
      <w:r w:rsidRPr="00F62F09">
        <w:lastRenderedPageBreak/>
        <w:t>Mainstreaming tool</w:t>
      </w:r>
    </w:p>
    <w:p w14:paraId="60C7FD84" w14:textId="4AB6B99D"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The mainstreaming tool</w:t>
      </w:r>
      <w:r w:rsidR="00E65C1C">
        <w:rPr>
          <w:rStyle w:val="FootnoteReference"/>
          <w:rFonts w:ascii="Calibri" w:hAnsi="Calibri" w:cs="Times New Roman"/>
          <w:noProof w:val="0"/>
          <w:color w:val="000000"/>
          <w:lang w:eastAsia="en-GB"/>
        </w:rPr>
        <w:footnoteReference w:id="1"/>
      </w:r>
      <w:r w:rsidRPr="00F62F09">
        <w:rPr>
          <w:rFonts w:ascii="Calibri" w:hAnsi="Calibri" w:cs="Times New Roman"/>
          <w:noProof w:val="0"/>
          <w:color w:val="000000"/>
          <w:lang w:eastAsia="en-GB"/>
        </w:rPr>
        <w:t xml:space="preserve"> is an excel file containing a list of all the required disclosures under the EITI Standard. </w:t>
      </w:r>
      <w:r w:rsidR="00CD488A">
        <w:rPr>
          <w:rFonts w:ascii="Calibri" w:hAnsi="Calibri" w:cs="Times New Roman"/>
          <w:noProof w:val="0"/>
          <w:color w:val="000000"/>
          <w:lang w:eastAsia="en-GB"/>
        </w:rPr>
        <w:t>It can be used to</w:t>
      </w:r>
      <w:bookmarkStart w:id="0" w:name="_GoBack"/>
      <w:bookmarkEnd w:id="0"/>
      <w:r w:rsidR="00CD488A">
        <w:rPr>
          <w:rFonts w:ascii="Calibri" w:hAnsi="Calibri" w:cs="Times New Roman"/>
          <w:noProof w:val="0"/>
          <w:color w:val="000000"/>
          <w:lang w:eastAsia="en-GB"/>
        </w:rPr>
        <w:t xml:space="preserve"> </w:t>
      </w:r>
      <w:r w:rsidRPr="00F62F09">
        <w:rPr>
          <w:rFonts w:ascii="Calibri" w:hAnsi="Calibri" w:cs="Times New Roman"/>
          <w:noProof w:val="0"/>
          <w:color w:val="000000"/>
          <w:lang w:eastAsia="en-GB"/>
        </w:rPr>
        <w:t xml:space="preserve">assess which disclosures are already made available to the public </w:t>
      </w:r>
      <w:r w:rsidRPr="00F62F09">
        <w:rPr>
          <w:rFonts w:ascii="Calibri" w:hAnsi="Calibri" w:cs="Times New Roman"/>
          <w:noProof w:val="0"/>
          <w:color w:val="000000"/>
          <w:u w:val="single"/>
          <w:lang w:eastAsia="en-GB"/>
        </w:rPr>
        <w:t>outside of the EITI process</w:t>
      </w:r>
      <w:r w:rsidRPr="00F62F09">
        <w:rPr>
          <w:rFonts w:ascii="Calibri" w:hAnsi="Calibri" w:cs="Times New Roman"/>
          <w:noProof w:val="0"/>
          <w:color w:val="000000"/>
          <w:lang w:eastAsia="en-GB"/>
        </w:rPr>
        <w:t>.</w:t>
      </w:r>
    </w:p>
    <w:p w14:paraId="7355A9CF" w14:textId="77777777"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For MSGs and national secretariats, a useful question to ask when performing the exercise is … </w:t>
      </w:r>
    </w:p>
    <w:p w14:paraId="386069E1" w14:textId="77777777" w:rsidR="00F62F09" w:rsidRPr="00F62F09" w:rsidRDefault="00F62F09" w:rsidP="00F62F09">
      <w:pPr>
        <w:widowControl/>
        <w:suppressAutoHyphens w:val="0"/>
        <w:spacing w:line="240" w:lineRule="auto"/>
        <w:ind w:left="720"/>
        <w:rPr>
          <w:rFonts w:ascii="Times New Roman" w:hAnsi="Times New Roman" w:cs="Times New Roman"/>
          <w:noProof w:val="0"/>
          <w:sz w:val="24"/>
          <w:szCs w:val="24"/>
          <w:lang w:eastAsia="en-GB"/>
        </w:rPr>
      </w:pPr>
      <w:r w:rsidRPr="00F62F09">
        <w:rPr>
          <w:rFonts w:ascii="Calibri" w:hAnsi="Calibri" w:cs="Times New Roman"/>
          <w:i/>
          <w:iCs/>
          <w:noProof w:val="0"/>
          <w:color w:val="000000"/>
          <w:lang w:eastAsia="en-GB"/>
        </w:rPr>
        <w:t>“Our latest EITI Report covered fiscal year XXXX (e.g. 2015). Can I find the same information for XXXX+1 (i.e. 2016) already? What disclosures can I find without referencing to any EITI-related documents and websites?”</w:t>
      </w:r>
    </w:p>
    <w:p w14:paraId="65CAA3FE" w14:textId="77777777" w:rsidR="00F62F09" w:rsidRPr="00F62F09" w:rsidRDefault="00F62F09" w:rsidP="00F62F09">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Once the information has been located, the mainstreaming tool assists in answering the following two questions (i) Are the disclosures commensurate with what is required by the EITI Standard? And (ii) what is missing to comply with the EITI Standard?</w:t>
      </w:r>
    </w:p>
    <w:p w14:paraId="7F5C43AE" w14:textId="3BD5C42A" w:rsidR="00E53E32" w:rsidRDefault="00A663DD" w:rsidP="00F62F09">
      <w:pPr>
        <w:widowControl/>
        <w:suppressAutoHyphens w:val="0"/>
        <w:spacing w:line="240" w:lineRule="auto"/>
        <w:rPr>
          <w:rFonts w:ascii="Calibri" w:hAnsi="Calibri" w:cs="Times New Roman"/>
          <w:noProof w:val="0"/>
          <w:color w:val="000000"/>
          <w:lang w:eastAsia="en-GB"/>
        </w:rPr>
      </w:pPr>
      <w:r>
        <w:rPr>
          <w:rFonts w:ascii="Calibri" w:hAnsi="Calibri" w:cs="Times New Roman"/>
          <w:noProof w:val="0"/>
          <w:color w:val="000000"/>
          <w:lang w:eastAsia="en-GB"/>
        </w:rPr>
        <w:t>A more detailed explanation is included below.</w:t>
      </w:r>
    </w:p>
    <w:p w14:paraId="2A023D83" w14:textId="1EAA1E61" w:rsidR="00F62F09" w:rsidRPr="00A663DD" w:rsidRDefault="00F62F09" w:rsidP="00E53E32">
      <w:pPr>
        <w:pStyle w:val="Heading2"/>
        <w:rPr>
          <w:lang w:val="en-GB" w:eastAsia="en-GB"/>
        </w:rPr>
      </w:pPr>
      <w:r w:rsidRPr="00A663DD">
        <w:rPr>
          <w:lang w:val="en-GB" w:eastAsia="en-GB"/>
        </w:rPr>
        <w:t>For each EITI Requirement, explain...</w:t>
      </w:r>
    </w:p>
    <w:p w14:paraId="520FDBF1" w14:textId="01B4F00D" w:rsidR="00E53E32" w:rsidRDefault="00E53E32" w:rsidP="008D6FA5">
      <w:pPr>
        <w:rPr>
          <w:rFonts w:ascii="Times New Roman" w:hAnsi="Times New Roman" w:cs="Times New Roman"/>
          <w:noProof w:val="0"/>
          <w:sz w:val="24"/>
          <w:szCs w:val="24"/>
          <w:lang w:eastAsia="en-GB"/>
        </w:rPr>
      </w:pPr>
      <w:r>
        <w:drawing>
          <wp:inline distT="0" distB="0" distL="0" distR="0" wp14:anchorId="30F8BAB5" wp14:editId="6B98A958">
            <wp:extent cx="5731510" cy="16833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683385"/>
                    </a:xfrm>
                    <a:prstGeom prst="rect">
                      <a:avLst/>
                    </a:prstGeom>
                  </pic:spPr>
                </pic:pic>
              </a:graphicData>
            </a:graphic>
          </wp:inline>
        </w:drawing>
      </w:r>
    </w:p>
    <w:p w14:paraId="1569C57E" w14:textId="77777777" w:rsidR="008D6FA5" w:rsidRPr="00F62F09" w:rsidRDefault="008D6FA5" w:rsidP="008D6FA5">
      <w:pPr>
        <w:rPr>
          <w:lang w:eastAsia="en-GB"/>
        </w:rPr>
      </w:pPr>
    </w:p>
    <w:p w14:paraId="32FE9632" w14:textId="7B95751A" w:rsidR="00F62F09" w:rsidRPr="00116AAC" w:rsidRDefault="00116AAC" w:rsidP="00116AAC">
      <w:pPr>
        <w:pStyle w:val="Heading2"/>
        <w:rPr>
          <w:lang w:val="en-GB" w:eastAsia="en-GB"/>
        </w:rPr>
      </w:pPr>
      <w:r w:rsidRPr="00116AAC">
        <w:rPr>
          <w:lang w:val="en-GB" w:eastAsia="en-GB"/>
        </w:rPr>
        <w:t xml:space="preserve">Step 1 – </w:t>
      </w:r>
      <w:r w:rsidR="00F62F09" w:rsidRPr="00116AAC">
        <w:rPr>
          <w:lang w:val="en-GB" w:eastAsia="en-GB"/>
        </w:rPr>
        <w:t>What is required to be disclosed in your country?</w:t>
      </w:r>
      <w:r w:rsidR="00E53E32">
        <w:rPr>
          <w:lang w:val="en-GB" w:eastAsia="en-GB"/>
        </w:rPr>
        <w:t xml:space="preserve"> (comments in cells list the requirements)</w:t>
      </w:r>
    </w:p>
    <w:p w14:paraId="4832D904" w14:textId="6C3369D1" w:rsidR="00116AAC" w:rsidRDefault="00E53E32" w:rsidP="008D6FA5">
      <w:pPr>
        <w:rPr>
          <w:rFonts w:ascii="Calibri" w:hAnsi="Calibri" w:cs="Times New Roman"/>
          <w:noProof w:val="0"/>
          <w:color w:val="000000"/>
          <w:lang w:eastAsia="en-GB"/>
        </w:rPr>
      </w:pPr>
      <w:r>
        <w:drawing>
          <wp:inline distT="0" distB="0" distL="0" distR="0" wp14:anchorId="177E87EF" wp14:editId="4FA0D5F7">
            <wp:extent cx="5731510" cy="1699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699895"/>
                    </a:xfrm>
                    <a:prstGeom prst="rect">
                      <a:avLst/>
                    </a:prstGeom>
                  </pic:spPr>
                </pic:pic>
              </a:graphicData>
            </a:graphic>
          </wp:inline>
        </w:drawing>
      </w:r>
    </w:p>
    <w:p w14:paraId="6BD4BA34" w14:textId="33513C25" w:rsidR="00F62F09" w:rsidRPr="00E53E32" w:rsidRDefault="00116AAC" w:rsidP="00116AAC">
      <w:pPr>
        <w:pStyle w:val="Heading2"/>
        <w:rPr>
          <w:lang w:val="en-GB" w:eastAsia="en-GB"/>
        </w:rPr>
      </w:pPr>
      <w:r w:rsidRPr="00E53E32">
        <w:rPr>
          <w:lang w:val="en-GB" w:eastAsia="en-GB"/>
        </w:rPr>
        <w:lastRenderedPageBreak/>
        <w:t xml:space="preserve">Step 2 </w:t>
      </w:r>
      <w:r w:rsidR="00E53E32" w:rsidRPr="00E53E32">
        <w:rPr>
          <w:lang w:val="en-GB" w:eastAsia="en-GB"/>
        </w:rPr>
        <w:t>–</w:t>
      </w:r>
      <w:r w:rsidRPr="00E53E32">
        <w:rPr>
          <w:lang w:val="en-GB" w:eastAsia="en-GB"/>
        </w:rPr>
        <w:t xml:space="preserve"> </w:t>
      </w:r>
      <w:r w:rsidR="00E53E32" w:rsidRPr="00E53E32">
        <w:rPr>
          <w:lang w:val="en-GB" w:eastAsia="en-GB"/>
        </w:rPr>
        <w:t>List w</w:t>
      </w:r>
      <w:r w:rsidR="00F62F09" w:rsidRPr="00E53E32">
        <w:rPr>
          <w:lang w:val="en-GB" w:eastAsia="en-GB"/>
        </w:rPr>
        <w:t>hat is disclosed and by wh</w:t>
      </w:r>
      <w:r w:rsidR="00E53E32">
        <w:rPr>
          <w:lang w:val="en-GB" w:eastAsia="en-GB"/>
        </w:rPr>
        <w:t>at agency/company</w:t>
      </w:r>
      <w:r w:rsidR="00F62F09" w:rsidRPr="00E53E32">
        <w:rPr>
          <w:lang w:val="en-GB" w:eastAsia="en-GB"/>
        </w:rPr>
        <w:t>?</w:t>
      </w:r>
    </w:p>
    <w:p w14:paraId="0D0C0F7E" w14:textId="4B2F01B5" w:rsidR="00116AAC" w:rsidRDefault="00E53E32" w:rsidP="008D6FA5">
      <w:pPr>
        <w:rPr>
          <w:rFonts w:ascii="Calibri" w:hAnsi="Calibri" w:cs="Times New Roman"/>
          <w:noProof w:val="0"/>
          <w:color w:val="000000"/>
          <w:lang w:eastAsia="en-GB"/>
        </w:rPr>
      </w:pPr>
      <w:r>
        <w:drawing>
          <wp:inline distT="0" distB="0" distL="0" distR="0" wp14:anchorId="22D23ED6" wp14:editId="2F2C4090">
            <wp:extent cx="5731510" cy="1676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76400"/>
                    </a:xfrm>
                    <a:prstGeom prst="rect">
                      <a:avLst/>
                    </a:prstGeom>
                  </pic:spPr>
                </pic:pic>
              </a:graphicData>
            </a:graphic>
          </wp:inline>
        </w:drawing>
      </w:r>
    </w:p>
    <w:p w14:paraId="65615A6A" w14:textId="77777777" w:rsidR="00E53E32" w:rsidRPr="00F62F09" w:rsidRDefault="00E53E32" w:rsidP="008D6FA5">
      <w:pPr>
        <w:rPr>
          <w:lang w:eastAsia="en-GB"/>
        </w:rPr>
      </w:pPr>
    </w:p>
    <w:p w14:paraId="5AF84604" w14:textId="6DF7A126" w:rsidR="00F62F09" w:rsidRPr="00E53E32" w:rsidRDefault="00116AAC" w:rsidP="00116AAC">
      <w:pPr>
        <w:pStyle w:val="Heading2"/>
        <w:rPr>
          <w:lang w:val="en-GB" w:eastAsia="en-GB"/>
        </w:rPr>
      </w:pPr>
      <w:r w:rsidRPr="00E53E32">
        <w:rPr>
          <w:lang w:val="en-GB" w:eastAsia="en-GB"/>
        </w:rPr>
        <w:t xml:space="preserve">Step 3 – </w:t>
      </w:r>
      <w:r w:rsidR="00F62F09" w:rsidRPr="00E53E32">
        <w:rPr>
          <w:lang w:val="en-GB" w:eastAsia="en-GB"/>
        </w:rPr>
        <w:t>Then</w:t>
      </w:r>
      <w:r w:rsidRPr="00E53E32">
        <w:rPr>
          <w:lang w:val="en-GB" w:eastAsia="en-GB"/>
        </w:rPr>
        <w:t xml:space="preserve"> </w:t>
      </w:r>
      <w:r w:rsidR="00F62F09" w:rsidRPr="00E53E32">
        <w:rPr>
          <w:u w:val="single"/>
          <w:lang w:val="en-GB" w:eastAsia="en-GB"/>
        </w:rPr>
        <w:t xml:space="preserve">distinguish between </w:t>
      </w:r>
      <w:r w:rsidR="00F62F09" w:rsidRPr="00E53E32">
        <w:rPr>
          <w:color w:val="FF0000"/>
          <w:u w:val="single"/>
          <w:lang w:val="en-GB" w:eastAsia="en-GB"/>
        </w:rPr>
        <w:t>government</w:t>
      </w:r>
      <w:r w:rsidR="00F62F09" w:rsidRPr="00E53E32">
        <w:rPr>
          <w:u w:val="single"/>
          <w:lang w:val="en-GB" w:eastAsia="en-GB"/>
        </w:rPr>
        <w:t xml:space="preserve"> and </w:t>
      </w:r>
      <w:r w:rsidR="00F62F09" w:rsidRPr="00E53E32">
        <w:rPr>
          <w:color w:val="1F3864" w:themeColor="accent1" w:themeShade="80"/>
          <w:u w:val="single"/>
          <w:lang w:val="en-GB" w:eastAsia="en-GB"/>
        </w:rPr>
        <w:t>companies</w:t>
      </w:r>
      <w:r w:rsidR="00F62F09" w:rsidRPr="00E53E32">
        <w:rPr>
          <w:lang w:val="en-GB" w:eastAsia="en-GB"/>
        </w:rPr>
        <w:t>, and assess/do the following:</w:t>
      </w:r>
    </w:p>
    <w:p w14:paraId="6BEF2DB4" w14:textId="62D6704B" w:rsidR="00116AAC" w:rsidRDefault="00E53E32" w:rsidP="008D6FA5">
      <w:pPr>
        <w:rPr>
          <w:lang w:eastAsia="en-GB"/>
        </w:rPr>
      </w:pPr>
      <w:r>
        <w:drawing>
          <wp:inline distT="0" distB="0" distL="0" distR="0" wp14:anchorId="4EBE585B" wp14:editId="204402FD">
            <wp:extent cx="5731510" cy="16903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690370"/>
                    </a:xfrm>
                    <a:prstGeom prst="rect">
                      <a:avLst/>
                    </a:prstGeom>
                  </pic:spPr>
                </pic:pic>
              </a:graphicData>
            </a:graphic>
          </wp:inline>
        </w:drawing>
      </w:r>
    </w:p>
    <w:p w14:paraId="7B4BB975" w14:textId="5120147B" w:rsidR="00E53E32" w:rsidRDefault="00E53E32" w:rsidP="008D6FA5">
      <w:pPr>
        <w:rPr>
          <w:lang w:eastAsia="en-GB"/>
        </w:rPr>
      </w:pPr>
    </w:p>
    <w:p w14:paraId="01A2DB4D" w14:textId="5D50AEB8" w:rsidR="00F62F09" w:rsidRDefault="00F62F09" w:rsidP="00116AAC">
      <w:pPr>
        <w:widowControl/>
        <w:numPr>
          <w:ilvl w:val="0"/>
          <w:numId w:val="13"/>
        </w:numPr>
        <w:suppressAutoHyphens w:val="0"/>
        <w:spacing w:after="0" w:line="240" w:lineRule="auto"/>
        <w:textAlignment w:val="baseline"/>
        <w:rPr>
          <w:rFonts w:ascii="Calibri" w:hAnsi="Calibri" w:cs="Times New Roman"/>
          <w:noProof w:val="0"/>
          <w:color w:val="000000"/>
          <w:lang w:eastAsia="en-GB"/>
        </w:rPr>
      </w:pPr>
      <w:r w:rsidRPr="00F62F09">
        <w:rPr>
          <w:rFonts w:ascii="Calibri" w:hAnsi="Calibri" w:cs="Times New Roman"/>
          <w:noProof w:val="0"/>
          <w:color w:val="000000"/>
          <w:lang w:eastAsia="en-GB"/>
        </w:rPr>
        <w:t>Is the information comprehensive and detailed enough?</w:t>
      </w:r>
    </w:p>
    <w:p w14:paraId="4D3DC76B" w14:textId="161D5BF2" w:rsidR="00116AAC" w:rsidRDefault="00E53E32" w:rsidP="008D6FA5">
      <w:pPr>
        <w:rPr>
          <w:lang w:eastAsia="en-GB"/>
        </w:rPr>
      </w:pPr>
      <w:r>
        <w:drawing>
          <wp:inline distT="0" distB="0" distL="0" distR="0" wp14:anchorId="1F00B48B" wp14:editId="7AC7C800">
            <wp:extent cx="5731510" cy="16757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675765"/>
                    </a:xfrm>
                    <a:prstGeom prst="rect">
                      <a:avLst/>
                    </a:prstGeom>
                  </pic:spPr>
                </pic:pic>
              </a:graphicData>
            </a:graphic>
          </wp:inline>
        </w:drawing>
      </w:r>
    </w:p>
    <w:p w14:paraId="7F5D08B6" w14:textId="77777777" w:rsidR="00E53E32" w:rsidRPr="00F62F09" w:rsidRDefault="00E53E32" w:rsidP="008D6FA5">
      <w:pPr>
        <w:rPr>
          <w:lang w:eastAsia="en-GB"/>
        </w:rPr>
      </w:pPr>
    </w:p>
    <w:p w14:paraId="3247FED1" w14:textId="77777777" w:rsidR="008D6FA5" w:rsidRDefault="008D6FA5">
      <w:pPr>
        <w:widowControl/>
        <w:suppressAutoHyphens w:val="0"/>
        <w:spacing w:after="160" w:line="259" w:lineRule="auto"/>
        <w:rPr>
          <w:rFonts w:ascii="Calibri" w:hAnsi="Calibri" w:cs="Times New Roman"/>
          <w:noProof w:val="0"/>
          <w:color w:val="000000"/>
          <w:lang w:eastAsia="en-GB"/>
        </w:rPr>
      </w:pPr>
      <w:r>
        <w:rPr>
          <w:rFonts w:ascii="Calibri" w:hAnsi="Calibri" w:cs="Times New Roman"/>
          <w:noProof w:val="0"/>
          <w:color w:val="000000"/>
          <w:lang w:eastAsia="en-GB"/>
        </w:rPr>
        <w:br w:type="page"/>
      </w:r>
    </w:p>
    <w:p w14:paraId="5FC3D643" w14:textId="13475301" w:rsidR="00F62F09" w:rsidRDefault="00F62F09" w:rsidP="00116AAC">
      <w:pPr>
        <w:widowControl/>
        <w:numPr>
          <w:ilvl w:val="0"/>
          <w:numId w:val="13"/>
        </w:numPr>
        <w:suppressAutoHyphens w:val="0"/>
        <w:spacing w:after="0" w:line="240" w:lineRule="auto"/>
        <w:textAlignment w:val="baseline"/>
        <w:rPr>
          <w:rFonts w:ascii="Calibri" w:hAnsi="Calibri" w:cs="Times New Roman"/>
          <w:noProof w:val="0"/>
          <w:color w:val="000000"/>
          <w:lang w:eastAsia="en-GB"/>
        </w:rPr>
      </w:pPr>
      <w:r w:rsidRPr="00F62F09">
        <w:rPr>
          <w:rFonts w:ascii="Calibri" w:hAnsi="Calibri" w:cs="Times New Roman"/>
          <w:noProof w:val="0"/>
          <w:color w:val="000000"/>
          <w:lang w:eastAsia="en-GB"/>
        </w:rPr>
        <w:lastRenderedPageBreak/>
        <w:t>Is the information reliable? Is it quality assured?</w:t>
      </w:r>
    </w:p>
    <w:p w14:paraId="772BA178" w14:textId="2F2417FE" w:rsidR="00116AAC" w:rsidRDefault="00E53E32" w:rsidP="008D6FA5">
      <w:pPr>
        <w:rPr>
          <w:lang w:eastAsia="en-GB"/>
        </w:rPr>
      </w:pPr>
      <w:r>
        <w:drawing>
          <wp:inline distT="0" distB="0" distL="0" distR="0" wp14:anchorId="28B09F14" wp14:editId="08E6B794">
            <wp:extent cx="5731510" cy="16903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690370"/>
                    </a:xfrm>
                    <a:prstGeom prst="rect">
                      <a:avLst/>
                    </a:prstGeom>
                  </pic:spPr>
                </pic:pic>
              </a:graphicData>
            </a:graphic>
          </wp:inline>
        </w:drawing>
      </w:r>
    </w:p>
    <w:p w14:paraId="16B93814" w14:textId="77777777" w:rsidR="00E53E32" w:rsidRPr="00116AAC" w:rsidRDefault="00E53E32" w:rsidP="008D6FA5">
      <w:pPr>
        <w:rPr>
          <w:lang w:eastAsia="en-GB"/>
        </w:rPr>
      </w:pPr>
    </w:p>
    <w:p w14:paraId="76FFB881" w14:textId="40244F5F" w:rsidR="00F62F09" w:rsidRDefault="00F62F09" w:rsidP="00116AAC">
      <w:pPr>
        <w:widowControl/>
        <w:numPr>
          <w:ilvl w:val="0"/>
          <w:numId w:val="13"/>
        </w:numPr>
        <w:suppressAutoHyphens w:val="0"/>
        <w:spacing w:after="0" w:line="240" w:lineRule="auto"/>
        <w:textAlignment w:val="baseline"/>
        <w:rPr>
          <w:rFonts w:ascii="Calibri" w:hAnsi="Calibri" w:cs="Times New Roman"/>
          <w:noProof w:val="0"/>
          <w:color w:val="000000"/>
          <w:lang w:eastAsia="en-GB"/>
        </w:rPr>
      </w:pPr>
      <w:r w:rsidRPr="00F62F09">
        <w:rPr>
          <w:rFonts w:ascii="Calibri" w:hAnsi="Calibri" w:cs="Times New Roman"/>
          <w:noProof w:val="0"/>
          <w:color w:val="000000"/>
          <w:lang w:eastAsia="en-GB"/>
        </w:rPr>
        <w:t>How quickly and how often is it published and/or updated?</w:t>
      </w:r>
    </w:p>
    <w:p w14:paraId="4C05CA2D" w14:textId="09A2274D" w:rsidR="00116AAC" w:rsidRDefault="00E53E32" w:rsidP="008D6FA5">
      <w:pPr>
        <w:rPr>
          <w:lang w:eastAsia="en-GB"/>
        </w:rPr>
      </w:pPr>
      <w:r>
        <w:drawing>
          <wp:inline distT="0" distB="0" distL="0" distR="0" wp14:anchorId="2A8CABAA" wp14:editId="4C4EE489">
            <wp:extent cx="5731510" cy="16802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680210"/>
                    </a:xfrm>
                    <a:prstGeom prst="rect">
                      <a:avLst/>
                    </a:prstGeom>
                  </pic:spPr>
                </pic:pic>
              </a:graphicData>
            </a:graphic>
          </wp:inline>
        </w:drawing>
      </w:r>
    </w:p>
    <w:p w14:paraId="31F39A31" w14:textId="08C83B4E" w:rsidR="00E53E32" w:rsidRDefault="00E53E32" w:rsidP="008D6FA5">
      <w:pPr>
        <w:rPr>
          <w:lang w:eastAsia="en-GB"/>
        </w:rPr>
      </w:pPr>
    </w:p>
    <w:p w14:paraId="4B56354F" w14:textId="6E579B74" w:rsidR="00F62F09" w:rsidRDefault="00F62F09" w:rsidP="00116AAC">
      <w:pPr>
        <w:widowControl/>
        <w:numPr>
          <w:ilvl w:val="0"/>
          <w:numId w:val="13"/>
        </w:numPr>
        <w:suppressAutoHyphens w:val="0"/>
        <w:spacing w:line="240" w:lineRule="auto"/>
        <w:textAlignment w:val="baseline"/>
        <w:rPr>
          <w:rFonts w:ascii="Calibri" w:hAnsi="Calibri" w:cs="Times New Roman"/>
          <w:noProof w:val="0"/>
          <w:color w:val="000000"/>
          <w:lang w:eastAsia="en-GB"/>
        </w:rPr>
      </w:pPr>
      <w:r w:rsidRPr="00F62F09">
        <w:rPr>
          <w:rFonts w:ascii="Calibri" w:hAnsi="Calibri" w:cs="Times New Roman"/>
          <w:noProof w:val="0"/>
          <w:color w:val="000000"/>
          <w:lang w:eastAsia="en-GB"/>
        </w:rPr>
        <w:t xml:space="preserve">Provide </w:t>
      </w:r>
      <w:r w:rsidRPr="00F62F09">
        <w:rPr>
          <w:rFonts w:ascii="Calibri" w:hAnsi="Calibri" w:cs="Times New Roman"/>
          <w:b/>
          <w:bCs/>
          <w:noProof w:val="0"/>
          <w:color w:val="000000"/>
          <w:lang w:eastAsia="en-GB"/>
        </w:rPr>
        <w:t>direct links</w:t>
      </w:r>
      <w:r w:rsidRPr="00F62F09">
        <w:rPr>
          <w:rFonts w:ascii="Calibri" w:hAnsi="Calibri" w:cs="Times New Roman"/>
          <w:noProof w:val="0"/>
          <w:color w:val="000000"/>
          <w:lang w:eastAsia="en-GB"/>
        </w:rPr>
        <w:t xml:space="preserve"> to the information</w:t>
      </w:r>
    </w:p>
    <w:p w14:paraId="666895A8" w14:textId="35B51082" w:rsidR="00116AAC" w:rsidRDefault="00E53E32" w:rsidP="008D6FA5">
      <w:pPr>
        <w:rPr>
          <w:lang w:eastAsia="en-GB"/>
        </w:rPr>
      </w:pPr>
      <w:r>
        <w:drawing>
          <wp:inline distT="0" distB="0" distL="0" distR="0" wp14:anchorId="55EABA0F" wp14:editId="3A464AEC">
            <wp:extent cx="5731510" cy="16783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678305"/>
                    </a:xfrm>
                    <a:prstGeom prst="rect">
                      <a:avLst/>
                    </a:prstGeom>
                  </pic:spPr>
                </pic:pic>
              </a:graphicData>
            </a:graphic>
          </wp:inline>
        </w:drawing>
      </w:r>
    </w:p>
    <w:p w14:paraId="7E471DB8" w14:textId="094C1B86" w:rsidR="00E53E32" w:rsidRDefault="00E53E32" w:rsidP="008D6FA5">
      <w:pPr>
        <w:rPr>
          <w:lang w:eastAsia="en-GB"/>
        </w:rPr>
      </w:pPr>
    </w:p>
    <w:p w14:paraId="47C8AAF0" w14:textId="18C8C47D" w:rsidR="00E53E32" w:rsidRDefault="00E53E32" w:rsidP="00E53E32">
      <w:pPr>
        <w:pStyle w:val="Heading2"/>
        <w:rPr>
          <w:lang w:val="en-GB" w:eastAsia="en-GB"/>
        </w:rPr>
      </w:pPr>
      <w:r w:rsidRPr="00E53E32">
        <w:rPr>
          <w:lang w:val="en-GB" w:eastAsia="en-GB"/>
        </w:rPr>
        <w:lastRenderedPageBreak/>
        <w:t xml:space="preserve">Step 4 – Assessment: </w:t>
      </w:r>
      <w:r>
        <w:rPr>
          <w:lang w:val="en-GB" w:eastAsia="en-GB"/>
        </w:rPr>
        <w:t>W</w:t>
      </w:r>
      <w:r w:rsidRPr="00E53E32">
        <w:rPr>
          <w:lang w:val="en-GB" w:eastAsia="en-GB"/>
        </w:rPr>
        <w:t xml:space="preserve">hat deviates from the EITI Standard? </w:t>
      </w:r>
      <w:r>
        <w:rPr>
          <w:lang w:val="en-GB" w:eastAsia="en-GB"/>
        </w:rPr>
        <w:t>Where are the gaps?</w:t>
      </w:r>
    </w:p>
    <w:p w14:paraId="6926B338" w14:textId="284DF80B" w:rsidR="00E53E32" w:rsidRDefault="00E53E32" w:rsidP="008D6FA5">
      <w:pPr>
        <w:rPr>
          <w:lang w:eastAsia="en-GB"/>
        </w:rPr>
      </w:pPr>
      <w:r>
        <w:drawing>
          <wp:inline distT="0" distB="0" distL="0" distR="0" wp14:anchorId="079B5E49" wp14:editId="4C00EB84">
            <wp:extent cx="5731510" cy="16471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647190"/>
                    </a:xfrm>
                    <a:prstGeom prst="rect">
                      <a:avLst/>
                    </a:prstGeom>
                  </pic:spPr>
                </pic:pic>
              </a:graphicData>
            </a:graphic>
          </wp:inline>
        </w:drawing>
      </w:r>
    </w:p>
    <w:p w14:paraId="523173DE" w14:textId="77777777" w:rsidR="00E53E32" w:rsidRDefault="00E53E32" w:rsidP="008D6FA5">
      <w:pPr>
        <w:rPr>
          <w:lang w:eastAsia="en-GB"/>
        </w:rPr>
      </w:pPr>
    </w:p>
    <w:p w14:paraId="3707126D" w14:textId="3B2FB428" w:rsidR="00DC015B" w:rsidRDefault="00E53E32" w:rsidP="00E53E32">
      <w:pPr>
        <w:pStyle w:val="Heading2"/>
        <w:rPr>
          <w:lang w:val="en-GB" w:eastAsia="en-GB"/>
        </w:rPr>
      </w:pPr>
      <w:r w:rsidRPr="00E53E32">
        <w:rPr>
          <w:lang w:val="en-GB" w:eastAsia="en-GB"/>
        </w:rPr>
        <w:t xml:space="preserve">Step 5 – Make a plan for dealing with the missing information. </w:t>
      </w:r>
      <w:r>
        <w:rPr>
          <w:lang w:val="en-GB" w:eastAsia="en-GB"/>
        </w:rPr>
        <w:t xml:space="preserve">Ask the </w:t>
      </w:r>
      <w:hyperlink r:id="rId26" w:history="1">
        <w:r w:rsidRPr="008D6FA5">
          <w:rPr>
            <w:rStyle w:val="Hyperlink"/>
            <w:lang w:val="en-GB" w:eastAsia="en-GB"/>
          </w:rPr>
          <w:t>International Secretariat</w:t>
        </w:r>
      </w:hyperlink>
      <w:r>
        <w:rPr>
          <w:lang w:val="en-GB" w:eastAsia="en-GB"/>
        </w:rPr>
        <w:t xml:space="preserve"> for support if you have questions and/or need examples.</w:t>
      </w:r>
    </w:p>
    <w:p w14:paraId="301F45BD" w14:textId="77777777" w:rsidR="00A663DD" w:rsidRPr="00A663DD" w:rsidRDefault="00A663DD" w:rsidP="00A663DD">
      <w:pPr>
        <w:rPr>
          <w:lang w:eastAsia="en-GB"/>
        </w:rPr>
      </w:pPr>
    </w:p>
    <w:p w14:paraId="474A3849" w14:textId="77777777" w:rsidR="00A663DD" w:rsidRPr="00F62F09" w:rsidRDefault="00A663DD" w:rsidP="00A663DD">
      <w:pPr>
        <w:pStyle w:val="Heading1"/>
        <w:spacing w:line="276" w:lineRule="auto"/>
        <w:rPr>
          <w:rFonts w:ascii="Times New Roman" w:hAnsi="Times New Roman"/>
          <w:sz w:val="48"/>
          <w:szCs w:val="48"/>
        </w:rPr>
      </w:pPr>
      <w:r w:rsidRPr="00F62F09">
        <w:t>Country examples</w:t>
      </w:r>
    </w:p>
    <w:p w14:paraId="055E329F"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Here we provide some examples of countries that have made progress in mainstreaming EITI disclosures. It is important to note that </w:t>
      </w:r>
      <w:r w:rsidRPr="00F62F09">
        <w:rPr>
          <w:rFonts w:ascii="Calibri" w:hAnsi="Calibri" w:cs="Times New Roman"/>
          <w:noProof w:val="0"/>
          <w:color w:val="000000"/>
          <w:u w:val="single"/>
          <w:lang w:eastAsia="en-GB"/>
        </w:rPr>
        <w:t>mainstreaming does not have to mean mainstreaming of all disclosures, but can be partial; enabling a step-by-step or requirement-by-requirement approach</w:t>
      </w:r>
      <w:r w:rsidRPr="00F62F09">
        <w:rPr>
          <w:rFonts w:ascii="Calibri" w:hAnsi="Calibri" w:cs="Times New Roman"/>
          <w:noProof w:val="0"/>
          <w:color w:val="000000"/>
          <w:lang w:eastAsia="en-GB"/>
        </w:rPr>
        <w:t>.</w:t>
      </w:r>
    </w:p>
    <w:p w14:paraId="09C8B909" w14:textId="77777777" w:rsidR="00A663DD" w:rsidRPr="007C2627" w:rsidRDefault="00A663DD" w:rsidP="00A663DD">
      <w:pPr>
        <w:pStyle w:val="Heading2"/>
        <w:rPr>
          <w:rFonts w:ascii="Times New Roman" w:hAnsi="Times New Roman"/>
          <w:sz w:val="36"/>
          <w:szCs w:val="36"/>
          <w:lang w:val="en-GB" w:eastAsia="en-GB"/>
        </w:rPr>
      </w:pPr>
      <w:r w:rsidRPr="007C2627">
        <w:rPr>
          <w:lang w:val="en-GB" w:eastAsia="en-GB"/>
        </w:rPr>
        <w:t>Norway</w:t>
      </w:r>
    </w:p>
    <w:p w14:paraId="746F3561"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Norway has emerged as the first EITI country to apply and </w:t>
      </w:r>
      <w:hyperlink r:id="rId27" w:history="1">
        <w:r w:rsidRPr="00F62F09">
          <w:rPr>
            <w:rFonts w:ascii="Calibri" w:hAnsi="Calibri" w:cs="Times New Roman"/>
            <w:noProof w:val="0"/>
            <w:color w:val="1155CC"/>
            <w:u w:val="single"/>
            <w:lang w:eastAsia="en-GB"/>
          </w:rPr>
          <w:t>receive acceptance for a mainstreaming application</w:t>
        </w:r>
      </w:hyperlink>
      <w:r w:rsidRPr="00F62F09">
        <w:rPr>
          <w:rFonts w:ascii="Calibri" w:hAnsi="Calibri" w:cs="Times New Roman"/>
          <w:noProof w:val="0"/>
          <w:color w:val="000000"/>
          <w:lang w:eastAsia="en-GB"/>
        </w:rPr>
        <w:t xml:space="preserve">. The government maintains a site called </w:t>
      </w:r>
      <w:hyperlink r:id="rId28" w:history="1">
        <w:r w:rsidRPr="00F62F09">
          <w:rPr>
            <w:rFonts w:ascii="Calibri" w:hAnsi="Calibri" w:cs="Times New Roman"/>
            <w:noProof w:val="0"/>
            <w:color w:val="1155CC"/>
            <w:u w:val="single"/>
            <w:lang w:eastAsia="en-GB"/>
          </w:rPr>
          <w:t>Norwegian Petroleum</w:t>
        </w:r>
      </w:hyperlink>
      <w:r w:rsidRPr="00F62F09">
        <w:rPr>
          <w:rFonts w:ascii="Calibri" w:hAnsi="Calibri" w:cs="Times New Roman"/>
          <w:noProof w:val="0"/>
          <w:color w:val="000000"/>
          <w:lang w:eastAsia="en-GB"/>
        </w:rPr>
        <w:t xml:space="preserve"> containing “Everything you need to know about Norwegian petroleum activities”. The portal provides most of the information required by the EITI Standard, including a wide array of maps and graphs ready for download. Upon the acceptance of the EITI Board, Norway has therefore replaced annual EITI Reports with systematic open data disclosures.</w:t>
      </w:r>
    </w:p>
    <w:p w14:paraId="19D7EEF5" w14:textId="77777777" w:rsidR="00A663DD" w:rsidRPr="007C2627" w:rsidRDefault="00A663DD" w:rsidP="00A663DD">
      <w:pPr>
        <w:pStyle w:val="Heading2"/>
        <w:rPr>
          <w:rFonts w:ascii="Times New Roman" w:hAnsi="Times New Roman"/>
          <w:sz w:val="36"/>
          <w:szCs w:val="36"/>
          <w:lang w:val="en-GB" w:eastAsia="en-GB"/>
        </w:rPr>
      </w:pPr>
      <w:r w:rsidRPr="007C2627">
        <w:rPr>
          <w:lang w:val="en-GB" w:eastAsia="en-GB"/>
        </w:rPr>
        <w:t>Kazakhstan and Mongolia - automated disclosures</w:t>
      </w:r>
    </w:p>
    <w:p w14:paraId="0BF6EAC0"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An important step towards mainstreaming of company payments and government revenues is </w:t>
      </w:r>
      <w:r w:rsidRPr="00F62F09">
        <w:rPr>
          <w:rFonts w:ascii="Calibri" w:hAnsi="Calibri" w:cs="Times New Roman"/>
          <w:i/>
          <w:iCs/>
          <w:noProof w:val="0"/>
          <w:color w:val="000000"/>
          <w:lang w:eastAsia="en-GB"/>
        </w:rPr>
        <w:t>automated online disclosures</w:t>
      </w:r>
      <w:r w:rsidRPr="00F62F09">
        <w:rPr>
          <w:rFonts w:ascii="Calibri" w:hAnsi="Calibri" w:cs="Times New Roman"/>
          <w:noProof w:val="0"/>
          <w:color w:val="000000"/>
          <w:lang w:eastAsia="en-GB"/>
        </w:rPr>
        <w:t xml:space="preserve">. Both </w:t>
      </w:r>
      <w:hyperlink r:id="rId29" w:history="1">
        <w:r w:rsidRPr="00F62F09">
          <w:rPr>
            <w:rFonts w:ascii="Calibri" w:hAnsi="Calibri" w:cs="Times New Roman"/>
            <w:noProof w:val="0"/>
            <w:color w:val="1155CC"/>
            <w:u w:val="single"/>
            <w:lang w:eastAsia="en-GB"/>
          </w:rPr>
          <w:t xml:space="preserve">Kazakhstan </w:t>
        </w:r>
      </w:hyperlink>
      <w:r w:rsidRPr="00F62F09">
        <w:rPr>
          <w:rFonts w:ascii="Calibri" w:hAnsi="Calibri" w:cs="Times New Roman"/>
          <w:noProof w:val="0"/>
          <w:color w:val="000000"/>
          <w:lang w:eastAsia="en-GB"/>
        </w:rPr>
        <w:t xml:space="preserve">and </w:t>
      </w:r>
      <w:hyperlink r:id="rId30" w:history="1">
        <w:r w:rsidRPr="00F62F09">
          <w:rPr>
            <w:rFonts w:ascii="Calibri" w:hAnsi="Calibri" w:cs="Times New Roman"/>
            <w:noProof w:val="0"/>
            <w:color w:val="1155CC"/>
            <w:u w:val="single"/>
            <w:lang w:eastAsia="en-GB"/>
          </w:rPr>
          <w:t>Mongolia</w:t>
        </w:r>
      </w:hyperlink>
      <w:r w:rsidRPr="00F62F09">
        <w:rPr>
          <w:rFonts w:ascii="Calibri" w:hAnsi="Calibri" w:cs="Times New Roman"/>
          <w:noProof w:val="0"/>
          <w:color w:val="000000"/>
          <w:lang w:eastAsia="en-GB"/>
        </w:rPr>
        <w:t xml:space="preserve"> have created or incorporated EITI disclosures into online platforms through which subsoil users (extractive companies) upload their data alongside their audit statements. In Kazakhstan, the EGSU </w:t>
      </w:r>
      <w:hyperlink r:id="rId31" w:history="1">
        <w:r w:rsidRPr="00F62F09">
          <w:rPr>
            <w:rFonts w:ascii="Calibri" w:hAnsi="Calibri" w:cs="Times New Roman"/>
            <w:noProof w:val="0"/>
            <w:color w:val="1155CC"/>
            <w:u w:val="single"/>
            <w:lang w:eastAsia="en-GB"/>
          </w:rPr>
          <w:t xml:space="preserve">portal </w:t>
        </w:r>
      </w:hyperlink>
      <w:r w:rsidRPr="00F62F09">
        <w:rPr>
          <w:rFonts w:ascii="Calibri" w:hAnsi="Calibri" w:cs="Times New Roman"/>
          <w:noProof w:val="0"/>
          <w:color w:val="000000"/>
          <w:lang w:eastAsia="en-GB"/>
        </w:rPr>
        <w:t>(only in Russian/</w:t>
      </w:r>
      <w:r w:rsidRPr="00F62F09">
        <w:rPr>
          <w:rFonts w:ascii="Calibri" w:hAnsi="Calibri" w:cs="Times New Roman"/>
          <w:noProof w:val="0"/>
          <w:lang w:eastAsia="en-GB"/>
        </w:rPr>
        <w:t>Kazakh) has enabled them to publish the most timely EITI data each year since its completion in 2014. According to the feasibility study results, the revenue data is even duplicated on several government websites. The main outstanding issue is transparency of SOEs and contract on barter and infrastructure agreements. All contracts are available on the EGSU portal, but not open to public. The government is considering next steps to transitioning to mainstreamed EITI disclosures.</w:t>
      </w:r>
    </w:p>
    <w:p w14:paraId="1A986EA4"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hyperlink r:id="rId32" w:history="1">
        <w:r w:rsidRPr="00F62F09">
          <w:rPr>
            <w:rFonts w:ascii="Calibri" w:hAnsi="Calibri" w:cs="Times New Roman"/>
            <w:noProof w:val="0"/>
            <w:color w:val="1155CC"/>
            <w:u w:val="single"/>
            <w:lang w:eastAsia="en-GB"/>
          </w:rPr>
          <w:t xml:space="preserve">Mongolia’s portal </w:t>
        </w:r>
      </w:hyperlink>
      <w:r w:rsidRPr="00F62F09">
        <w:rPr>
          <w:rFonts w:ascii="Calibri" w:hAnsi="Calibri" w:cs="Times New Roman"/>
          <w:noProof w:val="0"/>
          <w:color w:val="000000"/>
          <w:lang w:eastAsia="en-GB"/>
        </w:rPr>
        <w:t xml:space="preserve">covers revenue receipts and payments and their portal has enabled consistent and timely disclosure of revenue-data for more than 1000 companies operating in the country. The data portal contains data on licenses - including geographical and spatial information - as well as production </w:t>
      </w:r>
      <w:r w:rsidRPr="00F62F09">
        <w:rPr>
          <w:rFonts w:ascii="Calibri" w:hAnsi="Calibri" w:cs="Times New Roman"/>
          <w:noProof w:val="0"/>
          <w:color w:val="000000"/>
          <w:lang w:eastAsia="en-GB"/>
        </w:rPr>
        <w:lastRenderedPageBreak/>
        <w:t>volumes and values. Users can choose whether the information is presented by company, license or district. All the information is available for download in open formats such as Excel, CSV or JSON files. Mongolia is currently exploring opportunities for mainstreaming several disclosures related to EITI, avoiding their inclusion in EITI Reports.</w:t>
      </w:r>
    </w:p>
    <w:p w14:paraId="64D94778" w14:textId="77777777" w:rsidR="00A663DD" w:rsidRPr="007C2627" w:rsidRDefault="00A663DD" w:rsidP="00A663DD">
      <w:pPr>
        <w:pStyle w:val="Heading2"/>
        <w:rPr>
          <w:rFonts w:ascii="Times New Roman" w:hAnsi="Times New Roman"/>
          <w:sz w:val="36"/>
          <w:szCs w:val="36"/>
          <w:lang w:val="en-GB" w:eastAsia="en-GB"/>
        </w:rPr>
      </w:pPr>
      <w:r w:rsidRPr="007C2627">
        <w:rPr>
          <w:lang w:val="en-GB" w:eastAsia="en-GB"/>
        </w:rPr>
        <w:t>License registries and payments - Liberia and Sierra Leone</w:t>
      </w:r>
    </w:p>
    <w:p w14:paraId="7E97A1C7"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Some online solutions facilitate mainstreaming of EITI disclosures, especially if integrated into government agencies and properly updated and used. </w:t>
      </w:r>
      <w:hyperlink r:id="rId33" w:history="1">
        <w:r w:rsidRPr="00F62F09">
          <w:rPr>
            <w:rFonts w:ascii="Calibri" w:hAnsi="Calibri" w:cs="Times New Roman"/>
            <w:noProof w:val="0"/>
            <w:color w:val="1155CC"/>
            <w:u w:val="single"/>
            <w:lang w:eastAsia="en-GB"/>
          </w:rPr>
          <w:t xml:space="preserve">Liberia </w:t>
        </w:r>
      </w:hyperlink>
      <w:r w:rsidRPr="00F62F09">
        <w:rPr>
          <w:rFonts w:ascii="Calibri" w:hAnsi="Calibri" w:cs="Times New Roman"/>
          <w:noProof w:val="0"/>
          <w:color w:val="000000"/>
          <w:lang w:eastAsia="en-GB"/>
        </w:rPr>
        <w:t xml:space="preserve">has followed </w:t>
      </w:r>
      <w:hyperlink r:id="rId34" w:history="1">
        <w:r w:rsidRPr="00F62F09">
          <w:rPr>
            <w:rFonts w:ascii="Calibri" w:hAnsi="Calibri" w:cs="Times New Roman"/>
            <w:noProof w:val="0"/>
            <w:color w:val="1155CC"/>
            <w:u w:val="single"/>
            <w:lang w:eastAsia="en-GB"/>
          </w:rPr>
          <w:t>Sierra Leone’s</w:t>
        </w:r>
      </w:hyperlink>
      <w:r w:rsidRPr="00F62F09">
        <w:rPr>
          <w:rFonts w:ascii="Calibri" w:hAnsi="Calibri" w:cs="Times New Roman"/>
          <w:noProof w:val="0"/>
          <w:color w:val="000000"/>
          <w:lang w:eastAsia="en-GB"/>
        </w:rPr>
        <w:t xml:space="preserve"> example and begun using a centralised cadastre system which lists the largest mining companies, linking unique companies to licenses and all payments directly related to the same licenses. Although this does not cover all payments and receipts covered by EITI reconciliation, it is a significant step towards transparency being the default feature of government systems.</w:t>
      </w:r>
    </w:p>
    <w:p w14:paraId="1A2651AC" w14:textId="77777777" w:rsidR="00A663DD" w:rsidRPr="007C2627" w:rsidRDefault="00A663DD" w:rsidP="00A663DD">
      <w:pPr>
        <w:pStyle w:val="Heading2"/>
        <w:rPr>
          <w:rFonts w:ascii="Times New Roman" w:hAnsi="Times New Roman"/>
          <w:sz w:val="36"/>
          <w:szCs w:val="36"/>
          <w:lang w:val="en-GB" w:eastAsia="en-GB"/>
        </w:rPr>
      </w:pPr>
      <w:r w:rsidRPr="007C2627">
        <w:rPr>
          <w:lang w:val="en-GB" w:eastAsia="en-GB"/>
        </w:rPr>
        <w:t>Dominican Republic</w:t>
      </w:r>
    </w:p>
    <w:p w14:paraId="4B17E90F" w14:textId="54D8FAA7" w:rsidR="00A663DD" w:rsidRDefault="00A663DD" w:rsidP="00A663DD">
      <w:pPr>
        <w:widowControl/>
        <w:suppressAutoHyphens w:val="0"/>
        <w:spacing w:line="240" w:lineRule="auto"/>
        <w:rPr>
          <w:rFonts w:ascii="Calibri" w:hAnsi="Calibri" w:cs="Times New Roman"/>
          <w:noProof w:val="0"/>
          <w:color w:val="000000"/>
          <w:lang w:eastAsia="en-GB"/>
        </w:rPr>
      </w:pPr>
      <w:r w:rsidRPr="00F62F09">
        <w:rPr>
          <w:rFonts w:ascii="Calibri" w:hAnsi="Calibri" w:cs="Times New Roman"/>
          <w:noProof w:val="0"/>
          <w:color w:val="000000"/>
          <w:lang w:eastAsia="en-GB"/>
        </w:rPr>
        <w:t xml:space="preserve">It is important to highlight that mainstreaming is not only an option for long-time implementers of the EITI Standard. </w:t>
      </w:r>
      <w:hyperlink r:id="rId35" w:history="1">
        <w:r w:rsidRPr="00F62F09">
          <w:rPr>
            <w:rFonts w:ascii="Calibri" w:hAnsi="Calibri" w:cs="Times New Roman"/>
            <w:noProof w:val="0"/>
            <w:color w:val="1155CC"/>
            <w:u w:val="single"/>
            <w:lang w:eastAsia="en-GB"/>
          </w:rPr>
          <w:t xml:space="preserve">Dominican Republic </w:t>
        </w:r>
      </w:hyperlink>
      <w:r w:rsidRPr="00F62F09">
        <w:rPr>
          <w:rFonts w:ascii="Calibri" w:hAnsi="Calibri" w:cs="Times New Roman"/>
          <w:noProof w:val="0"/>
          <w:color w:val="000000"/>
          <w:lang w:eastAsia="en-GB"/>
        </w:rPr>
        <w:t xml:space="preserve">(EITI-RD) published their first ‘EITI Report’ in October, taking advantage of the broad definition of EITI Reports and disclosures. In EITI-RD, </w:t>
      </w:r>
      <w:hyperlink r:id="rId36" w:history="1">
        <w:r w:rsidRPr="00F62F09">
          <w:rPr>
            <w:rFonts w:ascii="Calibri" w:hAnsi="Calibri" w:cs="Times New Roman"/>
            <w:b/>
            <w:bCs/>
            <w:noProof w:val="0"/>
            <w:color w:val="1155CC"/>
            <w:u w:val="single"/>
            <w:lang w:eastAsia="en-GB"/>
          </w:rPr>
          <w:t xml:space="preserve">their website </w:t>
        </w:r>
        <w:r w:rsidRPr="00F62F09">
          <w:rPr>
            <w:rFonts w:ascii="Calibri" w:hAnsi="Calibri" w:cs="Times New Roman"/>
            <w:b/>
            <w:bCs/>
            <w:i/>
            <w:iCs/>
            <w:noProof w:val="0"/>
            <w:color w:val="1155CC"/>
            <w:u w:val="single"/>
            <w:lang w:eastAsia="en-GB"/>
          </w:rPr>
          <w:t>is</w:t>
        </w:r>
        <w:r w:rsidRPr="00F62F09">
          <w:rPr>
            <w:rFonts w:ascii="Calibri" w:hAnsi="Calibri" w:cs="Times New Roman"/>
            <w:b/>
            <w:bCs/>
            <w:noProof w:val="0"/>
            <w:color w:val="1155CC"/>
            <w:u w:val="single"/>
            <w:lang w:eastAsia="en-GB"/>
          </w:rPr>
          <w:t xml:space="preserve"> the EITI Report</w:t>
        </w:r>
      </w:hyperlink>
      <w:r w:rsidRPr="00F62F09">
        <w:rPr>
          <w:rFonts w:ascii="Calibri" w:hAnsi="Calibri" w:cs="Times New Roman"/>
          <w:noProof w:val="0"/>
          <w:color w:val="000000"/>
          <w:lang w:eastAsia="en-GB"/>
        </w:rPr>
        <w:t xml:space="preserve">. Instead of producing large physical copies of EITI Reports, all the necessary disclosures are made online as the default, while a </w:t>
      </w:r>
      <w:hyperlink r:id="rId37" w:history="1">
        <w:r w:rsidRPr="00F62F09">
          <w:rPr>
            <w:rFonts w:ascii="Calibri" w:hAnsi="Calibri" w:cs="Times New Roman"/>
            <w:noProof w:val="0"/>
            <w:color w:val="1155CC"/>
            <w:u w:val="single"/>
            <w:lang w:eastAsia="en-GB"/>
          </w:rPr>
          <w:t>reconciliation report</w:t>
        </w:r>
      </w:hyperlink>
      <w:r w:rsidRPr="00F62F09">
        <w:rPr>
          <w:rFonts w:ascii="Calibri" w:hAnsi="Calibri" w:cs="Times New Roman"/>
          <w:noProof w:val="0"/>
          <w:color w:val="000000"/>
          <w:lang w:eastAsia="en-GB"/>
        </w:rPr>
        <w:t xml:space="preserve"> is published as an ‘attachment’. This is a great example that reconciliation is the only work </w:t>
      </w:r>
      <w:r w:rsidRPr="00F62F09">
        <w:rPr>
          <w:rFonts w:ascii="Calibri" w:hAnsi="Calibri" w:cs="Times New Roman"/>
          <w:b/>
          <w:bCs/>
          <w:noProof w:val="0"/>
          <w:color w:val="000000"/>
          <w:lang w:eastAsia="en-GB"/>
        </w:rPr>
        <w:t xml:space="preserve">strictly requiring </w:t>
      </w:r>
      <w:r w:rsidRPr="00F62F09">
        <w:rPr>
          <w:rFonts w:ascii="Calibri" w:hAnsi="Calibri" w:cs="Times New Roman"/>
          <w:noProof w:val="0"/>
          <w:color w:val="000000"/>
          <w:lang w:eastAsia="en-GB"/>
        </w:rPr>
        <w:t>an independent administrator.</w:t>
      </w:r>
    </w:p>
    <w:p w14:paraId="2314AB5A"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p>
    <w:p w14:paraId="1A5D1B77" w14:textId="77777777" w:rsidR="00A663DD" w:rsidRPr="007C2627" w:rsidRDefault="00A663DD" w:rsidP="00A663DD">
      <w:pPr>
        <w:pStyle w:val="Heading1"/>
        <w:rPr>
          <w:rFonts w:ascii="Times New Roman" w:hAnsi="Times New Roman"/>
          <w:sz w:val="36"/>
          <w:szCs w:val="36"/>
        </w:rPr>
      </w:pPr>
      <w:r w:rsidRPr="007C2627">
        <w:t>Support on mainstreaming</w:t>
      </w:r>
    </w:p>
    <w:p w14:paraId="00F365A6" w14:textId="77777777" w:rsidR="00A663DD" w:rsidRPr="00F62F09"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 xml:space="preserve">The International Secretariat provides advice and support to implementing countries considering mainstreaming. </w:t>
      </w:r>
    </w:p>
    <w:p w14:paraId="148F3460" w14:textId="77777777" w:rsidR="00A663DD" w:rsidRPr="00A663DD" w:rsidRDefault="00A663DD" w:rsidP="00A663DD">
      <w:pPr>
        <w:widowControl/>
        <w:suppressAutoHyphens w:val="0"/>
        <w:spacing w:line="240" w:lineRule="auto"/>
        <w:rPr>
          <w:rFonts w:ascii="Times New Roman" w:hAnsi="Times New Roman" w:cs="Times New Roman"/>
          <w:noProof w:val="0"/>
          <w:sz w:val="24"/>
          <w:szCs w:val="24"/>
          <w:lang w:eastAsia="en-GB"/>
        </w:rPr>
      </w:pPr>
      <w:r w:rsidRPr="00F62F09">
        <w:rPr>
          <w:rFonts w:ascii="Calibri" w:hAnsi="Calibri" w:cs="Times New Roman"/>
          <w:noProof w:val="0"/>
          <w:color w:val="000000"/>
          <w:lang w:eastAsia="en-GB"/>
        </w:rPr>
        <w:t>For further information, contact Sam Bartlett (</w:t>
      </w:r>
      <w:hyperlink r:id="rId38" w:history="1">
        <w:r w:rsidRPr="00F62F09">
          <w:rPr>
            <w:rFonts w:ascii="Calibri" w:hAnsi="Calibri" w:cs="Times New Roman"/>
            <w:noProof w:val="0"/>
            <w:color w:val="1155CC"/>
            <w:u w:val="single"/>
            <w:lang w:eastAsia="en-GB"/>
          </w:rPr>
          <w:t>sbartlett@eiti.org</w:t>
        </w:r>
      </w:hyperlink>
      <w:r w:rsidRPr="00F62F09">
        <w:rPr>
          <w:rFonts w:ascii="Calibri" w:hAnsi="Calibri" w:cs="Times New Roman"/>
          <w:noProof w:val="0"/>
          <w:color w:val="000000"/>
          <w:lang w:eastAsia="en-GB"/>
        </w:rPr>
        <w:t>) or Christoffer Claussen (</w:t>
      </w:r>
      <w:hyperlink r:id="rId39" w:history="1">
        <w:r w:rsidRPr="00F62F09">
          <w:rPr>
            <w:rFonts w:ascii="Calibri" w:hAnsi="Calibri" w:cs="Times New Roman"/>
            <w:noProof w:val="0"/>
            <w:color w:val="1155CC"/>
            <w:u w:val="single"/>
            <w:lang w:eastAsia="en-GB"/>
          </w:rPr>
          <w:t>cclaussen@eiti.org</w:t>
        </w:r>
      </w:hyperlink>
      <w:r w:rsidRPr="00F62F09">
        <w:rPr>
          <w:rFonts w:ascii="Calibri" w:hAnsi="Calibri" w:cs="Times New Roman"/>
          <w:noProof w:val="0"/>
          <w:color w:val="000000"/>
          <w:lang w:eastAsia="en-GB"/>
        </w:rPr>
        <w:t>)</w:t>
      </w:r>
      <w:r w:rsidRPr="00F62F09">
        <w:rPr>
          <w:rFonts w:ascii="Calibri" w:hAnsi="Calibri" w:cs="Times New Roman"/>
          <w:i/>
          <w:iCs/>
          <w:noProof w:val="0"/>
          <w:color w:val="000000"/>
          <w:lang w:eastAsia="en-GB"/>
        </w:rPr>
        <w:t>.</w:t>
      </w:r>
    </w:p>
    <w:p w14:paraId="1078995F" w14:textId="77777777" w:rsidR="008D6FA5" w:rsidRPr="008D6FA5" w:rsidRDefault="008D6FA5" w:rsidP="008D6FA5">
      <w:pPr>
        <w:rPr>
          <w:lang w:eastAsia="en-GB"/>
        </w:rPr>
      </w:pPr>
    </w:p>
    <w:sectPr w:rsidR="008D6FA5" w:rsidRPr="008D6FA5" w:rsidSect="00F62F09">
      <w:headerReference w:type="default" r:id="rId40"/>
      <w:head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FBB72" w14:textId="77777777" w:rsidR="00C94F9C" w:rsidRDefault="00C94F9C" w:rsidP="00F62F09">
      <w:pPr>
        <w:spacing w:after="0" w:line="240" w:lineRule="auto"/>
      </w:pPr>
      <w:r>
        <w:separator/>
      </w:r>
    </w:p>
  </w:endnote>
  <w:endnote w:type="continuationSeparator" w:id="0">
    <w:p w14:paraId="0FA03EA8" w14:textId="77777777" w:rsidR="00C94F9C" w:rsidRDefault="00C94F9C" w:rsidP="00F62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B94A5" w14:textId="77777777" w:rsidR="00C94F9C" w:rsidRDefault="00C94F9C" w:rsidP="00F62F09">
      <w:pPr>
        <w:spacing w:after="0" w:line="240" w:lineRule="auto"/>
      </w:pPr>
      <w:r>
        <w:separator/>
      </w:r>
    </w:p>
  </w:footnote>
  <w:footnote w:type="continuationSeparator" w:id="0">
    <w:p w14:paraId="1DDFF56C" w14:textId="77777777" w:rsidR="00C94F9C" w:rsidRDefault="00C94F9C" w:rsidP="00F62F09">
      <w:pPr>
        <w:spacing w:after="0" w:line="240" w:lineRule="auto"/>
      </w:pPr>
      <w:r>
        <w:continuationSeparator/>
      </w:r>
    </w:p>
  </w:footnote>
  <w:footnote w:id="1">
    <w:p w14:paraId="5EFB8B4F" w14:textId="3BAEAD65" w:rsidR="00E65C1C" w:rsidRPr="00E65C1C" w:rsidRDefault="00E65C1C">
      <w:pPr>
        <w:pStyle w:val="FootnoteText"/>
        <w:rPr>
          <w:lang w:val="en-GB"/>
        </w:rPr>
      </w:pPr>
      <w:r>
        <w:rPr>
          <w:rStyle w:val="FootnoteReference"/>
        </w:rPr>
        <w:footnoteRef/>
      </w:r>
      <w:r w:rsidRPr="00E65C1C">
        <w:rPr>
          <w:lang w:val="en-GB"/>
        </w:rPr>
        <w:t xml:space="preserve"> </w:t>
      </w:r>
      <w:r>
        <w:rPr>
          <w:lang w:val="en-GB"/>
        </w:rPr>
        <w:t xml:space="preserve">Mainstreaming tool: </w:t>
      </w:r>
      <w:hyperlink r:id="rId1" w:history="1">
        <w:r w:rsidR="00116AAC" w:rsidRPr="0045424A">
          <w:rPr>
            <w:rStyle w:val="Hyperlink"/>
            <w:lang w:val="en-GB"/>
          </w:rPr>
          <w:t>https://eiti.org/document/mainstreaming-mapping-exercise</w:t>
        </w:r>
      </w:hyperlink>
      <w:r w:rsidR="00116AAC">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AE03" w14:textId="77777777" w:rsidR="00F62F09" w:rsidRPr="00F62F09" w:rsidRDefault="00F62F09" w:rsidP="00F62F09">
    <w:pPr>
      <w:widowControl/>
      <w:suppressAutoHyphens w:val="0"/>
      <w:spacing w:after="0" w:line="240" w:lineRule="auto"/>
      <w:jc w:val="right"/>
      <w:rPr>
        <w:rFonts w:ascii="Times New Roman" w:hAnsi="Times New Roman" w:cs="Times New Roman"/>
        <w:noProof w:val="0"/>
        <w:sz w:val="24"/>
        <w:szCs w:val="24"/>
        <w:lang w:eastAsia="en-GB"/>
      </w:rPr>
    </w:pPr>
    <w:r w:rsidRPr="00F62F09">
      <w:rPr>
        <w:rFonts w:ascii="Times New Roman" w:hAnsi="Times New Roman" w:cs="Times New Roman"/>
        <w:sz w:val="24"/>
        <w:szCs w:val="24"/>
        <w:lang w:eastAsia="en-GB"/>
      </w:rPr>
      <w:drawing>
        <wp:anchor distT="0" distB="0" distL="114300" distR="114300" simplePos="0" relativeHeight="251658240" behindDoc="0" locked="0" layoutInCell="1" allowOverlap="1" wp14:anchorId="03E718A4" wp14:editId="53A8EDF8">
          <wp:simplePos x="0" y="0"/>
          <wp:positionH relativeFrom="column">
            <wp:posOffset>0</wp:posOffset>
          </wp:positionH>
          <wp:positionV relativeFrom="paragraph">
            <wp:posOffset>-116205</wp:posOffset>
          </wp:positionV>
          <wp:extent cx="2486025" cy="504825"/>
          <wp:effectExtent l="0" t="0" r="9525" b="9525"/>
          <wp:wrapSquare wrapText="bothSides"/>
          <wp:docPr id="3" name="Picture 3" descr="https://lh3.googleusercontent.com/5B6rSP8-tryGRRQaRtCUEx1PA_fbvzN8_WrVwYDhc3p_sIdGLe4nLQp0ryQXn7nnxXiFpD-8FX8-aPDiGvgxDpYIqNOiKVBcc-MJkpeiykNd7fJPa_nhZdUAYhQlqs8thz0C9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B6rSP8-tryGRRQaRtCUEx1PA_fbvzN8_WrVwYDhc3p_sIdGLe4nLQp0ryQXn7nnxXiFpD-8FX8-aPDiGvgxDpYIqNOiKVBcc-MJkpeiykNd7fJPa_nhZdUAYhQlqs8thz0C9i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504825"/>
                  </a:xfrm>
                  <a:prstGeom prst="rect">
                    <a:avLst/>
                  </a:prstGeom>
                  <a:noFill/>
                  <a:ln>
                    <a:noFill/>
                  </a:ln>
                </pic:spPr>
              </pic:pic>
            </a:graphicData>
          </a:graphic>
        </wp:anchor>
      </w:drawing>
    </w:r>
    <w:r>
      <w:rPr>
        <w:rFonts w:ascii="Calibri" w:hAnsi="Calibri" w:cs="Times New Roman"/>
        <w:noProof w:val="0"/>
        <w:color w:val="000000"/>
        <w:sz w:val="28"/>
        <w:szCs w:val="28"/>
        <w:lang w:eastAsia="en-GB"/>
      </w:rPr>
      <w:br/>
    </w:r>
    <w:r w:rsidRPr="00F62F09">
      <w:rPr>
        <w:rFonts w:ascii="Calibri" w:hAnsi="Calibri" w:cs="Times New Roman"/>
        <w:noProof w:val="0"/>
        <w:color w:val="000000"/>
        <w:sz w:val="28"/>
        <w:szCs w:val="28"/>
        <w:lang w:eastAsia="en-GB"/>
      </w:rPr>
      <w:t>Mainstreaming toolkit</w:t>
    </w:r>
  </w:p>
  <w:p w14:paraId="425B54EC" w14:textId="77777777" w:rsidR="00F62F09" w:rsidRPr="00F62F09" w:rsidRDefault="00F62F09" w:rsidP="00F62F09">
    <w:pPr>
      <w:widowControl/>
      <w:suppressAutoHyphens w:val="0"/>
      <w:spacing w:after="0" w:line="240" w:lineRule="auto"/>
      <w:jc w:val="right"/>
      <w:rPr>
        <w:rFonts w:ascii="Times New Roman" w:hAnsi="Times New Roman" w:cs="Times New Roman"/>
        <w:noProof w:val="0"/>
        <w:sz w:val="24"/>
        <w:szCs w:val="24"/>
        <w:lang w:eastAsia="en-GB"/>
      </w:rPr>
    </w:pPr>
    <w:r w:rsidRPr="00F62F09">
      <w:rPr>
        <w:rFonts w:ascii="Calibri" w:hAnsi="Calibri" w:cs="Times New Roman"/>
        <w:color w:val="008BAB"/>
        <w:sz w:val="28"/>
        <w:szCs w:val="28"/>
        <w:lang w:eastAsia="en-GB"/>
      </w:rPr>
      <w:drawing>
        <wp:inline distT="0" distB="0" distL="0" distR="0" wp14:anchorId="12BE2B3F" wp14:editId="248DD5CC">
          <wp:extent cx="5943600" cy="152400"/>
          <wp:effectExtent l="0" t="0" r="0" b="0"/>
          <wp:docPr id="4" name="Picture 4" descr="https://lh6.googleusercontent.com/9rTffs9cJ4Y5uD0Xt1fmkkopbyOIp3njll1q56LSz18LpTuaxNoNkv-Z6aFff_VEmV2AwyPC7ymsFoQ2Yi1GFqxSYTD9znTOs9vIchEfO6KSevdiV4WmM3V3UPNgPsfRS7alRf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9rTffs9cJ4Y5uD0Xt1fmkkopbyOIp3njll1q56LSz18LpTuaxNoNkv-Z6aFff_VEmV2AwyPC7ymsFoQ2Yi1GFqxSYTD9znTOs9vIchEfO6KSevdiV4WmM3V3UPNgPsfRS7alRfX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152400"/>
                  </a:xfrm>
                  <a:prstGeom prst="rect">
                    <a:avLst/>
                  </a:prstGeom>
                  <a:noFill/>
                  <a:ln>
                    <a:noFill/>
                  </a:ln>
                </pic:spPr>
              </pic:pic>
            </a:graphicData>
          </a:graphic>
        </wp:inline>
      </w:drawing>
    </w:r>
    <w:r>
      <w:rPr>
        <w:rFonts w:ascii="Times New Roman" w:hAnsi="Times New Roman" w:cs="Times New Roman"/>
        <w:noProof w:val="0"/>
        <w:sz w:val="24"/>
        <w:szCs w:val="24"/>
        <w:lang w:eastAsia="en-G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16DF" w14:textId="77777777" w:rsidR="00F62F09" w:rsidRPr="00F62F09" w:rsidRDefault="00F62F09" w:rsidP="00F62F09">
    <w:pPr>
      <w:widowControl/>
      <w:suppressAutoHyphens w:val="0"/>
      <w:spacing w:after="0" w:line="240" w:lineRule="auto"/>
      <w:jc w:val="right"/>
      <w:rPr>
        <w:rFonts w:ascii="Times New Roman" w:hAnsi="Times New Roman" w:cs="Times New Roman"/>
        <w:noProof w:val="0"/>
        <w:sz w:val="24"/>
        <w:szCs w:val="24"/>
        <w:lang w:eastAsia="en-GB"/>
      </w:rPr>
    </w:pPr>
    <w:r w:rsidRPr="00F62F09">
      <w:rPr>
        <w:rFonts w:ascii="Times New Roman" w:hAnsi="Times New Roman" w:cs="Times New Roman"/>
        <w:sz w:val="24"/>
        <w:szCs w:val="24"/>
        <w:lang w:eastAsia="en-GB"/>
      </w:rPr>
      <w:drawing>
        <wp:anchor distT="0" distB="0" distL="114300" distR="114300" simplePos="0" relativeHeight="251660288" behindDoc="0" locked="0" layoutInCell="1" allowOverlap="1" wp14:anchorId="704FB8A4" wp14:editId="3D6B5AFF">
          <wp:simplePos x="0" y="0"/>
          <wp:positionH relativeFrom="column">
            <wp:posOffset>0</wp:posOffset>
          </wp:positionH>
          <wp:positionV relativeFrom="paragraph">
            <wp:posOffset>-116205</wp:posOffset>
          </wp:positionV>
          <wp:extent cx="2486025" cy="504825"/>
          <wp:effectExtent l="0" t="0" r="9525" b="9525"/>
          <wp:wrapSquare wrapText="bothSides"/>
          <wp:docPr id="5" name="Picture 5" descr="https://lh3.googleusercontent.com/5B6rSP8-tryGRRQaRtCUEx1PA_fbvzN8_WrVwYDhc3p_sIdGLe4nLQp0ryQXn7nnxXiFpD-8FX8-aPDiGvgxDpYIqNOiKVBcc-MJkpeiykNd7fJPa_nhZdUAYhQlqs8thz0C9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B6rSP8-tryGRRQaRtCUEx1PA_fbvzN8_WrVwYDhc3p_sIdGLe4nLQp0ryQXn7nnxXiFpD-8FX8-aPDiGvgxDpYIqNOiKVBcc-MJkpeiykNd7fJPa_nhZdUAYhQlqs8thz0C9i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504825"/>
                  </a:xfrm>
                  <a:prstGeom prst="rect">
                    <a:avLst/>
                  </a:prstGeom>
                  <a:noFill/>
                  <a:ln>
                    <a:noFill/>
                  </a:ln>
                </pic:spPr>
              </pic:pic>
            </a:graphicData>
          </a:graphic>
        </wp:anchor>
      </w:drawing>
    </w:r>
    <w:r>
      <w:rPr>
        <w:rFonts w:ascii="Calibri" w:hAnsi="Calibri" w:cs="Times New Roman"/>
        <w:noProof w:val="0"/>
        <w:color w:val="000000"/>
        <w:sz w:val="28"/>
        <w:szCs w:val="28"/>
        <w:lang w:eastAsia="en-GB"/>
      </w:rPr>
      <w:br/>
    </w:r>
    <w:r w:rsidRPr="00F62F09">
      <w:rPr>
        <w:rFonts w:ascii="Calibri" w:hAnsi="Calibri" w:cs="Times New Roman"/>
        <w:noProof w:val="0"/>
        <w:color w:val="000000"/>
        <w:sz w:val="28"/>
        <w:szCs w:val="28"/>
        <w:lang w:eastAsia="en-GB"/>
      </w:rPr>
      <w:t>Mainstreaming toolkit</w:t>
    </w:r>
  </w:p>
  <w:p w14:paraId="49625DC0" w14:textId="77777777" w:rsidR="00F62F09" w:rsidRPr="00F62F09" w:rsidRDefault="00F62F09" w:rsidP="00F62F09">
    <w:pPr>
      <w:widowControl/>
      <w:suppressAutoHyphens w:val="0"/>
      <w:spacing w:after="0" w:line="240" w:lineRule="auto"/>
      <w:jc w:val="right"/>
      <w:rPr>
        <w:rFonts w:ascii="Times New Roman" w:hAnsi="Times New Roman" w:cs="Times New Roman"/>
        <w:noProof w:val="0"/>
        <w:sz w:val="24"/>
        <w:szCs w:val="24"/>
        <w:lang w:eastAsia="en-GB"/>
      </w:rPr>
    </w:pPr>
    <w:r w:rsidRPr="00F62F09">
      <w:rPr>
        <w:rFonts w:ascii="Calibri" w:hAnsi="Calibri" w:cs="Times New Roman"/>
        <w:color w:val="008BAB"/>
        <w:sz w:val="28"/>
        <w:szCs w:val="28"/>
        <w:lang w:eastAsia="en-GB"/>
      </w:rPr>
      <w:drawing>
        <wp:inline distT="0" distB="0" distL="0" distR="0" wp14:anchorId="5A8EC65F" wp14:editId="325D0D45">
          <wp:extent cx="5943600" cy="152400"/>
          <wp:effectExtent l="0" t="0" r="0" b="0"/>
          <wp:docPr id="6" name="Picture 6" descr="https://lh6.googleusercontent.com/9rTffs9cJ4Y5uD0Xt1fmkkopbyOIp3njll1q56LSz18LpTuaxNoNkv-Z6aFff_VEmV2AwyPC7ymsFoQ2Yi1GFqxSYTD9znTOs9vIchEfO6KSevdiV4WmM3V3UPNgPsfRS7alRf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9rTffs9cJ4Y5uD0Xt1fmkkopbyOIp3njll1q56LSz18LpTuaxNoNkv-Z6aFff_VEmV2AwyPC7ymsFoQ2Yi1GFqxSYTD9znTOs9vIchEfO6KSevdiV4WmM3V3UPNgPsfRS7alRfX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152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EB20EAC"/>
    <w:lvl w:ilvl="0">
      <w:start w:val="1"/>
      <w:numFmt w:val="decimal"/>
      <w:lvlText w:val="%1"/>
      <w:lvlJc w:val="left"/>
      <w:pPr>
        <w:tabs>
          <w:tab w:val="num" w:pos="0"/>
        </w:tabs>
      </w:pPr>
    </w:lvl>
    <w:lvl w:ilvl="1">
      <w:start w:val="1"/>
      <w:numFmt w:val="decimal"/>
      <w:lvlText w:val="%1.%2"/>
      <w:lvlJc w:val="left"/>
      <w:pPr>
        <w:tabs>
          <w:tab w:val="num" w:pos="1135"/>
        </w:tabs>
      </w:p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15:restartNumberingAfterBreak="0">
    <w:nsid w:val="149A09B0"/>
    <w:multiLevelType w:val="multilevel"/>
    <w:tmpl w:val="971A6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E53BA3"/>
    <w:multiLevelType w:val="hybridMultilevel"/>
    <w:tmpl w:val="6012F6FE"/>
    <w:lvl w:ilvl="0" w:tplc="AE86C21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301A0C"/>
    <w:multiLevelType w:val="hybridMultilevel"/>
    <w:tmpl w:val="DD0A4738"/>
    <w:lvl w:ilvl="0" w:tplc="C26C3E3C">
      <w:start w:val="1"/>
      <w:numFmt w:val="decimal"/>
      <w:pStyle w:val="Heading1"/>
      <w:lvlText w:val="%1"/>
      <w:lvlJc w:val="left"/>
      <w:pPr>
        <w:ind w:left="360" w:hanging="360"/>
      </w:pPr>
      <w:rPr>
        <w:rFonts w:asciiTheme="minorHAnsi" w:hAnsiTheme="minorHAnsi" w:hint="default"/>
        <w:b w:val="0"/>
        <w:sz w:val="28"/>
        <w:szCs w:val="28"/>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A7B23"/>
    <w:multiLevelType w:val="hybridMultilevel"/>
    <w:tmpl w:val="2C40E50C"/>
    <w:lvl w:ilvl="0" w:tplc="8D9614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811DC8"/>
    <w:multiLevelType w:val="multilevel"/>
    <w:tmpl w:val="90A69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4D14FE"/>
    <w:multiLevelType w:val="hybridMultilevel"/>
    <w:tmpl w:val="A60A749E"/>
    <w:lvl w:ilvl="0" w:tplc="345E78E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0"/>
  </w:num>
  <w:num w:numId="5">
    <w:abstractNumId w:val="0"/>
  </w:num>
  <w:num w:numId="6">
    <w:abstractNumId w:val="0"/>
  </w:num>
  <w:num w:numId="7">
    <w:abstractNumId w:val="3"/>
  </w:num>
  <w:num w:numId="8">
    <w:abstractNumId w:val="4"/>
  </w:num>
  <w:num w:numId="9">
    <w:abstractNumId w:val="0"/>
  </w:num>
  <w:num w:numId="10">
    <w:abstractNumId w:val="2"/>
  </w:num>
  <w:num w:numId="11">
    <w:abstractNumId w:val="2"/>
  </w:num>
  <w:num w:numId="12">
    <w:abstractNumId w:val="1"/>
  </w:num>
  <w:num w:numId="13">
    <w:abstractNumId w:val="1"/>
    <w:lvlOverride w:ilvl="1">
      <w:lvl w:ilvl="1">
        <w:numFmt w:val="lowerRoman"/>
        <w:lvlText w:val="%2."/>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F09"/>
    <w:rsid w:val="0004002E"/>
    <w:rsid w:val="00040287"/>
    <w:rsid w:val="00046F04"/>
    <w:rsid w:val="000708BA"/>
    <w:rsid w:val="000A1CEF"/>
    <w:rsid w:val="0011659D"/>
    <w:rsid w:val="00116AAC"/>
    <w:rsid w:val="00120808"/>
    <w:rsid w:val="00157CCF"/>
    <w:rsid w:val="001628B6"/>
    <w:rsid w:val="00181E21"/>
    <w:rsid w:val="00190A7E"/>
    <w:rsid w:val="001B67EF"/>
    <w:rsid w:val="002149B2"/>
    <w:rsid w:val="0024206E"/>
    <w:rsid w:val="0028306D"/>
    <w:rsid w:val="00397B56"/>
    <w:rsid w:val="003B7876"/>
    <w:rsid w:val="003D3546"/>
    <w:rsid w:val="004129CF"/>
    <w:rsid w:val="00420E8A"/>
    <w:rsid w:val="00463D5E"/>
    <w:rsid w:val="004D4A78"/>
    <w:rsid w:val="004D6D12"/>
    <w:rsid w:val="00566612"/>
    <w:rsid w:val="00566B88"/>
    <w:rsid w:val="00577785"/>
    <w:rsid w:val="00583A91"/>
    <w:rsid w:val="00595D8D"/>
    <w:rsid w:val="006B5994"/>
    <w:rsid w:val="007367A0"/>
    <w:rsid w:val="0078194E"/>
    <w:rsid w:val="007C2627"/>
    <w:rsid w:val="0080193F"/>
    <w:rsid w:val="008D30E7"/>
    <w:rsid w:val="008D46E6"/>
    <w:rsid w:val="008D6FA5"/>
    <w:rsid w:val="008E693A"/>
    <w:rsid w:val="00946E3A"/>
    <w:rsid w:val="009B2E1C"/>
    <w:rsid w:val="00A663DD"/>
    <w:rsid w:val="00A91BF3"/>
    <w:rsid w:val="00AC7AAB"/>
    <w:rsid w:val="00AD165A"/>
    <w:rsid w:val="00B1593E"/>
    <w:rsid w:val="00B32693"/>
    <w:rsid w:val="00B70056"/>
    <w:rsid w:val="00BC1968"/>
    <w:rsid w:val="00C8440E"/>
    <w:rsid w:val="00C94F9C"/>
    <w:rsid w:val="00CC12B7"/>
    <w:rsid w:val="00CD488A"/>
    <w:rsid w:val="00DC015B"/>
    <w:rsid w:val="00DD14F8"/>
    <w:rsid w:val="00DF4E73"/>
    <w:rsid w:val="00E10774"/>
    <w:rsid w:val="00E3167B"/>
    <w:rsid w:val="00E53E32"/>
    <w:rsid w:val="00E65C1C"/>
    <w:rsid w:val="00E66029"/>
    <w:rsid w:val="00ED1C94"/>
    <w:rsid w:val="00ED2933"/>
    <w:rsid w:val="00F452BA"/>
    <w:rsid w:val="00F5143E"/>
    <w:rsid w:val="00F62F09"/>
    <w:rsid w:val="00F665EA"/>
    <w:rsid w:val="00F9303E"/>
    <w:rsid w:val="00F941AB"/>
    <w:rsid w:val="00FF25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2D2FA"/>
  <w15:chartTrackingRefBased/>
  <w15:docId w15:val="{B4A0E600-8D46-4A64-A74B-4278315B03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eastAsia="Times New Roma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FA5"/>
    <w:pPr>
      <w:widowControl w:val="0"/>
      <w:suppressAutoHyphens/>
      <w:spacing w:after="240" w:line="264" w:lineRule="auto"/>
    </w:pPr>
    <w:rPr>
      <w:rFonts w:cs="Calibri"/>
      <w:noProof/>
      <w:sz w:val="21"/>
      <w:lang w:val="en-GB"/>
    </w:rPr>
  </w:style>
  <w:style w:type="paragraph" w:styleId="Heading1">
    <w:name w:val="heading 1"/>
    <w:basedOn w:val="Normal"/>
    <w:next w:val="Normal"/>
    <w:link w:val="Heading1Char"/>
    <w:autoRedefine/>
    <w:uiPriority w:val="9"/>
    <w:qFormat/>
    <w:rsid w:val="00F62F09"/>
    <w:pPr>
      <w:keepNext/>
      <w:keepLines/>
      <w:numPr>
        <w:numId w:val="1"/>
      </w:numPr>
      <w:tabs>
        <w:tab w:val="num" w:pos="0"/>
      </w:tabs>
      <w:spacing w:before="480"/>
      <w:ind w:left="0" w:firstLine="0"/>
      <w:outlineLvl w:val="0"/>
    </w:pPr>
    <w:rPr>
      <w:b/>
      <w:bCs/>
      <w:color w:val="365F91"/>
      <w:sz w:val="28"/>
      <w:szCs w:val="28"/>
      <w:lang w:val="nb-NO" w:eastAsia="x-none"/>
    </w:rPr>
  </w:style>
  <w:style w:type="paragraph" w:styleId="Heading2">
    <w:name w:val="heading 2"/>
    <w:basedOn w:val="Normal"/>
    <w:next w:val="Normal"/>
    <w:link w:val="Heading2Char"/>
    <w:uiPriority w:val="9"/>
    <w:unhideWhenUsed/>
    <w:qFormat/>
    <w:rsid w:val="00157CCF"/>
    <w:pPr>
      <w:keepNext/>
      <w:keepLines/>
      <w:spacing w:before="200" w:line="240" w:lineRule="auto"/>
      <w:outlineLvl w:val="1"/>
    </w:pPr>
    <w:rPr>
      <w:rFonts w:cstheme="minorBidi"/>
      <w:b/>
      <w:bCs/>
      <w:sz w:val="24"/>
      <w:lang w:val="nb-NO"/>
    </w:rPr>
  </w:style>
  <w:style w:type="paragraph" w:styleId="Heading3">
    <w:name w:val="heading 3"/>
    <w:basedOn w:val="Normal"/>
    <w:next w:val="Normal"/>
    <w:link w:val="Heading3Char"/>
    <w:uiPriority w:val="9"/>
    <w:unhideWhenUsed/>
    <w:qFormat/>
    <w:rsid w:val="00157CCF"/>
    <w:pPr>
      <w:keepNext/>
      <w:keepLines/>
      <w:spacing w:before="40" w:after="0"/>
      <w:outlineLvl w:val="2"/>
    </w:pPr>
    <w:rPr>
      <w:rFonts w:eastAsiaTheme="majorEastAsia" w:cstheme="majorBidi"/>
      <w:i/>
      <w:sz w:val="24"/>
      <w:szCs w:val="24"/>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1"/>
    <w:autoRedefine/>
    <w:uiPriority w:val="99"/>
    <w:rsid w:val="00F452BA"/>
    <w:pPr>
      <w:spacing w:after="0"/>
    </w:pPr>
    <w:rPr>
      <w:rFonts w:ascii="Calibri" w:hAnsi="Calibri"/>
      <w:noProof w:val="0"/>
      <w:lang w:val="nb-NO"/>
    </w:rPr>
  </w:style>
  <w:style w:type="character" w:customStyle="1" w:styleId="FootnoteTextChar">
    <w:name w:val="Footnote Text Char"/>
    <w:uiPriority w:val="99"/>
    <w:rsid w:val="00566612"/>
  </w:style>
  <w:style w:type="paragraph" w:styleId="ListParagraph">
    <w:name w:val="List Paragraph"/>
    <w:basedOn w:val="Normal"/>
    <w:link w:val="ListParagraphChar"/>
    <w:uiPriority w:val="34"/>
    <w:qFormat/>
    <w:rsid w:val="00F5143E"/>
    <w:pPr>
      <w:widowControl/>
      <w:numPr>
        <w:numId w:val="10"/>
      </w:numPr>
      <w:suppressAutoHyphens w:val="0"/>
      <w:spacing w:after="0" w:line="240" w:lineRule="auto"/>
      <w:jc w:val="both"/>
    </w:pPr>
    <w:rPr>
      <w:rFonts w:eastAsia="Calibri"/>
      <w:lang w:eastAsia="x-none"/>
    </w:rPr>
  </w:style>
  <w:style w:type="character" w:customStyle="1" w:styleId="ListParagraphChar">
    <w:name w:val="List Paragraph Char"/>
    <w:basedOn w:val="DefaultParagraphFont"/>
    <w:link w:val="ListParagraph"/>
    <w:uiPriority w:val="34"/>
    <w:locked/>
    <w:rsid w:val="00F5143E"/>
    <w:rPr>
      <w:rFonts w:eastAsia="Calibri" w:cs="Calibri"/>
      <w:noProof/>
      <w:lang w:val="en-GB" w:eastAsia="x-none"/>
    </w:rPr>
  </w:style>
  <w:style w:type="character" w:customStyle="1" w:styleId="Heading2Char">
    <w:name w:val="Heading 2 Char"/>
    <w:link w:val="Heading2"/>
    <w:uiPriority w:val="9"/>
    <w:rsid w:val="00157CCF"/>
    <w:rPr>
      <w:rFonts w:eastAsia="Times New Roman"/>
      <w:b/>
      <w:bCs/>
      <w:sz w:val="24"/>
    </w:rPr>
  </w:style>
  <w:style w:type="character" w:customStyle="1" w:styleId="Heading1Char">
    <w:name w:val="Heading 1 Char"/>
    <w:link w:val="Heading1"/>
    <w:uiPriority w:val="9"/>
    <w:rsid w:val="00F62F09"/>
    <w:rPr>
      <w:rFonts w:cs="Calibri" w:asciiTheme="majorHAnsi" w:hAnsiTheme="majorHAnsi"/>
      <w:b/>
      <w:bCs/>
      <w:noProof/>
      <w:color w:val="365F91"/>
      <w:sz w:val="28"/>
      <w:szCs w:val="28"/>
      <w:lang w:eastAsia="x-none"/>
    </w:rPr>
  </w:style>
  <w:style w:type="paragraph" w:styleId="NoSpacing">
    <w:name w:val="No Spacing"/>
    <w:uiPriority w:val="1"/>
    <w:qFormat/>
    <w:rsid w:val="007367A0"/>
    <w:pPr>
      <w:widowControl w:val="0"/>
      <w:suppressAutoHyphens/>
      <w:spacing w:after="0" w:line="240" w:lineRule="auto"/>
    </w:pPr>
    <w:rPr>
      <w:rFonts w:cs="Calibri" w:asciiTheme="majorHAnsi" w:hAnsiTheme="majorHAnsi"/>
      <w:lang w:val="en-GB" w:bidi="en-US"/>
    </w:rPr>
  </w:style>
  <w:style w:type="character" w:customStyle="1" w:styleId="Heading3Char">
    <w:name w:val="Heading 3 Char"/>
    <w:basedOn w:val="DefaultParagraphFont"/>
    <w:link w:val="Heading3"/>
    <w:uiPriority w:val="9"/>
    <w:rsid w:val="00157CCF"/>
    <w:rPr>
      <w:rFonts w:eastAsiaTheme="majorEastAsia" w:cstheme="majorBidi"/>
      <w:i/>
      <w:sz w:val="24"/>
      <w:szCs w:val="24"/>
    </w:rPr>
  </w:style>
  <w:style w:type="paragraph" w:styleId="Caption">
    <w:name w:val="caption"/>
    <w:basedOn w:val="Normal"/>
    <w:next w:val="Normal"/>
    <w:autoRedefine/>
    <w:uiPriority w:val="35"/>
    <w:unhideWhenUsed/>
    <w:qFormat/>
    <w:rsid w:val="00040287"/>
    <w:pPr>
      <w:keepNext/>
      <w:spacing w:after="200" w:line="240" w:lineRule="auto"/>
      <w:jc w:val="center"/>
    </w:pPr>
    <w:rPr>
      <w:i/>
      <w:iCs/>
      <w:color w:val="44546A" w:themeColor="text2"/>
      <w:sz w:val="20"/>
      <w:szCs w:val="18"/>
    </w:rPr>
  </w:style>
  <w:style w:type="character" w:customStyle="1" w:styleId="FootnoteTextChar1">
    <w:name w:val="Footnote Text Char1"/>
    <w:basedOn w:val="DefaultParagraphFont"/>
    <w:link w:val="FootnoteText"/>
    <w:uiPriority w:val="99"/>
    <w:rsid w:val="00F452BA"/>
    <w:rPr>
      <w:rFonts w:ascii="Calibri" w:hAnsi="Calibri" w:cs="Calibri"/>
    </w:rPr>
  </w:style>
  <w:style w:type="paragraph" w:styleId="Quote">
    <w:name w:val="Quote"/>
    <w:basedOn w:val="Normal"/>
    <w:next w:val="Normal"/>
    <w:link w:val="QuoteChar1"/>
    <w:autoRedefine/>
    <w:uiPriority w:val="29"/>
    <w:qFormat/>
    <w:rsid w:val="008E693A"/>
    <w:pPr>
      <w:ind w:left="720"/>
    </w:pPr>
    <w:rPr>
      <w:i/>
      <w:iCs/>
      <w:color w:val="000000"/>
      <w:lang w:val="nb-NO"/>
    </w:rPr>
  </w:style>
  <w:style w:type="character" w:customStyle="1" w:styleId="QuoteChar">
    <w:name w:val="Quote Char"/>
    <w:basedOn w:val="DefaultParagraphFont"/>
    <w:uiPriority w:val="29"/>
    <w:rsid w:val="001B67EF"/>
    <w:rPr>
      <w:iCs/>
    </w:rPr>
  </w:style>
  <w:style w:type="paragraph" w:styleId="TOC1">
    <w:name w:val="toc 1"/>
    <w:basedOn w:val="Normal"/>
    <w:next w:val="Normal"/>
    <w:autoRedefine/>
    <w:uiPriority w:val="39"/>
    <w:unhideWhenUsed/>
    <w:qFormat/>
    <w:rsid w:val="003D3546"/>
    <w:pPr>
      <w:pBdr>
        <w:bottom w:val="dashSmallGap" w:color="auto" w:sz="4" w:space="1"/>
      </w:pBdr>
      <w:spacing w:before="120" w:after="0"/>
    </w:pPr>
    <w:rPr>
      <w:b/>
      <w:bCs/>
      <w:sz w:val="24"/>
      <w:szCs w:val="24"/>
    </w:rPr>
  </w:style>
  <w:style w:type="paragraph" w:styleId="TOC2">
    <w:name w:val="toc 2"/>
    <w:basedOn w:val="Normal"/>
    <w:next w:val="Normal"/>
    <w:autoRedefine/>
    <w:uiPriority w:val="39"/>
    <w:unhideWhenUsed/>
    <w:qFormat/>
    <w:rsid w:val="003D3546"/>
    <w:pPr>
      <w:spacing w:after="0"/>
      <w:ind w:left="220"/>
    </w:pPr>
    <w:rPr>
      <w:b/>
      <w:bCs/>
    </w:rPr>
  </w:style>
  <w:style w:type="paragraph" w:styleId="TOC3">
    <w:name w:val="toc 3"/>
    <w:basedOn w:val="Normal"/>
    <w:next w:val="Normal"/>
    <w:autoRedefine/>
    <w:uiPriority w:val="39"/>
    <w:unhideWhenUsed/>
    <w:qFormat/>
    <w:rsid w:val="003D3546"/>
    <w:pPr>
      <w:spacing w:after="0"/>
      <w:ind w:left="440"/>
    </w:pPr>
  </w:style>
  <w:style w:type="character" w:customStyle="1" w:styleId="QuoteChar1">
    <w:name w:val="Quote Char1"/>
    <w:basedOn w:val="DefaultParagraphFont"/>
    <w:link w:val="Quote"/>
    <w:uiPriority w:val="29"/>
    <w:rsid w:val="008E693A"/>
    <w:rPr>
      <w:rFonts w:cs="Calibri" w:asciiTheme="majorHAnsi" w:hAnsiTheme="majorHAnsi"/>
      <w:i/>
      <w:iCs/>
      <w:color w:val="000000"/>
    </w:rPr>
  </w:style>
  <w:style w:type="paragraph" w:styleId="NormalWeb">
    <w:name w:val="Normal (Web)"/>
    <w:basedOn w:val="Normal"/>
    <w:uiPriority w:val="99"/>
    <w:semiHidden/>
    <w:unhideWhenUsed/>
    <w:rsid w:val="00F62F09"/>
    <w:pPr>
      <w:widowControl/>
      <w:suppressAutoHyphens w:val="0"/>
      <w:spacing w:before="100" w:beforeAutospacing="1" w:after="100" w:afterAutospacing="1" w:line="240" w:lineRule="auto"/>
    </w:pPr>
    <w:rPr>
      <w:rFonts w:ascii="Times New Roman" w:hAnsi="Times New Roman" w:cs="Times New Roman"/>
      <w:noProof w:val="0"/>
      <w:sz w:val="24"/>
      <w:szCs w:val="24"/>
      <w:lang w:eastAsia="en-GB"/>
    </w:rPr>
  </w:style>
  <w:style w:type="character" w:styleId="Hyperlink">
    <w:name w:val="Hyperlink"/>
    <w:basedOn w:val="DefaultParagraphFont"/>
    <w:uiPriority w:val="99"/>
    <w:unhideWhenUsed/>
    <w:rsid w:val="00F62F09"/>
    <w:rPr>
      <w:color w:val="0000FF"/>
      <w:u w:val="single"/>
    </w:rPr>
  </w:style>
  <w:style w:type="paragraph" w:styleId="Header">
    <w:name w:val="header"/>
    <w:basedOn w:val="Normal"/>
    <w:link w:val="HeaderChar"/>
    <w:uiPriority w:val="99"/>
    <w:unhideWhenUsed/>
    <w:rsid w:val="00F62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F09"/>
    <w:rPr>
      <w:rFonts w:cs="Calibri" w:asciiTheme="majorHAnsi" w:hAnsiTheme="majorHAnsi"/>
      <w:noProof/>
      <w:lang w:val="en-GB"/>
    </w:rPr>
  </w:style>
  <w:style w:type="paragraph" w:styleId="Footer">
    <w:name w:val="footer"/>
    <w:basedOn w:val="Normal"/>
    <w:link w:val="FooterChar"/>
    <w:uiPriority w:val="99"/>
    <w:unhideWhenUsed/>
    <w:rsid w:val="00F62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F09"/>
    <w:rPr>
      <w:rFonts w:cs="Calibri" w:asciiTheme="majorHAnsi" w:hAnsiTheme="majorHAnsi"/>
      <w:noProof/>
      <w:lang w:val="en-GB"/>
    </w:rPr>
  </w:style>
  <w:style w:type="character" w:styleId="CommentReference">
    <w:name w:val="annotation reference"/>
    <w:basedOn w:val="DefaultParagraphFont"/>
    <w:uiPriority w:val="99"/>
    <w:semiHidden/>
    <w:unhideWhenUsed/>
    <w:rsid w:val="00F62F09"/>
    <w:rPr>
      <w:sz w:val="16"/>
      <w:szCs w:val="16"/>
    </w:rPr>
  </w:style>
  <w:style w:type="paragraph" w:styleId="CommentText">
    <w:name w:val="annotation text"/>
    <w:basedOn w:val="Normal"/>
    <w:link w:val="CommentTextChar"/>
    <w:uiPriority w:val="99"/>
    <w:semiHidden/>
    <w:unhideWhenUsed/>
    <w:rsid w:val="00F62F09"/>
    <w:pPr>
      <w:spacing w:line="240" w:lineRule="auto"/>
    </w:pPr>
    <w:rPr>
      <w:sz w:val="20"/>
      <w:szCs w:val="20"/>
    </w:rPr>
  </w:style>
  <w:style w:type="character" w:customStyle="1" w:styleId="CommentTextChar">
    <w:name w:val="Comment Text Char"/>
    <w:basedOn w:val="DefaultParagraphFont"/>
    <w:link w:val="CommentText"/>
    <w:uiPriority w:val="99"/>
    <w:semiHidden/>
    <w:rsid w:val="00F62F09"/>
    <w:rPr>
      <w:rFonts w:cs="Calibri" w:asciiTheme="majorHAnsi" w:hAnsiTheme="majorHAnsi"/>
      <w:noProof/>
      <w:sz w:val="20"/>
      <w:szCs w:val="20"/>
      <w:lang w:val="en-GB"/>
    </w:rPr>
  </w:style>
  <w:style w:type="paragraph" w:styleId="CommentSubject">
    <w:name w:val="annotation subject"/>
    <w:basedOn w:val="CommentText"/>
    <w:next w:val="CommentText"/>
    <w:link w:val="CommentSubjectChar"/>
    <w:uiPriority w:val="99"/>
    <w:semiHidden/>
    <w:unhideWhenUsed/>
    <w:rsid w:val="00F62F09"/>
    <w:rPr>
      <w:b/>
      <w:bCs/>
    </w:rPr>
  </w:style>
  <w:style w:type="character" w:customStyle="1" w:styleId="CommentSubjectChar">
    <w:name w:val="Comment Subject Char"/>
    <w:basedOn w:val="CommentTextChar"/>
    <w:link w:val="CommentSubject"/>
    <w:uiPriority w:val="99"/>
    <w:semiHidden/>
    <w:rsid w:val="00F62F09"/>
    <w:rPr>
      <w:rFonts w:cs="Calibri" w:asciiTheme="majorHAnsi" w:hAnsiTheme="majorHAnsi"/>
      <w:b/>
      <w:bCs/>
      <w:noProof/>
      <w:sz w:val="20"/>
      <w:szCs w:val="20"/>
      <w:lang w:val="en-GB"/>
    </w:rPr>
  </w:style>
  <w:style w:type="paragraph" w:styleId="BalloonText">
    <w:name w:val="Balloon Text"/>
    <w:basedOn w:val="Normal"/>
    <w:link w:val="BalloonTextChar"/>
    <w:uiPriority w:val="99"/>
    <w:semiHidden/>
    <w:unhideWhenUsed/>
    <w:rsid w:val="00F62F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09"/>
    <w:rPr>
      <w:rFonts w:ascii="Segoe UI" w:hAnsi="Segoe UI" w:cs="Segoe UI"/>
      <w:noProof/>
      <w:sz w:val="18"/>
      <w:szCs w:val="18"/>
      <w:lang w:val="en-GB"/>
    </w:rPr>
  </w:style>
  <w:style w:type="character" w:styleId="FootnoteReference">
    <w:name w:val="footnote reference"/>
    <w:basedOn w:val="DefaultParagraphFont"/>
    <w:uiPriority w:val="99"/>
    <w:semiHidden/>
    <w:unhideWhenUsed/>
    <w:rsid w:val="00E65C1C"/>
    <w:rPr>
      <w:vertAlign w:val="superscript"/>
    </w:rPr>
  </w:style>
  <w:style w:type="character" w:styleId="UnresolvedMention">
    <w:name w:val="Unresolved Mention"/>
    <w:basedOn w:val="DefaultParagraphFont"/>
    <w:uiPriority w:val="99"/>
    <w:semiHidden/>
    <w:unhideWhenUsed/>
    <w:rsid w:val="00116A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443149">
      <w:bodyDiv w:val="1"/>
      <w:marLeft w:val="0"/>
      <w:marRight w:val="0"/>
      <w:marTop w:val="0"/>
      <w:marBottom w:val="0"/>
      <w:divBdr>
        <w:top w:val="none" w:sz="0" w:space="0" w:color="auto"/>
        <w:left w:val="none" w:sz="0" w:space="0" w:color="auto"/>
        <w:bottom w:val="none" w:sz="0" w:space="0" w:color="auto"/>
        <w:right w:val="none" w:sz="0" w:space="0" w:color="auto"/>
      </w:divBdr>
    </w:div>
    <w:div w:id="21357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ti.org/document/standard" TargetMode="External"/><Relationship Id="rId18" Type="http://schemas.openxmlformats.org/officeDocument/2006/relationships/image" Target="media/image2.png"/><Relationship Id="rId26" Type="http://schemas.openxmlformats.org/officeDocument/2006/relationships/hyperlink" Target="mailto:secretariat@eiti.org" TargetMode="External"/><Relationship Id="rId39" Type="http://schemas.openxmlformats.org/officeDocument/2006/relationships/hyperlink" Target="mailto:cclaussen@eiti.org" TargetMode="External"/><Relationship Id="rId21" Type="http://schemas.openxmlformats.org/officeDocument/2006/relationships/image" Target="media/image5.png"/><Relationship Id="rId34" Type="http://schemas.openxmlformats.org/officeDocument/2006/relationships/hyperlink" Target="http://sierraleone.revenuesystems.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iti.org/document/mainstreaming-mapping-exercise" TargetMode="External"/><Relationship Id="rId20" Type="http://schemas.openxmlformats.org/officeDocument/2006/relationships/image" Target="media/image4.png"/><Relationship Id="rId29" Type="http://schemas.openxmlformats.org/officeDocument/2006/relationships/hyperlink" Target="https://eiti.org/kazakhsta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iti.org/document/standard" TargetMode="External"/><Relationship Id="rId24" Type="http://schemas.openxmlformats.org/officeDocument/2006/relationships/image" Target="media/image8.png"/><Relationship Id="rId32" Type="http://schemas.openxmlformats.org/officeDocument/2006/relationships/hyperlink" Target="https://e-reporting.eitimongolia.mn/" TargetMode="External"/><Relationship Id="rId37" Type="http://schemas.openxmlformats.org/officeDocument/2006/relationships/hyperlink" Target="https://eitird.mem.gob.do/wp-content/uploads/2017/06/EITI-Rep%C3%BAblica-Dominicana-Informe-2015.pdf"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iti.org/document/terms-of-reference-for-mainstreaming-feasibility-study" TargetMode="External"/><Relationship Id="rId23" Type="http://schemas.openxmlformats.org/officeDocument/2006/relationships/image" Target="media/image7.png"/><Relationship Id="rId28" Type="http://schemas.openxmlformats.org/officeDocument/2006/relationships/hyperlink" Target="http://norskpetroleum.no/en/" TargetMode="External"/><Relationship Id="rId36" Type="http://schemas.openxmlformats.org/officeDocument/2006/relationships/hyperlink" Target="https://eiti.org/dominican-republic"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egsu.energo.gov.kz/webapp/pages/home.js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iti.org/document/agreed-upon-procedure-for-mainstreamed-disclosures" TargetMode="External"/><Relationship Id="rId22" Type="http://schemas.openxmlformats.org/officeDocument/2006/relationships/image" Target="media/image6.png"/><Relationship Id="rId27" Type="http://schemas.openxmlformats.org/officeDocument/2006/relationships/hyperlink" Target="https://eiti.org/BD/2017-48" TargetMode="External"/><Relationship Id="rId30" Type="http://schemas.openxmlformats.org/officeDocument/2006/relationships/hyperlink" Target="https://eiti.org/mongolia" TargetMode="External"/><Relationship Id="rId35" Type="http://schemas.openxmlformats.org/officeDocument/2006/relationships/hyperlink" Target="https://eiti.org/dominican-republic"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iti.org/document/standard"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liberia.revenuesystems.org/" TargetMode="External"/><Relationship Id="rId38" Type="http://schemas.openxmlformats.org/officeDocument/2006/relationships/hyperlink" Target="mailto:sbartlett@eiti.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iti.org/document/mainstreaming-mapping-exerci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2621D-F6D3-4C3A-B11D-60E63123DC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4804D0-0AAD-4779-9FEB-1C03598E2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76FA6A-AFA6-4C2A-B32D-FE2755986734}">
  <ds:schemaRefs>
    <ds:schemaRef ds:uri="http://schemas.microsoft.com/sharepoint/v3/contenttype/forms"/>
  </ds:schemaRefs>
</ds:datastoreItem>
</file>

<file path=customXml/itemProps4.xml><?xml version="1.0" encoding="utf-8"?>
<ds:datastoreItem xmlns:ds="http://schemas.openxmlformats.org/officeDocument/2006/customXml" ds:itemID="{AB8E2357-9F7E-453E-A6E4-EB1ED5F0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Claussen</dc:creator>
  <cp:keywords/>
  <dc:description/>
  <cp:lastModifiedBy>Christoffer Claussen</cp:lastModifiedBy>
  <cp:revision>5</cp:revision>
  <dcterms:created xsi:type="dcterms:W3CDTF">2017-11-16T13:17:00Z</dcterms:created>
  <dcterms:modified xsi:type="dcterms:W3CDTF">2017-11-16T14:00:00Z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