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F281A" w14:textId="143D4BCA" w:rsidR="0080333F" w:rsidRPr="00E04526" w:rsidRDefault="001A03BB" w:rsidP="00603CA3">
      <w:pPr>
        <w:pStyle w:val="Heading1"/>
        <w:numPr>
          <w:ilvl w:val="0"/>
          <w:numId w:val="0"/>
        </w:numPr>
        <w:rPr>
          <w:rFonts w:asciiTheme="majorHAnsi" w:hAnsiTheme="majorHAnsi"/>
          <w:b w:val="0"/>
          <w:szCs w:val="32"/>
        </w:rPr>
      </w:pPr>
      <w:bookmarkStart w:id="0" w:name="_Toc271971319"/>
      <w:r w:rsidRPr="00E04526">
        <w:rPr>
          <w:rFonts w:asciiTheme="majorHAnsi" w:hAnsiTheme="majorHAnsi"/>
          <w:b w:val="0"/>
          <w:szCs w:val="32"/>
        </w:rPr>
        <w:t xml:space="preserve">MODEL </w:t>
      </w:r>
      <w:r w:rsidR="00EA5D46" w:rsidRPr="00E04526">
        <w:rPr>
          <w:rFonts w:asciiTheme="majorHAnsi" w:hAnsiTheme="majorHAnsi"/>
          <w:b w:val="0"/>
          <w:szCs w:val="32"/>
        </w:rPr>
        <w:t>TERMS OF REFERENCE FOR AN EITI MULTI-STAKEHOLDER GROUP</w:t>
      </w:r>
      <w:bookmarkEnd w:id="0"/>
    </w:p>
    <w:p w14:paraId="19022784" w14:textId="77777777" w:rsidR="00C24970" w:rsidRPr="00E04526" w:rsidRDefault="00C24970" w:rsidP="00603CA3">
      <w:pPr>
        <w:pStyle w:val="TOCHeading"/>
        <w:numPr>
          <w:ilvl w:val="0"/>
          <w:numId w:val="0"/>
        </w:numPr>
        <w:ind w:left="360" w:hanging="360"/>
        <w:rPr>
          <w:rFonts w:asciiTheme="majorHAnsi" w:hAnsiTheme="majorHAnsi"/>
          <w:b w:val="0"/>
        </w:rPr>
      </w:pPr>
      <w:r w:rsidRPr="00E04526">
        <w:rPr>
          <w:rFonts w:asciiTheme="majorHAnsi" w:hAnsiTheme="majorHAnsi"/>
          <w:b w:val="0"/>
        </w:rPr>
        <w:t>Contents</w:t>
      </w:r>
    </w:p>
    <w:p w14:paraId="02B2C408" w14:textId="77777777" w:rsidR="00537099" w:rsidRPr="00E04526" w:rsidRDefault="00537099" w:rsidP="00537099">
      <w:pPr>
        <w:rPr>
          <w:rFonts w:asciiTheme="majorHAnsi" w:hAnsiTheme="majorHAnsi"/>
        </w:rPr>
      </w:pPr>
    </w:p>
    <w:p w14:paraId="421EA790" w14:textId="38CF18FC" w:rsidR="008E18B4" w:rsidRDefault="00BE3666">
      <w:pPr>
        <w:pStyle w:val="TOC1"/>
        <w:tabs>
          <w:tab w:val="right" w:leader="dot" w:pos="9628"/>
        </w:tabs>
        <w:rPr>
          <w:rFonts w:asciiTheme="minorHAnsi" w:eastAsiaTheme="minorEastAsia" w:hAnsiTheme="minorHAnsi" w:cstheme="minorBidi"/>
          <w:noProof/>
          <w:sz w:val="24"/>
          <w:szCs w:val="24"/>
          <w:lang w:val="en-US" w:eastAsia="ja-JP"/>
        </w:rPr>
      </w:pPr>
      <w:r w:rsidRPr="00E04526">
        <w:rPr>
          <w:rFonts w:asciiTheme="majorHAnsi" w:hAnsiTheme="majorHAnsi"/>
        </w:rPr>
        <w:fldChar w:fldCharType="begin"/>
      </w:r>
      <w:r w:rsidRPr="00E04526">
        <w:rPr>
          <w:rFonts w:asciiTheme="majorHAnsi" w:hAnsiTheme="majorHAnsi"/>
        </w:rPr>
        <w:instrText xml:space="preserve"> TOC \t "Heading 2;1;Heading 3;2" </w:instrText>
      </w:r>
      <w:r w:rsidRPr="00E04526">
        <w:rPr>
          <w:rFonts w:asciiTheme="majorHAnsi" w:hAnsiTheme="majorHAnsi"/>
        </w:rPr>
        <w:fldChar w:fldCharType="separate"/>
      </w:r>
      <w:r w:rsidR="008E18B4" w:rsidRPr="00940D5F">
        <w:rPr>
          <w:rFonts w:asciiTheme="majorHAnsi" w:hAnsiTheme="majorHAnsi"/>
          <w:noProof/>
          <w:lang w:val="en-US"/>
        </w:rPr>
        <w:t>1 Open statement on the purpose of the EITI</w:t>
      </w:r>
      <w:r w:rsidR="008E18B4">
        <w:rPr>
          <w:noProof/>
        </w:rPr>
        <w:tab/>
      </w:r>
      <w:r w:rsidR="008E18B4">
        <w:rPr>
          <w:noProof/>
        </w:rPr>
        <w:fldChar w:fldCharType="begin"/>
      </w:r>
      <w:r w:rsidR="008E18B4">
        <w:rPr>
          <w:noProof/>
        </w:rPr>
        <w:instrText xml:space="preserve"> PAGEREF _Toc325199320 \h </w:instrText>
      </w:r>
      <w:r w:rsidR="008E18B4">
        <w:rPr>
          <w:noProof/>
        </w:rPr>
      </w:r>
      <w:r w:rsidR="008E18B4">
        <w:rPr>
          <w:noProof/>
        </w:rPr>
        <w:fldChar w:fldCharType="separate"/>
      </w:r>
      <w:r w:rsidR="009B2FE9">
        <w:rPr>
          <w:noProof/>
        </w:rPr>
        <w:t>2</w:t>
      </w:r>
      <w:r w:rsidR="008E18B4">
        <w:rPr>
          <w:noProof/>
        </w:rPr>
        <w:fldChar w:fldCharType="end"/>
      </w:r>
    </w:p>
    <w:p w14:paraId="2D0F1C4D" w14:textId="65529D54" w:rsidR="008E18B4" w:rsidRDefault="008E18B4">
      <w:pPr>
        <w:pStyle w:val="TOC1"/>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2 Roles, rights and responsibilities of the MSG</w:t>
      </w:r>
      <w:r>
        <w:rPr>
          <w:noProof/>
        </w:rPr>
        <w:tab/>
      </w:r>
      <w:r>
        <w:rPr>
          <w:noProof/>
        </w:rPr>
        <w:fldChar w:fldCharType="begin"/>
      </w:r>
      <w:r>
        <w:rPr>
          <w:noProof/>
        </w:rPr>
        <w:instrText xml:space="preserve"> PAGEREF _Toc325199321 \h </w:instrText>
      </w:r>
      <w:r>
        <w:rPr>
          <w:noProof/>
        </w:rPr>
      </w:r>
      <w:r>
        <w:rPr>
          <w:noProof/>
        </w:rPr>
        <w:fldChar w:fldCharType="separate"/>
      </w:r>
      <w:r w:rsidR="009B2FE9">
        <w:rPr>
          <w:noProof/>
        </w:rPr>
        <w:t>2</w:t>
      </w:r>
      <w:r>
        <w:rPr>
          <w:noProof/>
        </w:rPr>
        <w:fldChar w:fldCharType="end"/>
      </w:r>
    </w:p>
    <w:p w14:paraId="37BD7969" w14:textId="69C6DDD5" w:rsidR="008E18B4" w:rsidRDefault="008E18B4">
      <w:pPr>
        <w:pStyle w:val="TOC2"/>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2.1 Responsibilities and functions of the MSG</w:t>
      </w:r>
      <w:r>
        <w:rPr>
          <w:noProof/>
        </w:rPr>
        <w:tab/>
      </w:r>
      <w:r>
        <w:rPr>
          <w:noProof/>
        </w:rPr>
        <w:fldChar w:fldCharType="begin"/>
      </w:r>
      <w:r>
        <w:rPr>
          <w:noProof/>
        </w:rPr>
        <w:instrText xml:space="preserve"> PAGEREF _Toc325199322 \h </w:instrText>
      </w:r>
      <w:r>
        <w:rPr>
          <w:noProof/>
        </w:rPr>
      </w:r>
      <w:r>
        <w:rPr>
          <w:noProof/>
        </w:rPr>
        <w:fldChar w:fldCharType="separate"/>
      </w:r>
      <w:r w:rsidR="009B2FE9">
        <w:rPr>
          <w:noProof/>
        </w:rPr>
        <w:t>2</w:t>
      </w:r>
      <w:r>
        <w:rPr>
          <w:noProof/>
        </w:rPr>
        <w:fldChar w:fldCharType="end"/>
      </w:r>
    </w:p>
    <w:p w14:paraId="7AE776E6" w14:textId="617E8508" w:rsidR="008E18B4" w:rsidRDefault="008E18B4">
      <w:pPr>
        <w:pStyle w:val="TOC2"/>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2.2 Responsibilities of MSG members</w:t>
      </w:r>
      <w:r>
        <w:rPr>
          <w:noProof/>
        </w:rPr>
        <w:tab/>
      </w:r>
      <w:r>
        <w:rPr>
          <w:noProof/>
        </w:rPr>
        <w:fldChar w:fldCharType="begin"/>
      </w:r>
      <w:r>
        <w:rPr>
          <w:noProof/>
        </w:rPr>
        <w:instrText xml:space="preserve"> PAGEREF _Toc325199323 \h </w:instrText>
      </w:r>
      <w:r>
        <w:rPr>
          <w:noProof/>
        </w:rPr>
      </w:r>
      <w:r>
        <w:rPr>
          <w:noProof/>
        </w:rPr>
        <w:fldChar w:fldCharType="separate"/>
      </w:r>
      <w:r w:rsidR="009B2FE9">
        <w:rPr>
          <w:noProof/>
        </w:rPr>
        <w:t>2</w:t>
      </w:r>
      <w:r>
        <w:rPr>
          <w:noProof/>
        </w:rPr>
        <w:fldChar w:fldCharType="end"/>
      </w:r>
    </w:p>
    <w:p w14:paraId="1CC959E1" w14:textId="35A72DA5" w:rsidR="008E18B4" w:rsidRDefault="008E18B4">
      <w:pPr>
        <w:pStyle w:val="TOC2"/>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2.3 MSG subgroups</w:t>
      </w:r>
      <w:r>
        <w:rPr>
          <w:noProof/>
        </w:rPr>
        <w:tab/>
      </w:r>
      <w:r>
        <w:rPr>
          <w:noProof/>
        </w:rPr>
        <w:fldChar w:fldCharType="begin"/>
      </w:r>
      <w:r>
        <w:rPr>
          <w:noProof/>
        </w:rPr>
        <w:instrText xml:space="preserve"> PAGEREF _Toc325199324 \h </w:instrText>
      </w:r>
      <w:r>
        <w:rPr>
          <w:noProof/>
        </w:rPr>
      </w:r>
      <w:r>
        <w:rPr>
          <w:noProof/>
        </w:rPr>
        <w:fldChar w:fldCharType="separate"/>
      </w:r>
      <w:r w:rsidR="009B2FE9">
        <w:rPr>
          <w:noProof/>
        </w:rPr>
        <w:t>2</w:t>
      </w:r>
      <w:r>
        <w:rPr>
          <w:noProof/>
        </w:rPr>
        <w:fldChar w:fldCharType="end"/>
      </w:r>
    </w:p>
    <w:p w14:paraId="7389DE2F" w14:textId="29415BCC" w:rsidR="008E18B4" w:rsidRDefault="008E18B4">
      <w:pPr>
        <w:pStyle w:val="TOC2"/>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2.4 National secretariat</w:t>
      </w:r>
      <w:r>
        <w:rPr>
          <w:noProof/>
        </w:rPr>
        <w:tab/>
      </w:r>
      <w:r>
        <w:rPr>
          <w:noProof/>
        </w:rPr>
        <w:fldChar w:fldCharType="begin"/>
      </w:r>
      <w:r>
        <w:rPr>
          <w:noProof/>
        </w:rPr>
        <w:instrText xml:space="preserve"> PAGEREF _Toc325199325 \h </w:instrText>
      </w:r>
      <w:r>
        <w:rPr>
          <w:noProof/>
        </w:rPr>
      </w:r>
      <w:r>
        <w:rPr>
          <w:noProof/>
        </w:rPr>
        <w:fldChar w:fldCharType="separate"/>
      </w:r>
      <w:r w:rsidR="009B2FE9">
        <w:rPr>
          <w:noProof/>
        </w:rPr>
        <w:t>3</w:t>
      </w:r>
      <w:r>
        <w:rPr>
          <w:noProof/>
        </w:rPr>
        <w:fldChar w:fldCharType="end"/>
      </w:r>
    </w:p>
    <w:p w14:paraId="0B1D9BED" w14:textId="745019D8" w:rsidR="008E18B4" w:rsidRDefault="008E18B4">
      <w:pPr>
        <w:pStyle w:val="TOC2"/>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2.5 Code of conduct</w:t>
      </w:r>
      <w:r>
        <w:rPr>
          <w:noProof/>
        </w:rPr>
        <w:tab/>
      </w:r>
      <w:r>
        <w:rPr>
          <w:noProof/>
        </w:rPr>
        <w:fldChar w:fldCharType="begin"/>
      </w:r>
      <w:r>
        <w:rPr>
          <w:noProof/>
        </w:rPr>
        <w:instrText xml:space="preserve"> PAGEREF _Toc325199326 \h </w:instrText>
      </w:r>
      <w:r>
        <w:rPr>
          <w:noProof/>
        </w:rPr>
      </w:r>
      <w:r>
        <w:rPr>
          <w:noProof/>
        </w:rPr>
        <w:fldChar w:fldCharType="separate"/>
      </w:r>
      <w:r w:rsidR="009B2FE9">
        <w:rPr>
          <w:noProof/>
        </w:rPr>
        <w:t>3</w:t>
      </w:r>
      <w:r>
        <w:rPr>
          <w:noProof/>
        </w:rPr>
        <w:fldChar w:fldCharType="end"/>
      </w:r>
    </w:p>
    <w:p w14:paraId="09F3877A" w14:textId="5230A7C4" w:rsidR="008E18B4" w:rsidRDefault="008E18B4">
      <w:pPr>
        <w:pStyle w:val="TOC2"/>
        <w:tabs>
          <w:tab w:val="right" w:leader="dot" w:pos="9628"/>
        </w:tabs>
        <w:rPr>
          <w:rFonts w:asciiTheme="minorHAnsi" w:eastAsiaTheme="minorEastAsia" w:hAnsiTheme="minorHAnsi" w:cstheme="minorBidi"/>
          <w:noProof/>
          <w:sz w:val="24"/>
          <w:szCs w:val="24"/>
          <w:lang w:val="en-US" w:eastAsia="ja-JP"/>
        </w:rPr>
      </w:pPr>
      <w:r w:rsidRPr="00940D5F">
        <w:rPr>
          <w:rFonts w:ascii="Myriad Pro" w:hAnsi="Myriad Pro"/>
          <w:noProof/>
          <w:lang w:val="en-US"/>
        </w:rPr>
        <w:t xml:space="preserve">2.6 </w:t>
      </w:r>
      <w:r w:rsidRPr="00940D5F">
        <w:rPr>
          <w:rFonts w:asciiTheme="majorHAnsi" w:hAnsiTheme="majorHAnsi"/>
          <w:noProof/>
          <w:lang w:val="en-US"/>
        </w:rPr>
        <w:t>Payments</w:t>
      </w:r>
      <w:r>
        <w:rPr>
          <w:noProof/>
        </w:rPr>
        <w:tab/>
      </w:r>
      <w:r>
        <w:rPr>
          <w:noProof/>
        </w:rPr>
        <w:fldChar w:fldCharType="begin"/>
      </w:r>
      <w:r>
        <w:rPr>
          <w:noProof/>
        </w:rPr>
        <w:instrText xml:space="preserve"> PAGEREF _Toc325199327 \h </w:instrText>
      </w:r>
      <w:r>
        <w:rPr>
          <w:noProof/>
        </w:rPr>
      </w:r>
      <w:r>
        <w:rPr>
          <w:noProof/>
        </w:rPr>
        <w:fldChar w:fldCharType="separate"/>
      </w:r>
      <w:r w:rsidR="009B2FE9">
        <w:rPr>
          <w:noProof/>
        </w:rPr>
        <w:t>4</w:t>
      </w:r>
      <w:r>
        <w:rPr>
          <w:noProof/>
        </w:rPr>
        <w:fldChar w:fldCharType="end"/>
      </w:r>
    </w:p>
    <w:p w14:paraId="5EA10585" w14:textId="4BD79A78" w:rsidR="008E18B4" w:rsidRDefault="008E18B4">
      <w:pPr>
        <w:pStyle w:val="TOC1"/>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3 MSG membership</w:t>
      </w:r>
      <w:r>
        <w:rPr>
          <w:noProof/>
        </w:rPr>
        <w:tab/>
      </w:r>
      <w:r>
        <w:rPr>
          <w:noProof/>
        </w:rPr>
        <w:fldChar w:fldCharType="begin"/>
      </w:r>
      <w:r>
        <w:rPr>
          <w:noProof/>
        </w:rPr>
        <w:instrText xml:space="preserve"> PAGEREF _Toc325199328 \h </w:instrText>
      </w:r>
      <w:r>
        <w:rPr>
          <w:noProof/>
        </w:rPr>
      </w:r>
      <w:r>
        <w:rPr>
          <w:noProof/>
        </w:rPr>
        <w:fldChar w:fldCharType="separate"/>
      </w:r>
      <w:r w:rsidR="009B2FE9">
        <w:rPr>
          <w:noProof/>
        </w:rPr>
        <w:t>4</w:t>
      </w:r>
      <w:r>
        <w:rPr>
          <w:noProof/>
        </w:rPr>
        <w:fldChar w:fldCharType="end"/>
      </w:r>
    </w:p>
    <w:p w14:paraId="625DB3FA" w14:textId="2630F2C9" w:rsidR="008E18B4" w:rsidRDefault="008E18B4">
      <w:pPr>
        <w:pStyle w:val="TOC2"/>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3.1 Nominations and terms of membership</w:t>
      </w:r>
      <w:r>
        <w:rPr>
          <w:noProof/>
        </w:rPr>
        <w:tab/>
      </w:r>
      <w:r>
        <w:rPr>
          <w:noProof/>
        </w:rPr>
        <w:fldChar w:fldCharType="begin"/>
      </w:r>
      <w:r>
        <w:rPr>
          <w:noProof/>
        </w:rPr>
        <w:instrText xml:space="preserve"> PAGEREF _Toc325199329 \h </w:instrText>
      </w:r>
      <w:r>
        <w:rPr>
          <w:noProof/>
        </w:rPr>
      </w:r>
      <w:r>
        <w:rPr>
          <w:noProof/>
        </w:rPr>
        <w:fldChar w:fldCharType="separate"/>
      </w:r>
      <w:r w:rsidR="009B2FE9">
        <w:rPr>
          <w:noProof/>
        </w:rPr>
        <w:t>4</w:t>
      </w:r>
      <w:r>
        <w:rPr>
          <w:noProof/>
        </w:rPr>
        <w:fldChar w:fldCharType="end"/>
      </w:r>
    </w:p>
    <w:p w14:paraId="3FCE76E8" w14:textId="0461E9C0" w:rsidR="008E18B4" w:rsidRDefault="008E18B4">
      <w:pPr>
        <w:pStyle w:val="TOC2"/>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3.2 Observers</w:t>
      </w:r>
      <w:r>
        <w:rPr>
          <w:noProof/>
        </w:rPr>
        <w:tab/>
      </w:r>
      <w:r>
        <w:rPr>
          <w:noProof/>
        </w:rPr>
        <w:fldChar w:fldCharType="begin"/>
      </w:r>
      <w:r>
        <w:rPr>
          <w:noProof/>
        </w:rPr>
        <w:instrText xml:space="preserve"> PAGEREF _Toc325199330 \h </w:instrText>
      </w:r>
      <w:r>
        <w:rPr>
          <w:noProof/>
        </w:rPr>
      </w:r>
      <w:r>
        <w:rPr>
          <w:noProof/>
        </w:rPr>
        <w:fldChar w:fldCharType="separate"/>
      </w:r>
      <w:r w:rsidR="009B2FE9">
        <w:rPr>
          <w:noProof/>
        </w:rPr>
        <w:t>5</w:t>
      </w:r>
      <w:r>
        <w:rPr>
          <w:noProof/>
        </w:rPr>
        <w:fldChar w:fldCharType="end"/>
      </w:r>
    </w:p>
    <w:p w14:paraId="6EB46A23" w14:textId="30271E15" w:rsidR="008E18B4" w:rsidRDefault="008E18B4">
      <w:pPr>
        <w:pStyle w:val="TOC1"/>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 xml:space="preserve">4 MSG </w:t>
      </w:r>
      <w:r w:rsidRPr="00940D5F">
        <w:rPr>
          <w:rFonts w:asciiTheme="majorHAnsi" w:hAnsiTheme="majorHAnsi"/>
          <w:noProof/>
        </w:rPr>
        <w:t>operations and proceedings</w:t>
      </w:r>
      <w:r>
        <w:rPr>
          <w:noProof/>
        </w:rPr>
        <w:tab/>
      </w:r>
      <w:r>
        <w:rPr>
          <w:noProof/>
        </w:rPr>
        <w:fldChar w:fldCharType="begin"/>
      </w:r>
      <w:r>
        <w:rPr>
          <w:noProof/>
        </w:rPr>
        <w:instrText xml:space="preserve"> PAGEREF _Toc325199331 \h </w:instrText>
      </w:r>
      <w:r>
        <w:rPr>
          <w:noProof/>
        </w:rPr>
      </w:r>
      <w:r>
        <w:rPr>
          <w:noProof/>
        </w:rPr>
        <w:fldChar w:fldCharType="separate"/>
      </w:r>
      <w:r w:rsidR="009B2FE9">
        <w:rPr>
          <w:noProof/>
        </w:rPr>
        <w:t>5</w:t>
      </w:r>
      <w:r>
        <w:rPr>
          <w:noProof/>
        </w:rPr>
        <w:fldChar w:fldCharType="end"/>
      </w:r>
    </w:p>
    <w:p w14:paraId="1A58A1F9" w14:textId="5FFE7146" w:rsidR="008E18B4" w:rsidRDefault="008E18B4">
      <w:pPr>
        <w:pStyle w:val="TOC2"/>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4.1 Frequency and notice of meetings</w:t>
      </w:r>
      <w:r>
        <w:rPr>
          <w:noProof/>
        </w:rPr>
        <w:tab/>
      </w:r>
      <w:r>
        <w:rPr>
          <w:noProof/>
        </w:rPr>
        <w:fldChar w:fldCharType="begin"/>
      </w:r>
      <w:r>
        <w:rPr>
          <w:noProof/>
        </w:rPr>
        <w:instrText xml:space="preserve"> PAGEREF _Toc325199332 \h </w:instrText>
      </w:r>
      <w:r>
        <w:rPr>
          <w:noProof/>
        </w:rPr>
      </w:r>
      <w:r>
        <w:rPr>
          <w:noProof/>
        </w:rPr>
        <w:fldChar w:fldCharType="separate"/>
      </w:r>
      <w:r w:rsidR="009B2FE9">
        <w:rPr>
          <w:noProof/>
        </w:rPr>
        <w:t>5</w:t>
      </w:r>
      <w:r>
        <w:rPr>
          <w:noProof/>
        </w:rPr>
        <w:fldChar w:fldCharType="end"/>
      </w:r>
    </w:p>
    <w:p w14:paraId="554A9E9A" w14:textId="752A6922" w:rsidR="008E18B4" w:rsidRDefault="008E18B4">
      <w:pPr>
        <w:pStyle w:val="TOC2"/>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4.2 Decision-making</w:t>
      </w:r>
      <w:r>
        <w:rPr>
          <w:noProof/>
        </w:rPr>
        <w:tab/>
      </w:r>
      <w:r>
        <w:rPr>
          <w:noProof/>
        </w:rPr>
        <w:fldChar w:fldCharType="begin"/>
      </w:r>
      <w:r>
        <w:rPr>
          <w:noProof/>
        </w:rPr>
        <w:instrText xml:space="preserve"> PAGEREF _Toc325199333 \h </w:instrText>
      </w:r>
      <w:r>
        <w:rPr>
          <w:noProof/>
        </w:rPr>
      </w:r>
      <w:r>
        <w:rPr>
          <w:noProof/>
        </w:rPr>
        <w:fldChar w:fldCharType="separate"/>
      </w:r>
      <w:r w:rsidR="009B2FE9">
        <w:rPr>
          <w:noProof/>
        </w:rPr>
        <w:t>6</w:t>
      </w:r>
      <w:r>
        <w:rPr>
          <w:noProof/>
        </w:rPr>
        <w:fldChar w:fldCharType="end"/>
      </w:r>
    </w:p>
    <w:p w14:paraId="2AB36F49" w14:textId="45D119DA" w:rsidR="008E18B4" w:rsidRDefault="008E18B4">
      <w:pPr>
        <w:pStyle w:val="TOC2"/>
        <w:tabs>
          <w:tab w:val="right" w:leader="dot" w:pos="9628"/>
        </w:tabs>
        <w:rPr>
          <w:rFonts w:asciiTheme="minorHAnsi" w:eastAsiaTheme="minorEastAsia" w:hAnsiTheme="minorHAnsi" w:cstheme="minorBidi"/>
          <w:noProof/>
          <w:sz w:val="24"/>
          <w:szCs w:val="24"/>
          <w:lang w:val="en-US" w:eastAsia="ja-JP"/>
        </w:rPr>
      </w:pPr>
      <w:r w:rsidRPr="00940D5F">
        <w:rPr>
          <w:rFonts w:asciiTheme="majorHAnsi" w:hAnsiTheme="majorHAnsi"/>
          <w:noProof/>
          <w:lang w:val="en-US"/>
        </w:rPr>
        <w:t>4.3 Record keeping</w:t>
      </w:r>
      <w:r>
        <w:rPr>
          <w:noProof/>
        </w:rPr>
        <w:tab/>
      </w:r>
      <w:r>
        <w:rPr>
          <w:noProof/>
        </w:rPr>
        <w:fldChar w:fldCharType="begin"/>
      </w:r>
      <w:r>
        <w:rPr>
          <w:noProof/>
        </w:rPr>
        <w:instrText xml:space="preserve"> PAGEREF _Toc325199334 \h </w:instrText>
      </w:r>
      <w:r>
        <w:rPr>
          <w:noProof/>
        </w:rPr>
      </w:r>
      <w:r>
        <w:rPr>
          <w:noProof/>
        </w:rPr>
        <w:fldChar w:fldCharType="separate"/>
      </w:r>
      <w:r w:rsidR="009B2FE9">
        <w:rPr>
          <w:noProof/>
        </w:rPr>
        <w:t>6</w:t>
      </w:r>
      <w:r>
        <w:rPr>
          <w:noProof/>
        </w:rPr>
        <w:fldChar w:fldCharType="end"/>
      </w:r>
    </w:p>
    <w:p w14:paraId="4278E98D" w14:textId="77777777" w:rsidR="00C24970" w:rsidRPr="00E04526" w:rsidRDefault="00BE3666" w:rsidP="00C24970">
      <w:pPr>
        <w:rPr>
          <w:rFonts w:asciiTheme="majorHAnsi" w:hAnsiTheme="majorHAnsi"/>
        </w:rPr>
      </w:pPr>
      <w:r w:rsidRPr="00E04526">
        <w:rPr>
          <w:rFonts w:asciiTheme="majorHAnsi" w:hAnsiTheme="majorHAnsi"/>
        </w:rPr>
        <w:fldChar w:fldCharType="end"/>
      </w:r>
    </w:p>
    <w:p w14:paraId="5485920B" w14:textId="0E913EE8" w:rsidR="00C24970" w:rsidRPr="0048764A" w:rsidRDefault="0069712B" w:rsidP="00FE3013">
      <w:pPr>
        <w:pStyle w:val="Heading2"/>
        <w:rPr>
          <w:rFonts w:asciiTheme="majorHAnsi" w:eastAsia="Calibri" w:hAnsiTheme="majorHAnsi"/>
          <w:sz w:val="28"/>
          <w:szCs w:val="22"/>
          <w:lang w:val="en-US"/>
        </w:rPr>
      </w:pPr>
      <w:bookmarkStart w:id="1" w:name="_Toc271971320"/>
      <w:bookmarkStart w:id="2" w:name="_Toc325199320"/>
      <w:r>
        <w:rPr>
          <w:rFonts w:asciiTheme="majorHAnsi" w:hAnsiTheme="majorHAnsi"/>
          <w:sz w:val="32"/>
          <w:lang w:val="en-US"/>
        </w:rPr>
        <w:br w:type="column"/>
      </w:r>
      <w:r w:rsidR="00C24970" w:rsidRPr="0048764A">
        <w:rPr>
          <w:rFonts w:asciiTheme="majorHAnsi" w:hAnsiTheme="majorHAnsi"/>
          <w:sz w:val="32"/>
          <w:lang w:val="en-US"/>
        </w:rPr>
        <w:lastRenderedPageBreak/>
        <w:t>1 Open statement on the purpose of the EITI</w:t>
      </w:r>
      <w:bookmarkEnd w:id="1"/>
      <w:bookmarkEnd w:id="2"/>
    </w:p>
    <w:p w14:paraId="4B477262" w14:textId="77777777" w:rsidR="00C24970" w:rsidRPr="00E04526" w:rsidRDefault="00C24970" w:rsidP="00C24970">
      <w:pPr>
        <w:rPr>
          <w:rFonts w:asciiTheme="majorHAnsi" w:hAnsiTheme="majorHAnsi" w:cs="MyriadPro-SemiCn"/>
          <w:i/>
          <w:color w:val="000000"/>
          <w:lang w:val="en-US"/>
        </w:rPr>
      </w:pPr>
      <w:r w:rsidRPr="00E04526">
        <w:rPr>
          <w:rFonts w:asciiTheme="majorHAnsi" w:hAnsiTheme="majorHAnsi" w:cs="MyriadPro-SemiCn"/>
          <w:i/>
          <w:color w:val="000000"/>
          <w:lang w:val="en-US"/>
        </w:rPr>
        <w:t xml:space="preserve">[The MSG may wish to open the </w:t>
      </w:r>
      <w:proofErr w:type="spellStart"/>
      <w:r w:rsidRPr="00E04526">
        <w:rPr>
          <w:rFonts w:asciiTheme="majorHAnsi" w:hAnsiTheme="majorHAnsi" w:cs="MyriadPro-SemiCn"/>
          <w:i/>
          <w:color w:val="000000"/>
          <w:lang w:val="en-US"/>
        </w:rPr>
        <w:t>ToR</w:t>
      </w:r>
      <w:proofErr w:type="spellEnd"/>
      <w:r w:rsidRPr="00E04526">
        <w:rPr>
          <w:rFonts w:asciiTheme="majorHAnsi" w:hAnsiTheme="majorHAnsi" w:cs="MyriadPro-SemiCn"/>
          <w:i/>
          <w:color w:val="000000"/>
          <w:lang w:val="en-US"/>
        </w:rPr>
        <w:t xml:space="preserve"> with agreed principles </w:t>
      </w:r>
      <w:r w:rsidR="008B36AB" w:rsidRPr="00E04526">
        <w:rPr>
          <w:rFonts w:asciiTheme="majorHAnsi" w:hAnsiTheme="majorHAnsi" w:cs="MyriadPro-SemiCn"/>
          <w:i/>
          <w:color w:val="000000"/>
          <w:lang w:val="en-US"/>
        </w:rPr>
        <w:t xml:space="preserve">setting out the </w:t>
      </w:r>
      <w:r w:rsidRPr="00E04526">
        <w:rPr>
          <w:rFonts w:asciiTheme="majorHAnsi" w:hAnsiTheme="majorHAnsi" w:cs="MyriadPro-SemiCn"/>
          <w:i/>
          <w:color w:val="000000"/>
          <w:lang w:val="en-US"/>
        </w:rPr>
        <w:t xml:space="preserve">purpose </w:t>
      </w:r>
      <w:r w:rsidR="008B36AB" w:rsidRPr="00E04526">
        <w:rPr>
          <w:rFonts w:asciiTheme="majorHAnsi" w:hAnsiTheme="majorHAnsi" w:cs="MyriadPro-SemiCn"/>
          <w:i/>
          <w:color w:val="000000"/>
          <w:lang w:val="en-US"/>
        </w:rPr>
        <w:t>and objectives of t</w:t>
      </w:r>
      <w:r w:rsidRPr="00E04526">
        <w:rPr>
          <w:rFonts w:asciiTheme="majorHAnsi" w:hAnsiTheme="majorHAnsi" w:cs="MyriadPro-SemiCn"/>
          <w:i/>
          <w:color w:val="000000"/>
          <w:lang w:val="en-US"/>
        </w:rPr>
        <w:t>he EITI in the country</w:t>
      </w:r>
      <w:r w:rsidR="008B36AB" w:rsidRPr="00E04526">
        <w:rPr>
          <w:rFonts w:asciiTheme="majorHAnsi" w:hAnsiTheme="majorHAnsi" w:cs="MyriadPro-SemiCn"/>
          <w:i/>
          <w:color w:val="000000"/>
          <w:lang w:val="en-US"/>
        </w:rPr>
        <w:t>.]</w:t>
      </w:r>
      <w:r w:rsidRPr="00E04526">
        <w:rPr>
          <w:rFonts w:asciiTheme="majorHAnsi" w:hAnsiTheme="majorHAnsi" w:cs="MyriadPro-SemiCn"/>
          <w:i/>
          <w:color w:val="000000"/>
          <w:lang w:val="en-US"/>
        </w:rPr>
        <w:t xml:space="preserve"> </w:t>
      </w:r>
    </w:p>
    <w:p w14:paraId="0EFC002F" w14:textId="77777777" w:rsidR="00C24970" w:rsidRPr="0048764A" w:rsidRDefault="00C24970" w:rsidP="00C24970">
      <w:pPr>
        <w:pStyle w:val="Heading2"/>
        <w:rPr>
          <w:rFonts w:asciiTheme="majorHAnsi" w:hAnsiTheme="majorHAnsi"/>
          <w:sz w:val="32"/>
          <w:lang w:val="en-US"/>
        </w:rPr>
      </w:pPr>
      <w:bookmarkStart w:id="3" w:name="_Toc271971321"/>
      <w:bookmarkStart w:id="4" w:name="_Toc325199321"/>
      <w:r w:rsidRPr="0048764A">
        <w:rPr>
          <w:rFonts w:asciiTheme="majorHAnsi" w:hAnsiTheme="majorHAnsi"/>
          <w:sz w:val="32"/>
          <w:lang w:val="en-US"/>
        </w:rPr>
        <w:t>2 Roles, rights and responsibilities of the MSG</w:t>
      </w:r>
      <w:bookmarkEnd w:id="3"/>
      <w:bookmarkEnd w:id="4"/>
    </w:p>
    <w:p w14:paraId="749FB1BC" w14:textId="7EE80336" w:rsidR="00C24970" w:rsidRPr="00E04526" w:rsidRDefault="00C24970" w:rsidP="00236EEA">
      <w:pPr>
        <w:rPr>
          <w:rFonts w:asciiTheme="majorHAnsi" w:hAnsiTheme="majorHAnsi" w:cs="MyriadPro-SemiCn"/>
          <w:i/>
          <w:color w:val="000000"/>
          <w:lang w:val="en-US"/>
        </w:rPr>
      </w:pPr>
      <w:r w:rsidRPr="00E04526">
        <w:rPr>
          <w:rFonts w:asciiTheme="majorHAnsi" w:hAnsiTheme="majorHAnsi" w:cs="MyriadPro-SemiCn"/>
          <w:i/>
          <w:color w:val="000000"/>
          <w:lang w:val="en-US"/>
        </w:rPr>
        <w:t>[It is important to clarify the roles, rights and responsibilities of the MSG to ensure that the MSG has a clear mandate and to avoid confusion and overlaps. Requirement 1.</w:t>
      </w:r>
      <w:r w:rsidR="00236EEA" w:rsidRPr="00E04526">
        <w:rPr>
          <w:rFonts w:asciiTheme="majorHAnsi" w:hAnsiTheme="majorHAnsi" w:cs="MyriadPro-SemiCn"/>
          <w:i/>
          <w:color w:val="000000"/>
          <w:lang w:val="en-US"/>
        </w:rPr>
        <w:t>4</w:t>
      </w:r>
      <w:r w:rsidRPr="00E04526">
        <w:rPr>
          <w:rFonts w:asciiTheme="majorHAnsi" w:hAnsiTheme="majorHAnsi" w:cs="MyriadPro-SemiCn"/>
          <w:i/>
          <w:color w:val="000000"/>
          <w:lang w:val="en-US"/>
        </w:rPr>
        <w:t>(</w:t>
      </w:r>
      <w:r w:rsidR="00236EEA" w:rsidRPr="00E04526">
        <w:rPr>
          <w:rFonts w:asciiTheme="majorHAnsi" w:hAnsiTheme="majorHAnsi" w:cs="MyriadPro-SemiCn"/>
          <w:i/>
          <w:color w:val="000000"/>
          <w:lang w:val="en-US"/>
        </w:rPr>
        <w:t>b</w:t>
      </w:r>
      <w:r w:rsidRPr="00E04526">
        <w:rPr>
          <w:rFonts w:asciiTheme="majorHAnsi" w:hAnsiTheme="majorHAnsi" w:cs="MyriadPro-SemiCn"/>
          <w:i/>
          <w:color w:val="000000"/>
          <w:lang w:val="en-US"/>
        </w:rPr>
        <w:t>)(</w:t>
      </w:r>
      <w:proofErr w:type="spellStart"/>
      <w:r w:rsidRPr="00E04526">
        <w:rPr>
          <w:rFonts w:asciiTheme="majorHAnsi" w:hAnsiTheme="majorHAnsi" w:cs="MyriadPro-SemiCn"/>
          <w:i/>
          <w:color w:val="000000"/>
          <w:lang w:val="en-US"/>
        </w:rPr>
        <w:t>i</w:t>
      </w:r>
      <w:proofErr w:type="spellEnd"/>
      <w:r w:rsidRPr="00E04526">
        <w:rPr>
          <w:rFonts w:asciiTheme="majorHAnsi" w:hAnsiTheme="majorHAnsi" w:cs="MyriadPro-SemiCn"/>
          <w:i/>
          <w:color w:val="000000"/>
          <w:lang w:val="en-US"/>
        </w:rPr>
        <w:t>-</w:t>
      </w:r>
      <w:r w:rsidR="00236EEA" w:rsidRPr="00E04526">
        <w:rPr>
          <w:rFonts w:asciiTheme="majorHAnsi" w:hAnsiTheme="majorHAnsi" w:cs="MyriadPro-SemiCn"/>
          <w:i/>
          <w:color w:val="000000"/>
          <w:lang w:val="en-US"/>
        </w:rPr>
        <w:t>iii</w:t>
      </w:r>
      <w:r w:rsidRPr="00E04526">
        <w:rPr>
          <w:rFonts w:asciiTheme="majorHAnsi" w:hAnsiTheme="majorHAnsi" w:cs="MyriadPro-SemiCn"/>
          <w:i/>
          <w:color w:val="000000"/>
          <w:lang w:val="en-US"/>
        </w:rPr>
        <w:t xml:space="preserve">) set out the responsibilities of the MSG that should be reflected in the </w:t>
      </w:r>
      <w:proofErr w:type="spellStart"/>
      <w:r w:rsidRPr="00E04526">
        <w:rPr>
          <w:rFonts w:asciiTheme="majorHAnsi" w:hAnsiTheme="majorHAnsi" w:cs="MyriadPro-SemiCn"/>
          <w:i/>
          <w:color w:val="000000"/>
          <w:lang w:val="en-US"/>
        </w:rPr>
        <w:t>ToR</w:t>
      </w:r>
      <w:proofErr w:type="spellEnd"/>
      <w:r w:rsidRPr="00E04526">
        <w:rPr>
          <w:rFonts w:asciiTheme="majorHAnsi" w:hAnsiTheme="majorHAnsi" w:cs="MyriadPro-SemiCn"/>
          <w:i/>
          <w:color w:val="000000"/>
          <w:lang w:val="en-US"/>
        </w:rPr>
        <w:t>.]</w:t>
      </w:r>
    </w:p>
    <w:p w14:paraId="2D726F03" w14:textId="77777777" w:rsidR="00C24970" w:rsidRPr="0048764A" w:rsidRDefault="00C24970" w:rsidP="00C24970">
      <w:pPr>
        <w:pStyle w:val="Heading3"/>
        <w:rPr>
          <w:rFonts w:asciiTheme="majorHAnsi" w:hAnsiTheme="majorHAnsi"/>
          <w:sz w:val="28"/>
          <w:lang w:val="en-US"/>
        </w:rPr>
      </w:pPr>
      <w:bookmarkStart w:id="5" w:name="_Toc271971322"/>
      <w:bookmarkStart w:id="6" w:name="_Toc325199322"/>
      <w:r w:rsidRPr="0048764A">
        <w:rPr>
          <w:rFonts w:asciiTheme="majorHAnsi" w:hAnsiTheme="majorHAnsi"/>
          <w:sz w:val="28"/>
          <w:lang w:val="en-US"/>
        </w:rPr>
        <w:t>2.1 Responsibilities and functions of the MSG</w:t>
      </w:r>
      <w:bookmarkEnd w:id="5"/>
      <w:bookmarkEnd w:id="6"/>
    </w:p>
    <w:p w14:paraId="1A19875B" w14:textId="550C96B1" w:rsidR="00C24970" w:rsidRDefault="00C24970" w:rsidP="00236EEA">
      <w:pPr>
        <w:rPr>
          <w:rFonts w:asciiTheme="majorHAnsi" w:hAnsiTheme="majorHAnsi" w:cs="MyriadPro-SemiCn"/>
          <w:i/>
          <w:color w:val="000000"/>
          <w:lang w:val="en-US"/>
        </w:rPr>
      </w:pPr>
      <w:r w:rsidRPr="00E04526">
        <w:rPr>
          <w:rFonts w:asciiTheme="majorHAnsi" w:hAnsiTheme="majorHAnsi" w:cs="MyriadPro-SemiCn"/>
          <w:i/>
          <w:color w:val="000000"/>
          <w:lang w:val="en-US"/>
        </w:rPr>
        <w:t>[The MSG should specify the functions and responsibilities of the MSG. In accordance with requirement 1.</w:t>
      </w:r>
      <w:r w:rsidR="00236EEA" w:rsidRPr="00E04526">
        <w:rPr>
          <w:rFonts w:asciiTheme="majorHAnsi" w:hAnsiTheme="majorHAnsi" w:cs="MyriadPro-SemiCn"/>
          <w:i/>
          <w:color w:val="000000"/>
          <w:lang w:val="en-US"/>
        </w:rPr>
        <w:t>4</w:t>
      </w:r>
      <w:r w:rsidRPr="00E04526">
        <w:rPr>
          <w:rFonts w:asciiTheme="majorHAnsi" w:hAnsiTheme="majorHAnsi" w:cs="MyriadPro-SemiCn"/>
          <w:i/>
          <w:color w:val="000000"/>
          <w:lang w:val="en-US"/>
        </w:rPr>
        <w:t>(</w:t>
      </w:r>
      <w:r w:rsidR="00236EEA" w:rsidRPr="00E04526">
        <w:rPr>
          <w:rFonts w:asciiTheme="majorHAnsi" w:hAnsiTheme="majorHAnsi" w:cs="MyriadPro-SemiCn"/>
          <w:i/>
          <w:color w:val="000000"/>
          <w:lang w:val="en-US"/>
        </w:rPr>
        <w:t>b</w:t>
      </w:r>
      <w:r w:rsidRPr="00E04526">
        <w:rPr>
          <w:rFonts w:asciiTheme="majorHAnsi" w:hAnsiTheme="majorHAnsi" w:cs="MyriadPro-SemiCn"/>
          <w:i/>
          <w:color w:val="000000"/>
          <w:lang w:val="en-US"/>
        </w:rPr>
        <w:t>), this should include but not necessarily be limited to (</w:t>
      </w:r>
      <w:proofErr w:type="spellStart"/>
      <w:r w:rsidRPr="00E04526">
        <w:rPr>
          <w:rFonts w:asciiTheme="majorHAnsi" w:hAnsiTheme="majorHAnsi" w:cs="MyriadPro-SemiCn"/>
          <w:i/>
          <w:color w:val="000000"/>
          <w:lang w:val="en-US"/>
        </w:rPr>
        <w:t>i</w:t>
      </w:r>
      <w:proofErr w:type="spellEnd"/>
      <w:r w:rsidRPr="00E04526">
        <w:rPr>
          <w:rFonts w:asciiTheme="majorHAnsi" w:hAnsiTheme="majorHAnsi" w:cs="MyriadPro-SemiCn"/>
          <w:i/>
          <w:color w:val="000000"/>
          <w:lang w:val="en-US"/>
        </w:rPr>
        <w:t>) approval of work plans; (ii) oversight of the EITI reporting process, including the appointment and approval of the Terms of Reference of the Independent Administrator, and endorsement of the EITI Reports; (iii) development of annual activity reports; (iv) the role of the MSG in the Validation process; (v) outreach and liaison with constituency groups; and (vi) communication activities.]</w:t>
      </w:r>
    </w:p>
    <w:tbl>
      <w:tblPr>
        <w:tblStyle w:val="Style1"/>
        <w:tblW w:w="0" w:type="auto"/>
        <w:tblLook w:val="04A0" w:firstRow="1" w:lastRow="0" w:firstColumn="1" w:lastColumn="0" w:noHBand="0" w:noVBand="1"/>
      </w:tblPr>
      <w:tblGrid>
        <w:gridCol w:w="9854"/>
      </w:tblGrid>
      <w:tr w:rsidR="0048764A" w14:paraId="496EE306" w14:textId="77777777" w:rsidTr="0048764A">
        <w:tc>
          <w:tcPr>
            <w:tcW w:w="9854" w:type="dxa"/>
          </w:tcPr>
          <w:p w14:paraId="3F9982D1" w14:textId="77777777" w:rsidR="0048764A" w:rsidRDefault="0048764A" w:rsidP="00236EEA">
            <w:pPr>
              <w:rPr>
                <w:rFonts w:asciiTheme="majorHAnsi" w:hAnsiTheme="majorHAnsi" w:cs="MyriadPro-SemiCn"/>
                <w:i/>
                <w:color w:val="000000"/>
                <w:lang w:val="en-US"/>
              </w:rPr>
            </w:pPr>
          </w:p>
          <w:p w14:paraId="07A764C6" w14:textId="77777777" w:rsidR="0048764A" w:rsidRPr="0048764A" w:rsidRDefault="0048764A" w:rsidP="0048764A">
            <w:pPr>
              <w:ind w:left="284"/>
              <w:rPr>
                <w:rFonts w:asciiTheme="majorHAnsi" w:hAnsiTheme="majorHAnsi" w:cs="MyriadPro-SemiCn"/>
                <w:color w:val="000000"/>
                <w:lang w:val="en-US"/>
              </w:rPr>
            </w:pPr>
            <w:r w:rsidRPr="0048764A">
              <w:rPr>
                <w:rFonts w:asciiTheme="majorHAnsi" w:hAnsiTheme="majorHAnsi" w:cs="MyriadPro-SemiCn"/>
                <w:color w:val="000000"/>
                <w:lang w:val="en-US"/>
              </w:rPr>
              <w:t>Example:</w:t>
            </w:r>
          </w:p>
          <w:p w14:paraId="3BD1B1E8" w14:textId="77777777" w:rsidR="0048764A" w:rsidRPr="0048764A" w:rsidRDefault="0048764A" w:rsidP="0048764A">
            <w:pPr>
              <w:ind w:left="284"/>
              <w:rPr>
                <w:rFonts w:asciiTheme="majorHAnsi" w:hAnsiTheme="majorHAnsi" w:cs="MyriadPro-SemiCn"/>
                <w:color w:val="000000"/>
                <w:lang w:val="en-US"/>
              </w:rPr>
            </w:pPr>
            <w:r w:rsidRPr="0048764A">
              <w:rPr>
                <w:rFonts w:asciiTheme="majorHAnsi" w:hAnsiTheme="majorHAnsi" w:cs="MyriadPro-SemiCn"/>
                <w:color w:val="000000"/>
                <w:lang w:val="en-US"/>
              </w:rPr>
              <w:t>Stakeholder-specific working groups can be established to liaise with constituencies.</w:t>
            </w:r>
          </w:p>
          <w:p w14:paraId="76A2F109" w14:textId="77777777" w:rsidR="0048764A" w:rsidRPr="0048764A" w:rsidRDefault="0048764A" w:rsidP="0048764A">
            <w:pPr>
              <w:ind w:left="284"/>
              <w:rPr>
                <w:rFonts w:asciiTheme="majorHAnsi" w:hAnsiTheme="majorHAnsi" w:cs="MyriadPro-SemiCn"/>
                <w:color w:val="000000"/>
                <w:lang w:val="en-US"/>
              </w:rPr>
            </w:pPr>
            <w:r w:rsidRPr="0048764A">
              <w:rPr>
                <w:rFonts w:asciiTheme="majorHAnsi" w:hAnsiTheme="majorHAnsi" w:cs="MyriadPro-SemiCn"/>
                <w:color w:val="000000"/>
                <w:lang w:val="en-US"/>
              </w:rPr>
              <w:t>The MoU of the Papua New Guinea MSG states that “the Government of Papua New Guinea maintains the State Working Group (SWG) that is chaired by the Ministry of Treasury representative.  In turn, the PNG Chamber of Mines and Petroleum Executive Director is the chair for the industry working group (IWG) with Transparency International PNG chairing the civil society working group (CSWG).”</w:t>
            </w:r>
          </w:p>
          <w:p w14:paraId="51E49682" w14:textId="77777777" w:rsidR="0048764A" w:rsidRDefault="0048764A" w:rsidP="00236EEA">
            <w:pPr>
              <w:rPr>
                <w:rFonts w:asciiTheme="majorHAnsi" w:hAnsiTheme="majorHAnsi" w:cs="MyriadPro-SemiCn"/>
                <w:i/>
                <w:color w:val="000000"/>
                <w:lang w:val="en-US"/>
              </w:rPr>
            </w:pPr>
          </w:p>
        </w:tc>
      </w:tr>
    </w:tbl>
    <w:p w14:paraId="2A56EE6B" w14:textId="77777777" w:rsidR="0048764A" w:rsidRDefault="0048764A" w:rsidP="00236EEA">
      <w:pPr>
        <w:rPr>
          <w:rFonts w:asciiTheme="majorHAnsi" w:hAnsiTheme="majorHAnsi" w:cs="MyriadPro-SemiCn"/>
          <w:i/>
          <w:color w:val="000000"/>
          <w:lang w:val="en-US"/>
        </w:rPr>
      </w:pPr>
    </w:p>
    <w:p w14:paraId="6D60289A" w14:textId="77777777" w:rsidR="00C24970" w:rsidRPr="0048764A" w:rsidRDefault="00C24970" w:rsidP="00C24970">
      <w:pPr>
        <w:pStyle w:val="Heading3"/>
        <w:rPr>
          <w:rFonts w:asciiTheme="majorHAnsi" w:hAnsiTheme="majorHAnsi"/>
          <w:sz w:val="28"/>
          <w:lang w:val="en-US"/>
        </w:rPr>
      </w:pPr>
      <w:bookmarkStart w:id="7" w:name="_Toc271971323"/>
      <w:bookmarkStart w:id="8" w:name="_Toc325199323"/>
      <w:r w:rsidRPr="0048764A">
        <w:rPr>
          <w:rFonts w:asciiTheme="majorHAnsi" w:hAnsiTheme="majorHAnsi"/>
          <w:sz w:val="28"/>
          <w:lang w:val="en-US"/>
        </w:rPr>
        <w:t>2.2 Responsibilities of MSG members</w:t>
      </w:r>
      <w:bookmarkEnd w:id="7"/>
      <w:bookmarkEnd w:id="8"/>
    </w:p>
    <w:p w14:paraId="1D0288BE" w14:textId="77777777" w:rsidR="00C24970" w:rsidRPr="00E04526" w:rsidRDefault="00C24970" w:rsidP="00C24970">
      <w:pPr>
        <w:rPr>
          <w:rFonts w:asciiTheme="majorHAnsi" w:hAnsiTheme="majorHAnsi" w:cs="MyriadPro-SemiCn"/>
          <w:i/>
          <w:color w:val="000000"/>
          <w:lang w:val="en-US"/>
        </w:rPr>
      </w:pPr>
      <w:r w:rsidRPr="00E04526">
        <w:rPr>
          <w:rFonts w:asciiTheme="majorHAnsi" w:hAnsiTheme="majorHAnsi" w:cs="MyriadPro-SemiCn"/>
          <w:i/>
          <w:color w:val="000000"/>
          <w:lang w:val="en-US"/>
        </w:rPr>
        <w:t xml:space="preserve">[The MSG may wish to define the specific role of MSG members, e.g. the Chair. If constituencies have different responsibilities, these can also be defined here. If necessary, </w:t>
      </w:r>
      <w:r w:rsidR="008B36AB" w:rsidRPr="00E04526">
        <w:rPr>
          <w:rFonts w:asciiTheme="majorHAnsi" w:hAnsiTheme="majorHAnsi" w:cs="MyriadPro-SemiCn"/>
          <w:i/>
          <w:color w:val="000000"/>
          <w:lang w:val="en-US"/>
        </w:rPr>
        <w:t xml:space="preserve">the MSG may wish to </w:t>
      </w:r>
      <w:r w:rsidRPr="00E04526">
        <w:rPr>
          <w:rFonts w:asciiTheme="majorHAnsi" w:hAnsiTheme="majorHAnsi" w:cs="MyriadPro-SemiCn"/>
          <w:i/>
          <w:color w:val="000000"/>
          <w:lang w:val="en-US"/>
        </w:rPr>
        <w:t>address capacity issues related to meeting responsibilities.]</w:t>
      </w:r>
    </w:p>
    <w:p w14:paraId="0544B0FA" w14:textId="77777777" w:rsidR="00C24970" w:rsidRPr="0048764A" w:rsidRDefault="00C24970" w:rsidP="00C24970">
      <w:pPr>
        <w:pStyle w:val="Heading3"/>
        <w:rPr>
          <w:rFonts w:asciiTheme="majorHAnsi" w:hAnsiTheme="majorHAnsi"/>
          <w:sz w:val="28"/>
          <w:lang w:val="en-US"/>
        </w:rPr>
      </w:pPr>
      <w:bookmarkStart w:id="9" w:name="_Toc271971324"/>
      <w:bookmarkStart w:id="10" w:name="_Toc325199324"/>
      <w:r w:rsidRPr="0048764A">
        <w:rPr>
          <w:rFonts w:asciiTheme="majorHAnsi" w:hAnsiTheme="majorHAnsi"/>
          <w:sz w:val="28"/>
          <w:lang w:val="en-US"/>
        </w:rPr>
        <w:t>2.3 MSG subgroups</w:t>
      </w:r>
      <w:bookmarkEnd w:id="9"/>
      <w:bookmarkEnd w:id="10"/>
    </w:p>
    <w:p w14:paraId="37461307" w14:textId="77777777" w:rsidR="00C24970" w:rsidRDefault="00C24970" w:rsidP="00C24970">
      <w:pPr>
        <w:rPr>
          <w:rFonts w:asciiTheme="majorHAnsi" w:hAnsiTheme="majorHAnsi" w:cs="MyriadPro-SemiCn"/>
          <w:i/>
          <w:color w:val="000000"/>
          <w:lang w:val="en-US"/>
        </w:rPr>
      </w:pPr>
      <w:r w:rsidRPr="00E04526">
        <w:rPr>
          <w:rFonts w:asciiTheme="majorHAnsi" w:hAnsiTheme="majorHAnsi" w:cs="MyriadPro-SemiCn"/>
          <w:i/>
          <w:color w:val="000000"/>
          <w:lang w:val="en-US"/>
        </w:rPr>
        <w:t xml:space="preserve">[Many implementing countries have established MSG subgroups to handle specific tasks that the MSG needs to carry out, for example related to EITI reporting or communications. This can be an efficient way for ensuring that progress in made in between MSG meetings. The MSG may wish to specify </w:t>
      </w:r>
      <w:r w:rsidRPr="00E04526">
        <w:rPr>
          <w:rFonts w:asciiTheme="majorHAnsi" w:hAnsiTheme="majorHAnsi" w:cs="MyriadPro-SemiCn"/>
          <w:i/>
          <w:color w:val="000000"/>
          <w:lang w:val="en-US"/>
        </w:rPr>
        <w:lastRenderedPageBreak/>
        <w:t xml:space="preserve">whether permanent subgroups should be established, including their roles and responsibilities, or whether the </w:t>
      </w:r>
      <w:proofErr w:type="spellStart"/>
      <w:r w:rsidRPr="00E04526">
        <w:rPr>
          <w:rFonts w:asciiTheme="majorHAnsi" w:hAnsiTheme="majorHAnsi" w:cs="MyriadPro-SemiCn"/>
          <w:i/>
          <w:color w:val="000000"/>
          <w:lang w:val="en-US"/>
        </w:rPr>
        <w:t>ToR</w:t>
      </w:r>
      <w:proofErr w:type="spellEnd"/>
      <w:r w:rsidRPr="00E04526">
        <w:rPr>
          <w:rFonts w:asciiTheme="majorHAnsi" w:hAnsiTheme="majorHAnsi" w:cs="MyriadPro-SemiCn"/>
          <w:i/>
          <w:color w:val="000000"/>
          <w:lang w:val="en-US"/>
        </w:rPr>
        <w:t xml:space="preserve"> should provide for establishment of subgroups on an ad hoc basis.] </w:t>
      </w:r>
    </w:p>
    <w:p w14:paraId="272ABA37" w14:textId="77777777" w:rsidR="0048764A" w:rsidRDefault="0048764A" w:rsidP="00C24970">
      <w:pPr>
        <w:rPr>
          <w:rFonts w:asciiTheme="majorHAnsi" w:hAnsiTheme="majorHAnsi" w:cs="MyriadPro-SemiCn"/>
          <w:i/>
          <w:color w:val="000000"/>
          <w:lang w:val="en-US"/>
        </w:rPr>
      </w:pPr>
    </w:p>
    <w:tbl>
      <w:tblPr>
        <w:tblStyle w:val="Style1"/>
        <w:tblW w:w="0" w:type="auto"/>
        <w:tblLook w:val="04A0" w:firstRow="1" w:lastRow="0" w:firstColumn="1" w:lastColumn="0" w:noHBand="0" w:noVBand="1"/>
      </w:tblPr>
      <w:tblGrid>
        <w:gridCol w:w="9854"/>
      </w:tblGrid>
      <w:tr w:rsidR="0048764A" w14:paraId="605126CF" w14:textId="77777777" w:rsidTr="00BB7C4A">
        <w:tc>
          <w:tcPr>
            <w:tcW w:w="9854" w:type="dxa"/>
          </w:tcPr>
          <w:p w14:paraId="03143DBD" w14:textId="77777777" w:rsidR="0048764A" w:rsidRDefault="0048764A" w:rsidP="0048764A">
            <w:pPr>
              <w:ind w:left="284"/>
              <w:rPr>
                <w:rFonts w:asciiTheme="majorHAnsi" w:hAnsiTheme="majorHAnsi" w:cs="MyriadPro-SemiCn"/>
                <w:color w:val="000000"/>
                <w:lang w:val="en-US"/>
              </w:rPr>
            </w:pPr>
          </w:p>
          <w:p w14:paraId="2C904E38" w14:textId="77777777" w:rsidR="0048764A" w:rsidRPr="0048764A" w:rsidRDefault="0048764A" w:rsidP="0048764A">
            <w:pPr>
              <w:ind w:left="284"/>
              <w:rPr>
                <w:rFonts w:asciiTheme="majorHAnsi" w:hAnsiTheme="majorHAnsi" w:cs="MyriadPro-SemiCn"/>
                <w:color w:val="000000"/>
                <w:lang w:val="en-US"/>
              </w:rPr>
            </w:pPr>
            <w:r w:rsidRPr="0048764A">
              <w:rPr>
                <w:rFonts w:asciiTheme="majorHAnsi" w:hAnsiTheme="majorHAnsi" w:cs="MyriadPro-SemiCn"/>
                <w:color w:val="000000"/>
                <w:lang w:val="en-US"/>
              </w:rPr>
              <w:t>Examples:</w:t>
            </w:r>
          </w:p>
          <w:p w14:paraId="37157BFB" w14:textId="77777777" w:rsidR="0048764A" w:rsidRPr="0048764A" w:rsidRDefault="0048764A" w:rsidP="0048764A">
            <w:pPr>
              <w:ind w:left="284"/>
              <w:rPr>
                <w:rFonts w:asciiTheme="majorHAnsi" w:hAnsiTheme="majorHAnsi" w:cs="MyriadPro-SemiCn"/>
                <w:color w:val="000000"/>
                <w:lang w:val="en-US"/>
              </w:rPr>
            </w:pPr>
            <w:r w:rsidRPr="0048764A">
              <w:rPr>
                <w:rFonts w:asciiTheme="majorHAnsi" w:hAnsiTheme="majorHAnsi" w:cs="MyriadPro-SemiCn"/>
                <w:color w:val="000000"/>
                <w:lang w:val="en-US"/>
              </w:rPr>
              <w:t xml:space="preserve">The </w:t>
            </w:r>
            <w:hyperlink r:id="rId11" w:history="1">
              <w:proofErr w:type="spellStart"/>
              <w:r w:rsidRPr="0048764A">
                <w:rPr>
                  <w:rStyle w:val="Hyperlink"/>
                  <w:rFonts w:asciiTheme="majorHAnsi" w:hAnsiTheme="majorHAnsi" w:cs="MyriadPro-SemiCn"/>
                  <w:lang w:val="en-US"/>
                </w:rPr>
                <w:t>ToR</w:t>
              </w:r>
              <w:proofErr w:type="spellEnd"/>
              <w:r w:rsidRPr="0048764A">
                <w:rPr>
                  <w:rStyle w:val="Hyperlink"/>
                  <w:rFonts w:asciiTheme="majorHAnsi" w:hAnsiTheme="majorHAnsi" w:cs="MyriadPro-SemiCn"/>
                  <w:lang w:val="en-US"/>
                </w:rPr>
                <w:t xml:space="preserve"> of the UK EITI MSG</w:t>
              </w:r>
            </w:hyperlink>
            <w:r w:rsidRPr="0048764A">
              <w:rPr>
                <w:rFonts w:asciiTheme="majorHAnsi" w:hAnsiTheme="majorHAnsi" w:cs="MyriadPro-SemiCn"/>
                <w:color w:val="000000"/>
                <w:lang w:val="en-US"/>
              </w:rPr>
              <w:t xml:space="preserve"> states that the MSG may decide that particular issues should be developed by a sub-group. Each such sub-group must be led by an MSG member who will be supported by one or more other MSG members</w:t>
            </w:r>
            <w:proofErr w:type="gramStart"/>
            <w:r w:rsidRPr="0048764A">
              <w:rPr>
                <w:rFonts w:asciiTheme="majorHAnsi" w:hAnsiTheme="majorHAnsi" w:cs="MyriadPro-SemiCn"/>
                <w:color w:val="000000"/>
                <w:lang w:val="en-US"/>
              </w:rPr>
              <w:t>. .</w:t>
            </w:r>
            <w:proofErr w:type="gramEnd"/>
            <w:r w:rsidRPr="0048764A">
              <w:rPr>
                <w:rFonts w:asciiTheme="majorHAnsi" w:hAnsiTheme="majorHAnsi" w:cs="MyriadPro-SemiCn"/>
                <w:color w:val="000000"/>
                <w:lang w:val="en-US"/>
              </w:rPr>
              <w:t xml:space="preserve"> The sub-group leader may also invite outside experts to participate in the sub-group, but only with the agreement of all MSG sub-group members. The subgroup makes recommendations to the MSG.</w:t>
            </w:r>
          </w:p>
          <w:p w14:paraId="4E422A85" w14:textId="77777777" w:rsidR="0048764A" w:rsidRPr="0048764A" w:rsidRDefault="0048764A" w:rsidP="0048764A">
            <w:pPr>
              <w:ind w:left="284"/>
              <w:rPr>
                <w:rFonts w:asciiTheme="majorHAnsi" w:hAnsiTheme="majorHAnsi" w:cs="MyriadPro-SemiCn"/>
                <w:color w:val="000000"/>
                <w:lang w:val="en-US"/>
              </w:rPr>
            </w:pPr>
            <w:r w:rsidRPr="0048764A">
              <w:rPr>
                <w:rFonts w:asciiTheme="majorHAnsi" w:hAnsiTheme="majorHAnsi" w:cs="MyriadPro-SemiCn"/>
                <w:color w:val="000000"/>
                <w:lang w:val="en-US"/>
              </w:rPr>
              <w:t xml:space="preserve">According to the </w:t>
            </w:r>
            <w:hyperlink r:id="rId12" w:history="1">
              <w:r w:rsidRPr="0048764A">
                <w:rPr>
                  <w:rStyle w:val="Hyperlink"/>
                  <w:rFonts w:asciiTheme="majorHAnsi" w:hAnsiTheme="majorHAnsi" w:cs="MyriadPro-SemiCn"/>
                  <w:lang w:val="en-US"/>
                </w:rPr>
                <w:t>NEITI Board Charter</w:t>
              </w:r>
            </w:hyperlink>
            <w:r w:rsidRPr="0048764A">
              <w:rPr>
                <w:rFonts w:asciiTheme="majorHAnsi" w:hAnsiTheme="majorHAnsi" w:cs="MyriadPro-SemiCn"/>
                <w:color w:val="000000"/>
                <w:lang w:val="en-US"/>
              </w:rPr>
              <w:t xml:space="preserve">, the MSG in Nigeria has six Standing Committees: Audit and Risk Committee, Human Resource Committee, Finance and General Purpose Committee, Communications Committee, Board Tender Committee and Ethics Committee. Ad hoc Committees can be established as the need arises. </w:t>
            </w:r>
          </w:p>
          <w:p w14:paraId="06EA29C5" w14:textId="77777777" w:rsidR="0048764A" w:rsidRDefault="0048764A" w:rsidP="00BB7C4A">
            <w:pPr>
              <w:rPr>
                <w:rFonts w:asciiTheme="majorHAnsi" w:hAnsiTheme="majorHAnsi" w:cs="MyriadPro-SemiCn"/>
                <w:i/>
                <w:color w:val="000000"/>
                <w:lang w:val="en-US"/>
              </w:rPr>
            </w:pPr>
          </w:p>
        </w:tc>
      </w:tr>
    </w:tbl>
    <w:p w14:paraId="1654D3D4" w14:textId="3A913F05" w:rsidR="00C24970" w:rsidRPr="00E04526" w:rsidRDefault="00C24970" w:rsidP="006002AF">
      <w:pPr>
        <w:rPr>
          <w:rFonts w:asciiTheme="majorHAnsi" w:hAnsiTheme="majorHAnsi" w:cs="MyriadPro-SemiCn"/>
          <w:i/>
          <w:color w:val="000000"/>
          <w:lang w:val="en-US"/>
        </w:rPr>
      </w:pPr>
    </w:p>
    <w:p w14:paraId="4F4F2F27" w14:textId="77777777" w:rsidR="00C24970" w:rsidRPr="0048764A" w:rsidRDefault="00C24970" w:rsidP="00C24970">
      <w:pPr>
        <w:pStyle w:val="Heading3"/>
        <w:rPr>
          <w:rFonts w:asciiTheme="majorHAnsi" w:hAnsiTheme="majorHAnsi"/>
          <w:sz w:val="28"/>
          <w:lang w:val="en-US"/>
        </w:rPr>
      </w:pPr>
      <w:bookmarkStart w:id="11" w:name="_Toc271971325"/>
      <w:bookmarkStart w:id="12" w:name="_Toc325199325"/>
      <w:r w:rsidRPr="0048764A">
        <w:rPr>
          <w:rFonts w:asciiTheme="majorHAnsi" w:hAnsiTheme="majorHAnsi"/>
          <w:sz w:val="28"/>
          <w:lang w:val="en-US"/>
        </w:rPr>
        <w:t>2.4 National secretariat</w:t>
      </w:r>
      <w:bookmarkEnd w:id="11"/>
      <w:bookmarkEnd w:id="12"/>
    </w:p>
    <w:p w14:paraId="2BD0BB6B" w14:textId="77777777" w:rsidR="00C24970" w:rsidRDefault="00C24970" w:rsidP="00C24970">
      <w:pPr>
        <w:rPr>
          <w:rFonts w:asciiTheme="majorHAnsi" w:hAnsiTheme="majorHAnsi"/>
          <w:noProof/>
          <w:lang w:val="en-US" w:eastAsia="nb-NO"/>
        </w:rPr>
      </w:pPr>
      <w:r w:rsidRPr="00E04526">
        <w:rPr>
          <w:rFonts w:asciiTheme="majorHAnsi" w:hAnsiTheme="majorHAnsi" w:cs="MyriadPro-SemiCn"/>
          <w:i/>
          <w:color w:val="000000"/>
          <w:lang w:val="en-US"/>
        </w:rPr>
        <w:t>[Most implementing countries decide to establish a national EITI secretariat to support the work of the MSG and be responsible for the day-to-day EITI activities. The MSG may wish to define the MSG’s relationship with the national secretariat, including the roles and responsibilities.]</w:t>
      </w:r>
      <w:r w:rsidRPr="00E04526">
        <w:rPr>
          <w:rFonts w:asciiTheme="majorHAnsi" w:hAnsiTheme="majorHAnsi"/>
          <w:noProof/>
          <w:lang w:val="en-US" w:eastAsia="nb-NO"/>
        </w:rPr>
        <w:t xml:space="preserve"> </w:t>
      </w:r>
    </w:p>
    <w:tbl>
      <w:tblPr>
        <w:tblStyle w:val="Style1"/>
        <w:tblW w:w="0" w:type="auto"/>
        <w:tblLook w:val="04A0" w:firstRow="1" w:lastRow="0" w:firstColumn="1" w:lastColumn="0" w:noHBand="0" w:noVBand="1"/>
      </w:tblPr>
      <w:tblGrid>
        <w:gridCol w:w="9854"/>
      </w:tblGrid>
      <w:tr w:rsidR="004650D0" w14:paraId="69761685" w14:textId="77777777" w:rsidTr="004650D0">
        <w:tc>
          <w:tcPr>
            <w:tcW w:w="9854" w:type="dxa"/>
          </w:tcPr>
          <w:p w14:paraId="64623B05" w14:textId="77777777" w:rsidR="004650D0" w:rsidRDefault="004650D0" w:rsidP="004650D0">
            <w:pPr>
              <w:rPr>
                <w:rFonts w:asciiTheme="majorHAnsi" w:hAnsiTheme="majorHAnsi"/>
                <w:i/>
                <w:noProof/>
                <w:lang w:val="en-US" w:eastAsia="nb-NO"/>
              </w:rPr>
            </w:pPr>
          </w:p>
          <w:p w14:paraId="1AE2BBDD" w14:textId="77777777" w:rsidR="004650D0" w:rsidRPr="004650D0" w:rsidRDefault="004650D0" w:rsidP="004650D0">
            <w:pPr>
              <w:ind w:left="284"/>
              <w:rPr>
                <w:rFonts w:asciiTheme="majorHAnsi" w:hAnsiTheme="majorHAnsi"/>
                <w:i/>
                <w:noProof/>
                <w:lang w:val="en-US" w:eastAsia="nb-NO"/>
              </w:rPr>
            </w:pPr>
            <w:r w:rsidRPr="004650D0">
              <w:rPr>
                <w:rFonts w:asciiTheme="majorHAnsi" w:hAnsiTheme="majorHAnsi"/>
                <w:i/>
                <w:noProof/>
                <w:lang w:val="en-US" w:eastAsia="nb-NO"/>
              </w:rPr>
              <w:t>Example:</w:t>
            </w:r>
          </w:p>
          <w:p w14:paraId="4F6D94FC" w14:textId="77777777" w:rsidR="004650D0" w:rsidRDefault="004650D0" w:rsidP="004650D0">
            <w:pPr>
              <w:ind w:left="284"/>
              <w:rPr>
                <w:rFonts w:asciiTheme="majorHAnsi" w:hAnsiTheme="majorHAnsi"/>
                <w:noProof/>
                <w:lang w:val="en-US" w:eastAsia="nb-NO"/>
              </w:rPr>
            </w:pPr>
            <w:r w:rsidRPr="004650D0">
              <w:rPr>
                <w:rFonts w:asciiTheme="majorHAnsi" w:hAnsiTheme="majorHAnsi"/>
                <w:noProof/>
                <w:lang w:val="en-US" w:eastAsia="nb-NO"/>
              </w:rPr>
              <w:t xml:space="preserve">The </w:t>
            </w:r>
            <w:hyperlink r:id="rId13" w:history="1">
              <w:r w:rsidRPr="004650D0">
                <w:rPr>
                  <w:rStyle w:val="Hyperlink"/>
                  <w:rFonts w:asciiTheme="majorHAnsi" w:hAnsiTheme="majorHAnsi"/>
                  <w:noProof/>
                  <w:lang w:val="en-US" w:eastAsia="nb-NO"/>
                </w:rPr>
                <w:t>ToR of the Philippines EITI MSG</w:t>
              </w:r>
            </w:hyperlink>
            <w:r w:rsidRPr="004650D0">
              <w:rPr>
                <w:rFonts w:asciiTheme="majorHAnsi" w:hAnsiTheme="majorHAnsi"/>
                <w:noProof/>
                <w:lang w:val="en-US" w:eastAsia="nb-NO"/>
              </w:rPr>
              <w:t xml:space="preserve"> states that the MSG supervises the National Secretariat. In Nigeria, the Executive Secretary is appointed by the President on recommendation from the MSG and is also a full member of the MSG.</w:t>
            </w:r>
          </w:p>
          <w:p w14:paraId="131D6345" w14:textId="277F0849" w:rsidR="004650D0" w:rsidRDefault="004650D0" w:rsidP="004650D0">
            <w:pPr>
              <w:ind w:left="284"/>
              <w:rPr>
                <w:rFonts w:asciiTheme="majorHAnsi" w:hAnsiTheme="majorHAnsi"/>
                <w:noProof/>
                <w:lang w:val="en-US" w:eastAsia="nb-NO"/>
              </w:rPr>
            </w:pPr>
          </w:p>
        </w:tc>
      </w:tr>
    </w:tbl>
    <w:p w14:paraId="0C2C0906" w14:textId="77777777" w:rsidR="004650D0" w:rsidRDefault="004650D0" w:rsidP="00C24970">
      <w:pPr>
        <w:rPr>
          <w:rFonts w:asciiTheme="majorHAnsi" w:hAnsiTheme="majorHAnsi"/>
          <w:noProof/>
          <w:lang w:val="en-US" w:eastAsia="nb-NO"/>
        </w:rPr>
      </w:pPr>
    </w:p>
    <w:p w14:paraId="417AC371" w14:textId="77777777" w:rsidR="00C24970" w:rsidRPr="0048764A" w:rsidRDefault="00C24970" w:rsidP="00C24970">
      <w:pPr>
        <w:pStyle w:val="Heading3"/>
        <w:rPr>
          <w:rFonts w:asciiTheme="majorHAnsi" w:hAnsiTheme="majorHAnsi"/>
          <w:sz w:val="28"/>
          <w:lang w:val="en-US"/>
        </w:rPr>
      </w:pPr>
      <w:bookmarkStart w:id="13" w:name="_Toc271971326"/>
      <w:bookmarkStart w:id="14" w:name="_Toc325199326"/>
      <w:r w:rsidRPr="0048764A">
        <w:rPr>
          <w:rFonts w:asciiTheme="majorHAnsi" w:hAnsiTheme="majorHAnsi"/>
          <w:sz w:val="28"/>
          <w:lang w:val="en-US"/>
        </w:rPr>
        <w:t xml:space="preserve">2.5 </w:t>
      </w:r>
      <w:r w:rsidR="001A03BB" w:rsidRPr="0048764A">
        <w:rPr>
          <w:rFonts w:asciiTheme="majorHAnsi" w:hAnsiTheme="majorHAnsi"/>
          <w:sz w:val="28"/>
          <w:lang w:val="en-US"/>
        </w:rPr>
        <w:t>Code of conduct</w:t>
      </w:r>
      <w:bookmarkEnd w:id="13"/>
      <w:bookmarkEnd w:id="14"/>
    </w:p>
    <w:p w14:paraId="1DA88AB1" w14:textId="77777777" w:rsidR="00C24970" w:rsidRPr="00E04526" w:rsidRDefault="00C24970" w:rsidP="00C24970">
      <w:pPr>
        <w:rPr>
          <w:rFonts w:asciiTheme="majorHAnsi" w:hAnsiTheme="majorHAnsi" w:cs="MyriadPro-SemiCn"/>
          <w:i/>
          <w:color w:val="000000"/>
          <w:lang w:val="en-US"/>
        </w:rPr>
      </w:pPr>
      <w:r w:rsidRPr="00E04526">
        <w:rPr>
          <w:rFonts w:asciiTheme="majorHAnsi" w:hAnsiTheme="majorHAnsi" w:cs="MyriadPro-SemiCn"/>
          <w:i/>
          <w:color w:val="000000"/>
          <w:lang w:val="en-US"/>
        </w:rPr>
        <w:t>[The MSG may wish to include guidelines on the conduct of MSG members. This typically includes disclosure of conflicts of interest, treatment of confidential information, etc.]</w:t>
      </w:r>
    </w:p>
    <w:p w14:paraId="3AC4EBE9" w14:textId="6E766DDC" w:rsidR="00DD60C0" w:rsidRPr="0048764A" w:rsidRDefault="00DA035A" w:rsidP="00E576A9">
      <w:pPr>
        <w:pStyle w:val="Heading3"/>
        <w:rPr>
          <w:sz w:val="28"/>
        </w:rPr>
      </w:pPr>
      <w:bookmarkStart w:id="15" w:name="_Toc325199327"/>
      <w:r w:rsidRPr="0048764A">
        <w:rPr>
          <w:rFonts w:ascii="Myriad Pro" w:hAnsi="Myriad Pro"/>
          <w:sz w:val="28"/>
          <w:lang w:val="en-US"/>
        </w:rPr>
        <w:lastRenderedPageBreak/>
        <w:t xml:space="preserve">2.6 </w:t>
      </w:r>
      <w:r w:rsidRPr="0048764A">
        <w:rPr>
          <w:rFonts w:asciiTheme="majorHAnsi" w:hAnsiTheme="majorHAnsi"/>
          <w:sz w:val="28"/>
          <w:lang w:val="en-US"/>
        </w:rPr>
        <w:t>Payments</w:t>
      </w:r>
      <w:bookmarkEnd w:id="15"/>
      <w:r w:rsidR="00C06F5B">
        <w:rPr>
          <w:rFonts w:asciiTheme="majorHAnsi" w:hAnsiTheme="majorHAnsi"/>
          <w:sz w:val="28"/>
          <w:lang w:val="en-US"/>
        </w:rPr>
        <w:t xml:space="preserve"> to MSG members</w:t>
      </w:r>
    </w:p>
    <w:p w14:paraId="3968F2A5" w14:textId="2F9B0C2F" w:rsidR="00DA035A" w:rsidRDefault="00DA035A">
      <w:pPr>
        <w:rPr>
          <w:rFonts w:asciiTheme="majorHAnsi" w:hAnsiTheme="majorHAnsi"/>
          <w:i/>
        </w:rPr>
      </w:pPr>
      <w:r w:rsidRPr="00E576A9">
        <w:rPr>
          <w:rFonts w:asciiTheme="majorHAnsi" w:hAnsiTheme="majorHAnsi"/>
          <w:i/>
        </w:rPr>
        <w:t xml:space="preserve">[Where the MSG has a </w:t>
      </w:r>
      <w:proofErr w:type="spellStart"/>
      <w:r w:rsidRPr="00E576A9">
        <w:rPr>
          <w:rFonts w:asciiTheme="majorHAnsi" w:hAnsiTheme="majorHAnsi"/>
          <w:i/>
        </w:rPr>
        <w:t>practrive</w:t>
      </w:r>
      <w:proofErr w:type="spellEnd"/>
      <w:r w:rsidRPr="00E576A9">
        <w:rPr>
          <w:rFonts w:asciiTheme="majorHAnsi" w:hAnsiTheme="majorHAnsi"/>
          <w:i/>
        </w:rPr>
        <w:t xml:space="preserve"> of per diem for attending EITI meetings or other payments to MSG members, this practice should be transparent and should not create conflict of interest.</w:t>
      </w:r>
      <w:r w:rsidR="00314D34" w:rsidRPr="00E576A9">
        <w:rPr>
          <w:rFonts w:asciiTheme="majorHAnsi" w:hAnsiTheme="majorHAnsi"/>
          <w:i/>
        </w:rPr>
        <w:t xml:space="preserve"> (requirement 1.4.b.vi.)</w:t>
      </w:r>
      <w:r w:rsidRPr="00E576A9">
        <w:rPr>
          <w:rFonts w:asciiTheme="majorHAnsi" w:hAnsiTheme="majorHAnsi"/>
          <w:i/>
        </w:rPr>
        <w:t>]</w:t>
      </w:r>
    </w:p>
    <w:p w14:paraId="3209B43F" w14:textId="210588B9" w:rsidR="0095377F" w:rsidRDefault="00BC0621" w:rsidP="00616B14">
      <w:pPr>
        <w:shd w:val="clear" w:color="auto" w:fill="DDD9C3" w:themeFill="background2" w:themeFillShade="E6"/>
        <w:rPr>
          <w:rFonts w:asciiTheme="majorHAnsi" w:hAnsiTheme="majorHAnsi"/>
          <w:noProof/>
          <w:lang w:val="en-US" w:eastAsia="nb-NO"/>
        </w:rPr>
      </w:pPr>
      <w:r>
        <w:rPr>
          <w:rFonts w:asciiTheme="majorHAnsi" w:hAnsiTheme="majorHAnsi"/>
          <w:noProof/>
          <w:lang w:val="en-US" w:eastAsia="nb-NO"/>
        </w:rPr>
        <w:t>Example</w:t>
      </w:r>
      <w:r w:rsidR="00801B9C">
        <w:rPr>
          <w:rFonts w:asciiTheme="majorHAnsi" w:hAnsiTheme="majorHAnsi"/>
          <w:noProof/>
          <w:lang w:val="en-US" w:eastAsia="nb-NO"/>
        </w:rPr>
        <w:t>s</w:t>
      </w:r>
      <w:r w:rsidR="0095377F">
        <w:rPr>
          <w:rFonts w:asciiTheme="majorHAnsi" w:hAnsiTheme="majorHAnsi"/>
          <w:noProof/>
          <w:lang w:val="en-US" w:eastAsia="nb-NO"/>
        </w:rPr>
        <w:t>:</w:t>
      </w:r>
    </w:p>
    <w:p w14:paraId="67253F48" w14:textId="7C71A370" w:rsidR="00801B9C" w:rsidRDefault="00801B9C" w:rsidP="00616B14">
      <w:pPr>
        <w:shd w:val="clear" w:color="auto" w:fill="DDD9C3" w:themeFill="background2" w:themeFillShade="E6"/>
        <w:rPr>
          <w:rFonts w:asciiTheme="majorHAnsi" w:hAnsiTheme="majorHAnsi"/>
          <w:noProof/>
          <w:lang w:val="en-US" w:eastAsia="nb-NO"/>
        </w:rPr>
      </w:pPr>
      <w:r>
        <w:rPr>
          <w:rFonts w:asciiTheme="majorHAnsi" w:hAnsiTheme="majorHAnsi"/>
          <w:noProof/>
          <w:lang w:val="en-US" w:eastAsia="nb-NO"/>
        </w:rPr>
        <w:t>According to the ToR of the Solomong Islands EITI MSG, a sitting allowance of SBD 300 should be paid to members of the MSG attending each meeting.</w:t>
      </w:r>
    </w:p>
    <w:p w14:paraId="7EB79EA6" w14:textId="02DF3D8B" w:rsidR="0095377F" w:rsidRDefault="0095377F">
      <w:pPr>
        <w:rPr>
          <w:rFonts w:asciiTheme="majorHAnsi" w:hAnsiTheme="majorHAnsi"/>
          <w:lang w:val="en-US"/>
        </w:rPr>
      </w:pPr>
      <w:r w:rsidRPr="00616B14">
        <w:rPr>
          <w:rFonts w:asciiTheme="majorHAnsi" w:hAnsiTheme="majorHAnsi"/>
          <w:noProof/>
          <w:lang w:eastAsia="en-GB"/>
        </w:rPr>
        <w:drawing>
          <wp:inline distT="0" distB="0" distL="0" distR="0" wp14:anchorId="4948BC96" wp14:editId="69545B9C">
            <wp:extent cx="6120130" cy="2865755"/>
            <wp:effectExtent l="0" t="0" r="0" b="0"/>
            <wp:docPr id="235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865755"/>
                    </a:xfrm>
                    <a:prstGeom prst="rect">
                      <a:avLst/>
                    </a:prstGeom>
                    <a:noFill/>
                    <a:ln>
                      <a:noFill/>
                    </a:ln>
                    <a:extLst/>
                  </pic:spPr>
                </pic:pic>
              </a:graphicData>
            </a:graphic>
          </wp:inline>
        </w:drawing>
      </w:r>
    </w:p>
    <w:p w14:paraId="393A888E" w14:textId="3954A12A" w:rsidR="00BC0621" w:rsidRPr="00E576A9" w:rsidRDefault="00BC0621">
      <w:pPr>
        <w:rPr>
          <w:rFonts w:asciiTheme="majorHAnsi" w:hAnsiTheme="majorHAnsi"/>
          <w:i/>
          <w:lang w:val="en-US"/>
        </w:rPr>
      </w:pPr>
      <w:r>
        <w:rPr>
          <w:rFonts w:asciiTheme="majorHAnsi" w:hAnsiTheme="majorHAnsi"/>
          <w:lang w:val="en-US"/>
        </w:rPr>
        <w:t xml:space="preserve"> </w:t>
      </w:r>
    </w:p>
    <w:p w14:paraId="65DD5B1A" w14:textId="77777777" w:rsidR="00C24970" w:rsidRPr="0048764A" w:rsidRDefault="00C24970" w:rsidP="00C24970">
      <w:pPr>
        <w:pStyle w:val="Heading2"/>
        <w:rPr>
          <w:rFonts w:asciiTheme="majorHAnsi" w:hAnsiTheme="majorHAnsi"/>
          <w:sz w:val="32"/>
          <w:lang w:val="en-US"/>
        </w:rPr>
      </w:pPr>
      <w:bookmarkStart w:id="16" w:name="_Toc271971327"/>
      <w:bookmarkStart w:id="17" w:name="_Toc325199328"/>
      <w:r w:rsidRPr="0048764A">
        <w:rPr>
          <w:rFonts w:asciiTheme="majorHAnsi" w:hAnsiTheme="majorHAnsi"/>
          <w:sz w:val="32"/>
          <w:lang w:val="en-US"/>
        </w:rPr>
        <w:t>3 MSG membership</w:t>
      </w:r>
      <w:bookmarkEnd w:id="16"/>
      <w:bookmarkEnd w:id="17"/>
    </w:p>
    <w:p w14:paraId="77FCD420" w14:textId="61D4D733" w:rsidR="00C24970" w:rsidRPr="00E576A9" w:rsidRDefault="00C24970" w:rsidP="00D664A7">
      <w:pPr>
        <w:rPr>
          <w:rFonts w:asciiTheme="majorHAnsi" w:hAnsiTheme="majorHAnsi" w:cs="MyriadPro-SemiCn"/>
          <w:i/>
          <w:color w:val="000000"/>
          <w:lang w:val="en-US"/>
        </w:rPr>
      </w:pPr>
      <w:r w:rsidRPr="00E576A9">
        <w:rPr>
          <w:rFonts w:asciiTheme="majorHAnsi" w:hAnsiTheme="majorHAnsi" w:cs="MyriadPro-SemiCn"/>
          <w:i/>
          <w:color w:val="000000"/>
          <w:lang w:val="en-US"/>
        </w:rPr>
        <w:t>[The multi-stakeholder group should agree procedures for nominating and changing multi-stakeholder group representatives and the duration of the mandate (requirement 1.</w:t>
      </w:r>
      <w:r w:rsidR="00D664A7" w:rsidRPr="00E576A9">
        <w:rPr>
          <w:rFonts w:asciiTheme="majorHAnsi" w:hAnsiTheme="majorHAnsi" w:cs="MyriadPro-SemiCn"/>
          <w:i/>
          <w:color w:val="000000"/>
          <w:lang w:val="en-US"/>
        </w:rPr>
        <w:t>4</w:t>
      </w:r>
      <w:r w:rsidRPr="00E576A9">
        <w:rPr>
          <w:rFonts w:asciiTheme="majorHAnsi" w:hAnsiTheme="majorHAnsi" w:cs="MyriadPro-SemiCn"/>
          <w:i/>
          <w:color w:val="000000"/>
          <w:lang w:val="en-US"/>
        </w:rPr>
        <w:t>.</w:t>
      </w:r>
      <w:r w:rsidR="00D664A7" w:rsidRPr="00E576A9">
        <w:rPr>
          <w:rFonts w:asciiTheme="majorHAnsi" w:hAnsiTheme="majorHAnsi" w:cs="MyriadPro-SemiCn"/>
          <w:i/>
          <w:color w:val="000000"/>
          <w:lang w:val="en-US"/>
        </w:rPr>
        <w:t>b</w:t>
      </w:r>
      <w:r w:rsidRPr="00E576A9">
        <w:rPr>
          <w:rFonts w:asciiTheme="majorHAnsi" w:hAnsiTheme="majorHAnsi" w:cs="MyriadPro-SemiCn"/>
          <w:i/>
          <w:color w:val="000000"/>
          <w:lang w:val="en-US"/>
        </w:rPr>
        <w:t>.vi). In accordance with requirement 1.</w:t>
      </w:r>
      <w:r w:rsidR="00D664A7" w:rsidRPr="00E576A9">
        <w:rPr>
          <w:rFonts w:asciiTheme="majorHAnsi" w:hAnsiTheme="majorHAnsi" w:cs="MyriadPro-SemiCn"/>
          <w:i/>
          <w:color w:val="000000"/>
          <w:lang w:val="en-US"/>
        </w:rPr>
        <w:t>4</w:t>
      </w:r>
      <w:r w:rsidRPr="00E576A9">
        <w:rPr>
          <w:rFonts w:asciiTheme="majorHAnsi" w:hAnsiTheme="majorHAnsi" w:cs="MyriadPro-SemiCn"/>
          <w:i/>
          <w:color w:val="000000"/>
          <w:lang w:val="en-US"/>
        </w:rPr>
        <w:t>.</w:t>
      </w:r>
      <w:r w:rsidR="00D664A7" w:rsidRPr="00E576A9">
        <w:rPr>
          <w:rFonts w:asciiTheme="majorHAnsi" w:hAnsiTheme="majorHAnsi" w:cs="MyriadPro-SemiCn"/>
          <w:i/>
          <w:color w:val="000000"/>
          <w:lang w:val="en-US"/>
        </w:rPr>
        <w:t>a</w:t>
      </w:r>
      <w:r w:rsidRPr="00E576A9">
        <w:rPr>
          <w:rFonts w:asciiTheme="majorHAnsi" w:hAnsiTheme="majorHAnsi" w:cs="MyriadPro-SemiCn"/>
          <w:i/>
          <w:color w:val="000000"/>
          <w:lang w:val="en-US"/>
        </w:rPr>
        <w:t>, each stakeholder group must have the right to appoint its own representatives and be adequately represented. This does not mean that there must be an equal number of members from each constituency</w:t>
      </w:r>
      <w:proofErr w:type="gramStart"/>
      <w:r w:rsidRPr="00E576A9">
        <w:rPr>
          <w:rFonts w:asciiTheme="majorHAnsi" w:hAnsiTheme="majorHAnsi" w:cs="MyriadPro-SemiCn"/>
          <w:i/>
          <w:color w:val="000000"/>
          <w:lang w:val="en-US"/>
        </w:rPr>
        <w:t>. ]</w:t>
      </w:r>
      <w:proofErr w:type="gramEnd"/>
    </w:p>
    <w:p w14:paraId="3962CE1B" w14:textId="77777777" w:rsidR="00C24970" w:rsidRPr="00DB5BEB" w:rsidRDefault="00C24970" w:rsidP="00C24970">
      <w:pPr>
        <w:pStyle w:val="Heading3"/>
        <w:rPr>
          <w:rFonts w:asciiTheme="majorHAnsi" w:hAnsiTheme="majorHAnsi"/>
          <w:sz w:val="28"/>
          <w:lang w:val="en-US"/>
        </w:rPr>
      </w:pPr>
      <w:bookmarkStart w:id="18" w:name="_Toc271971328"/>
      <w:bookmarkStart w:id="19" w:name="_Toc325199329"/>
      <w:r w:rsidRPr="00DB5BEB">
        <w:rPr>
          <w:rFonts w:asciiTheme="majorHAnsi" w:hAnsiTheme="majorHAnsi"/>
          <w:sz w:val="28"/>
          <w:lang w:val="en-US"/>
        </w:rPr>
        <w:t>3.1 Nominations and terms of membership</w:t>
      </w:r>
      <w:bookmarkEnd w:id="18"/>
      <w:bookmarkEnd w:id="19"/>
    </w:p>
    <w:p w14:paraId="1E89ACAA" w14:textId="25F861AD" w:rsidR="00C24970" w:rsidRDefault="00C24970" w:rsidP="00C24970">
      <w:pPr>
        <w:rPr>
          <w:rFonts w:asciiTheme="majorHAnsi" w:hAnsiTheme="majorHAnsi"/>
          <w:noProof/>
          <w:lang w:val="en-US" w:eastAsia="nb-NO"/>
        </w:rPr>
      </w:pPr>
      <w:r w:rsidRPr="00E576A9">
        <w:rPr>
          <w:rFonts w:asciiTheme="majorHAnsi" w:hAnsiTheme="majorHAnsi" w:cs="MyriadPro-SemiCn"/>
          <w:i/>
          <w:color w:val="000000"/>
          <w:lang w:val="en-US"/>
        </w:rPr>
        <w:t xml:space="preserve">[The MSG is advised to specify the total number of MSG members and the number of members from each constituency. It is </w:t>
      </w:r>
      <w:r w:rsidR="00BC0621" w:rsidRPr="00E576A9">
        <w:rPr>
          <w:rFonts w:asciiTheme="majorHAnsi" w:hAnsiTheme="majorHAnsi" w:cs="MyriadPro-SemiCn"/>
          <w:i/>
          <w:color w:val="000000"/>
          <w:lang w:val="en-US"/>
        </w:rPr>
        <w:t>re</w:t>
      </w:r>
      <w:r w:rsidR="00BC0621">
        <w:rPr>
          <w:rFonts w:asciiTheme="majorHAnsi" w:hAnsiTheme="majorHAnsi" w:cs="MyriadPro-SemiCn"/>
          <w:i/>
          <w:color w:val="000000"/>
          <w:lang w:val="en-US"/>
        </w:rPr>
        <w:t>quired</w:t>
      </w:r>
      <w:r w:rsidR="00BC0621" w:rsidRPr="00E576A9">
        <w:rPr>
          <w:rFonts w:asciiTheme="majorHAnsi" w:hAnsiTheme="majorHAnsi" w:cs="MyriadPro-SemiCn"/>
          <w:i/>
          <w:color w:val="000000"/>
          <w:lang w:val="en-US"/>
        </w:rPr>
        <w:t xml:space="preserve"> </w:t>
      </w:r>
      <w:r w:rsidRPr="00E576A9">
        <w:rPr>
          <w:rFonts w:asciiTheme="majorHAnsi" w:hAnsiTheme="majorHAnsi" w:cs="MyriadPro-SemiCn"/>
          <w:i/>
          <w:color w:val="000000"/>
          <w:lang w:val="en-US"/>
        </w:rPr>
        <w:t xml:space="preserve">that the </w:t>
      </w:r>
      <w:proofErr w:type="spellStart"/>
      <w:r w:rsidRPr="00E576A9">
        <w:rPr>
          <w:rFonts w:asciiTheme="majorHAnsi" w:hAnsiTheme="majorHAnsi" w:cs="MyriadPro-SemiCn"/>
          <w:i/>
          <w:color w:val="000000"/>
          <w:lang w:val="en-US"/>
        </w:rPr>
        <w:t>ToR</w:t>
      </w:r>
      <w:proofErr w:type="spellEnd"/>
      <w:r w:rsidRPr="00E576A9">
        <w:rPr>
          <w:rFonts w:asciiTheme="majorHAnsi" w:hAnsiTheme="majorHAnsi" w:cs="MyriadPro-SemiCn"/>
          <w:i/>
          <w:color w:val="000000"/>
          <w:lang w:val="en-US"/>
        </w:rPr>
        <w:t xml:space="preserve"> clarifies (</w:t>
      </w:r>
      <w:proofErr w:type="spellStart"/>
      <w:r w:rsidRPr="00E576A9">
        <w:rPr>
          <w:rFonts w:asciiTheme="majorHAnsi" w:hAnsiTheme="majorHAnsi" w:cs="MyriadPro-SemiCn"/>
          <w:i/>
          <w:color w:val="000000"/>
          <w:lang w:val="en-US"/>
        </w:rPr>
        <w:t>i</w:t>
      </w:r>
      <w:proofErr w:type="spellEnd"/>
      <w:r w:rsidRPr="00E576A9">
        <w:rPr>
          <w:rFonts w:asciiTheme="majorHAnsi" w:hAnsiTheme="majorHAnsi" w:cs="MyriadPro-SemiCn"/>
          <w:i/>
          <w:color w:val="000000"/>
          <w:lang w:val="en-US"/>
        </w:rPr>
        <w:t>) the mechanism for selecting and replacing MSG members; and (ii) determine the length of the term of the MSG and whether members can be re-appointed after the term ends; and (iii) specify whether MSG member have alternates and how they are selected.]</w:t>
      </w:r>
      <w:r w:rsidRPr="00E576A9">
        <w:rPr>
          <w:rFonts w:asciiTheme="majorHAnsi" w:hAnsiTheme="majorHAnsi"/>
          <w:noProof/>
          <w:lang w:val="en-US" w:eastAsia="nb-NO"/>
        </w:rPr>
        <w:t xml:space="preserve"> </w:t>
      </w:r>
    </w:p>
    <w:tbl>
      <w:tblPr>
        <w:tblStyle w:val="Style1"/>
        <w:tblW w:w="0" w:type="auto"/>
        <w:tblLook w:val="04A0" w:firstRow="1" w:lastRow="0" w:firstColumn="1" w:lastColumn="0" w:noHBand="0" w:noVBand="1"/>
      </w:tblPr>
      <w:tblGrid>
        <w:gridCol w:w="9854"/>
      </w:tblGrid>
      <w:tr w:rsidR="00DB5BEB" w14:paraId="1E373B07" w14:textId="77777777" w:rsidTr="00BB7C4A">
        <w:tc>
          <w:tcPr>
            <w:tcW w:w="9854" w:type="dxa"/>
          </w:tcPr>
          <w:p w14:paraId="12236E88" w14:textId="77777777" w:rsidR="00DB5BEB" w:rsidRPr="00DB5BEB" w:rsidRDefault="00DB5BEB" w:rsidP="00DB5BEB">
            <w:pPr>
              <w:ind w:left="284"/>
              <w:rPr>
                <w:rFonts w:asciiTheme="majorHAnsi" w:hAnsiTheme="majorHAnsi"/>
                <w:noProof/>
                <w:lang w:val="en-US" w:eastAsia="nb-NO"/>
              </w:rPr>
            </w:pPr>
            <w:r w:rsidRPr="00DB5BEB">
              <w:rPr>
                <w:rFonts w:asciiTheme="majorHAnsi" w:hAnsiTheme="majorHAnsi"/>
                <w:noProof/>
                <w:lang w:val="en-US" w:eastAsia="nb-NO"/>
              </w:rPr>
              <w:t>Examples:</w:t>
            </w:r>
          </w:p>
          <w:p w14:paraId="745419B7" w14:textId="77777777" w:rsidR="00DB5BEB" w:rsidRPr="00DB5BEB" w:rsidRDefault="00DB5BEB" w:rsidP="00DB5BEB">
            <w:pPr>
              <w:ind w:left="284"/>
              <w:rPr>
                <w:rFonts w:asciiTheme="majorHAnsi" w:hAnsiTheme="majorHAnsi"/>
                <w:noProof/>
                <w:lang w:val="en-US" w:eastAsia="nb-NO"/>
              </w:rPr>
            </w:pPr>
            <w:r w:rsidRPr="00DB5BEB">
              <w:rPr>
                <w:rFonts w:asciiTheme="majorHAnsi" w:hAnsiTheme="majorHAnsi"/>
                <w:noProof/>
                <w:lang w:val="en-US" w:eastAsia="nb-NO"/>
              </w:rPr>
              <w:t xml:space="preserve">According to the </w:t>
            </w:r>
            <w:hyperlink r:id="rId15" w:history="1">
              <w:r w:rsidRPr="00DB5BEB">
                <w:rPr>
                  <w:rStyle w:val="Hyperlink"/>
                  <w:rFonts w:asciiTheme="majorHAnsi" w:hAnsiTheme="majorHAnsi"/>
                  <w:noProof/>
                  <w:lang w:val="en-US" w:eastAsia="nb-NO"/>
                </w:rPr>
                <w:t>ToR of the Philippines EITI MSG</w:t>
              </w:r>
            </w:hyperlink>
            <w:r w:rsidRPr="00DB5BEB">
              <w:rPr>
                <w:rFonts w:asciiTheme="majorHAnsi" w:hAnsiTheme="majorHAnsi"/>
                <w:noProof/>
                <w:lang w:val="en-US" w:eastAsia="nb-NO"/>
              </w:rPr>
              <w:t xml:space="preserve">, each constituency group can change their </w:t>
            </w:r>
            <w:r w:rsidRPr="00DB5BEB">
              <w:rPr>
                <w:rFonts w:asciiTheme="majorHAnsi" w:hAnsiTheme="majorHAnsi"/>
                <w:noProof/>
                <w:lang w:val="en-US" w:eastAsia="nb-NO"/>
              </w:rPr>
              <w:lastRenderedPageBreak/>
              <w:t>members according to their own governance rules.</w:t>
            </w:r>
          </w:p>
          <w:p w14:paraId="596B782A" w14:textId="77777777" w:rsidR="00DB5BEB" w:rsidRPr="00DB5BEB" w:rsidRDefault="00DB5BEB" w:rsidP="00DB5BEB">
            <w:pPr>
              <w:ind w:left="284"/>
              <w:rPr>
                <w:rFonts w:asciiTheme="majorHAnsi" w:hAnsiTheme="majorHAnsi"/>
                <w:noProof/>
                <w:lang w:val="en-US" w:eastAsia="nb-NO"/>
              </w:rPr>
            </w:pPr>
            <w:r w:rsidRPr="00DB5BEB">
              <w:rPr>
                <w:rFonts w:asciiTheme="majorHAnsi" w:hAnsiTheme="majorHAnsi"/>
                <w:noProof/>
                <w:lang w:val="en-US" w:eastAsia="nb-NO"/>
              </w:rPr>
              <w:t>Term lengths vary from country to country. A typical MSG term is two to three years (e.g.  Indonesia, the Philippines, and Timor-Leste).</w:t>
            </w:r>
          </w:p>
          <w:p w14:paraId="0AEDD8AD" w14:textId="77777777" w:rsidR="00DB5BEB" w:rsidRPr="00DB5BEB" w:rsidRDefault="00DB5BEB" w:rsidP="00DB5BEB">
            <w:pPr>
              <w:ind w:left="284"/>
              <w:rPr>
                <w:rFonts w:asciiTheme="majorHAnsi" w:hAnsiTheme="majorHAnsi"/>
                <w:noProof/>
                <w:lang w:val="en-US" w:eastAsia="nb-NO"/>
              </w:rPr>
            </w:pPr>
            <w:r w:rsidRPr="00DB5BEB">
              <w:rPr>
                <w:rFonts w:asciiTheme="majorHAnsi" w:hAnsiTheme="majorHAnsi"/>
                <w:noProof/>
                <w:lang w:val="en-US" w:eastAsia="nb-NO"/>
              </w:rPr>
              <w:t xml:space="preserve">MSGs typically have 12 to 24 members. Several countries have equal numerical representation (e.g. Mongolia or Kazakhstan) while others have unequal numerical representation (e.g. Cameroon or Nigeria).  </w:t>
            </w:r>
          </w:p>
          <w:p w14:paraId="0125B256" w14:textId="77777777" w:rsidR="00DB5BEB" w:rsidRDefault="00DB5BEB" w:rsidP="00BB7C4A">
            <w:pPr>
              <w:ind w:left="284"/>
              <w:rPr>
                <w:rFonts w:asciiTheme="majorHAnsi" w:hAnsiTheme="majorHAnsi"/>
                <w:noProof/>
                <w:lang w:val="en-US" w:eastAsia="nb-NO"/>
              </w:rPr>
            </w:pPr>
          </w:p>
        </w:tc>
      </w:tr>
    </w:tbl>
    <w:p w14:paraId="57504912" w14:textId="77777777" w:rsidR="00DB5BEB" w:rsidRDefault="00DB5BEB" w:rsidP="00C24970">
      <w:pPr>
        <w:rPr>
          <w:rFonts w:asciiTheme="majorHAnsi" w:hAnsiTheme="majorHAnsi"/>
          <w:noProof/>
          <w:lang w:val="en-US" w:eastAsia="nb-NO"/>
        </w:rPr>
      </w:pPr>
    </w:p>
    <w:p w14:paraId="1759B614" w14:textId="77777777" w:rsidR="006002AF" w:rsidRPr="00DB5BEB" w:rsidRDefault="00C24970" w:rsidP="006002AF">
      <w:pPr>
        <w:pStyle w:val="Heading3"/>
        <w:rPr>
          <w:rFonts w:asciiTheme="majorHAnsi" w:hAnsiTheme="majorHAnsi"/>
          <w:sz w:val="28"/>
          <w:lang w:val="en-US"/>
        </w:rPr>
      </w:pPr>
      <w:bookmarkStart w:id="20" w:name="_Toc271971329"/>
      <w:bookmarkStart w:id="21" w:name="_Toc325199330"/>
      <w:r w:rsidRPr="00DB5BEB">
        <w:rPr>
          <w:rFonts w:asciiTheme="majorHAnsi" w:hAnsiTheme="majorHAnsi"/>
          <w:sz w:val="28"/>
          <w:lang w:val="en-US"/>
        </w:rPr>
        <w:t>3.2 Observers</w:t>
      </w:r>
      <w:bookmarkEnd w:id="20"/>
      <w:bookmarkEnd w:id="21"/>
    </w:p>
    <w:p w14:paraId="235E096D" w14:textId="44C7E99D" w:rsidR="00C24970" w:rsidRDefault="00C24970" w:rsidP="00C24970">
      <w:pPr>
        <w:rPr>
          <w:rFonts w:asciiTheme="majorHAnsi" w:hAnsiTheme="majorHAnsi" w:cs="MyriadPro-SemiCn"/>
          <w:i/>
          <w:color w:val="000000"/>
          <w:lang w:val="en-US"/>
        </w:rPr>
      </w:pPr>
      <w:r w:rsidRPr="00E576A9">
        <w:rPr>
          <w:rFonts w:asciiTheme="majorHAnsi" w:hAnsiTheme="majorHAnsi"/>
          <w:i/>
          <w:lang w:val="en-US"/>
        </w:rPr>
        <w:t>[</w:t>
      </w:r>
      <w:r w:rsidRPr="00E576A9">
        <w:rPr>
          <w:rFonts w:asciiTheme="majorHAnsi" w:hAnsiTheme="majorHAnsi" w:cs="MyriadPro-SemiCn"/>
          <w:i/>
          <w:color w:val="000000"/>
          <w:lang w:val="en-US"/>
        </w:rPr>
        <w:t xml:space="preserve">The MSG may wish to specify a policy on observers.] </w:t>
      </w:r>
    </w:p>
    <w:p w14:paraId="233F5F61" w14:textId="77777777" w:rsidR="006D6BB1" w:rsidRPr="00E576A9" w:rsidRDefault="006D6BB1" w:rsidP="00C24970">
      <w:pPr>
        <w:rPr>
          <w:rFonts w:asciiTheme="majorHAnsi" w:hAnsiTheme="majorHAnsi" w:cs="MyriadPro-SemiCn"/>
          <w:i/>
          <w:color w:val="000000"/>
          <w:lang w:val="en-US"/>
        </w:rPr>
      </w:pPr>
    </w:p>
    <w:tbl>
      <w:tblPr>
        <w:tblStyle w:val="Style1"/>
        <w:tblW w:w="0" w:type="auto"/>
        <w:tblLook w:val="04A0" w:firstRow="1" w:lastRow="0" w:firstColumn="1" w:lastColumn="0" w:noHBand="0" w:noVBand="1"/>
      </w:tblPr>
      <w:tblGrid>
        <w:gridCol w:w="9854"/>
      </w:tblGrid>
      <w:tr w:rsidR="006D6BB1" w14:paraId="3B2CB04A" w14:textId="77777777" w:rsidTr="00BB7C4A">
        <w:tc>
          <w:tcPr>
            <w:tcW w:w="9854" w:type="dxa"/>
          </w:tcPr>
          <w:p w14:paraId="39D0DF88" w14:textId="77777777" w:rsidR="006D6BB1" w:rsidRDefault="006D6BB1" w:rsidP="00BB7C4A">
            <w:pPr>
              <w:rPr>
                <w:rFonts w:asciiTheme="majorHAnsi" w:hAnsiTheme="majorHAnsi"/>
                <w:i/>
                <w:noProof/>
                <w:lang w:val="en-US" w:eastAsia="nb-NO"/>
              </w:rPr>
            </w:pPr>
          </w:p>
          <w:p w14:paraId="2C61A667" w14:textId="77777777" w:rsidR="006D6BB1" w:rsidRPr="006D6BB1" w:rsidRDefault="006D6BB1" w:rsidP="006D6BB1">
            <w:pPr>
              <w:ind w:left="284"/>
              <w:rPr>
                <w:rFonts w:asciiTheme="majorHAnsi" w:hAnsiTheme="majorHAnsi"/>
                <w:i/>
                <w:noProof/>
                <w:lang w:val="en-US" w:eastAsia="nb-NO"/>
              </w:rPr>
            </w:pPr>
            <w:r w:rsidRPr="006D6BB1">
              <w:rPr>
                <w:rFonts w:asciiTheme="majorHAnsi" w:hAnsiTheme="majorHAnsi"/>
                <w:i/>
                <w:noProof/>
                <w:lang w:val="en-US" w:eastAsia="nb-NO"/>
              </w:rPr>
              <w:t>Examples:</w:t>
            </w:r>
          </w:p>
          <w:p w14:paraId="39398AE5" w14:textId="77777777" w:rsidR="006D6BB1" w:rsidRPr="006D6BB1" w:rsidRDefault="006D6BB1" w:rsidP="006D6BB1">
            <w:pPr>
              <w:ind w:left="284"/>
              <w:rPr>
                <w:rFonts w:asciiTheme="majorHAnsi" w:hAnsiTheme="majorHAnsi"/>
                <w:noProof/>
                <w:lang w:val="en-US" w:eastAsia="nb-NO"/>
              </w:rPr>
            </w:pPr>
            <w:r w:rsidRPr="006D6BB1">
              <w:rPr>
                <w:rFonts w:asciiTheme="majorHAnsi" w:hAnsiTheme="majorHAnsi"/>
                <w:noProof/>
                <w:lang w:val="en-US" w:eastAsia="nb-NO"/>
              </w:rPr>
              <w:t>According to the ToR of the Mongolia EITI MSG, “Citizens, representatives of national and foreign agencies and organizations are entitled to participate in the MSWG meeting, make speech, make proposal, ask questions and get responses.”</w:t>
            </w:r>
          </w:p>
          <w:p w14:paraId="09B4558C" w14:textId="77777777" w:rsidR="006D6BB1" w:rsidRDefault="006D6BB1" w:rsidP="006D6BB1">
            <w:pPr>
              <w:ind w:left="284"/>
              <w:rPr>
                <w:rFonts w:asciiTheme="majorHAnsi" w:hAnsiTheme="majorHAnsi"/>
                <w:noProof/>
                <w:lang w:val="en-US" w:eastAsia="nb-NO"/>
              </w:rPr>
            </w:pPr>
            <w:r w:rsidRPr="006D6BB1">
              <w:rPr>
                <w:rFonts w:asciiTheme="majorHAnsi" w:hAnsiTheme="majorHAnsi"/>
                <w:noProof/>
                <w:lang w:val="en-US" w:eastAsia="nb-NO"/>
              </w:rPr>
              <w:t xml:space="preserve">The </w:t>
            </w:r>
            <w:hyperlink r:id="rId16" w:history="1">
              <w:r w:rsidRPr="006D6BB1">
                <w:rPr>
                  <w:rStyle w:val="Hyperlink"/>
                  <w:rFonts w:asciiTheme="majorHAnsi" w:hAnsiTheme="majorHAnsi"/>
                  <w:noProof/>
                  <w:lang w:val="en-US" w:eastAsia="nb-NO"/>
                </w:rPr>
                <w:t>UK EITI MSG ToR</w:t>
              </w:r>
            </w:hyperlink>
            <w:r w:rsidRPr="006D6BB1">
              <w:rPr>
                <w:rFonts w:asciiTheme="majorHAnsi" w:hAnsiTheme="majorHAnsi"/>
                <w:noProof/>
                <w:lang w:val="en-US" w:eastAsia="nb-NO"/>
              </w:rPr>
              <w:t xml:space="preserve"> states that up to 6 observers will be welcomed at each meeting; they will be able to engage in the discussion at the MSG but will not have a right to vote. Observers for each meeting will be nominated by MSG members in advance of the relevant meeting. An additional standing observer slot will be allocated to the EITI International Secretariat</w:t>
            </w:r>
          </w:p>
          <w:p w14:paraId="1EF1BEAD" w14:textId="6F9245FC" w:rsidR="006D6BB1" w:rsidRDefault="006D6BB1" w:rsidP="006D6BB1">
            <w:pPr>
              <w:ind w:left="284"/>
              <w:rPr>
                <w:rFonts w:asciiTheme="majorHAnsi" w:hAnsiTheme="majorHAnsi"/>
                <w:noProof/>
                <w:lang w:val="en-US" w:eastAsia="nb-NO"/>
              </w:rPr>
            </w:pPr>
          </w:p>
        </w:tc>
      </w:tr>
    </w:tbl>
    <w:p w14:paraId="699C5065" w14:textId="77777777" w:rsidR="00C24970" w:rsidRPr="00E576A9" w:rsidRDefault="00C24970" w:rsidP="00C24970">
      <w:pPr>
        <w:rPr>
          <w:rFonts w:asciiTheme="majorHAnsi" w:hAnsiTheme="majorHAnsi"/>
          <w:lang w:val="en-US"/>
        </w:rPr>
      </w:pPr>
    </w:p>
    <w:p w14:paraId="2CC51C91" w14:textId="77777777" w:rsidR="00C24970" w:rsidRPr="00DB5BEB" w:rsidRDefault="00C24970" w:rsidP="00C24970">
      <w:pPr>
        <w:pStyle w:val="Heading2"/>
        <w:rPr>
          <w:rFonts w:asciiTheme="majorHAnsi" w:hAnsiTheme="majorHAnsi"/>
          <w:sz w:val="32"/>
        </w:rPr>
      </w:pPr>
      <w:bookmarkStart w:id="22" w:name="_Toc271971330"/>
      <w:bookmarkStart w:id="23" w:name="_Toc325199331"/>
      <w:r w:rsidRPr="00DB5BEB">
        <w:rPr>
          <w:rFonts w:asciiTheme="majorHAnsi" w:hAnsiTheme="majorHAnsi"/>
          <w:sz w:val="32"/>
          <w:lang w:val="en-US"/>
        </w:rPr>
        <w:t xml:space="preserve">4 MSG </w:t>
      </w:r>
      <w:r w:rsidRPr="00DB5BEB">
        <w:rPr>
          <w:rFonts w:asciiTheme="majorHAnsi" w:hAnsiTheme="majorHAnsi"/>
          <w:sz w:val="32"/>
        </w:rPr>
        <w:t>operations and proceedings</w:t>
      </w:r>
      <w:bookmarkEnd w:id="22"/>
      <w:bookmarkEnd w:id="23"/>
    </w:p>
    <w:p w14:paraId="20E5B368" w14:textId="5A12660F" w:rsidR="00C24970" w:rsidRPr="00E576A9" w:rsidRDefault="00C24970" w:rsidP="00D664A7">
      <w:pPr>
        <w:rPr>
          <w:rFonts w:asciiTheme="majorHAnsi" w:hAnsiTheme="majorHAnsi" w:cs="MyriadPro-SemiCn"/>
          <w:i/>
          <w:lang w:val="en-US"/>
        </w:rPr>
      </w:pPr>
      <w:r w:rsidRPr="00E576A9">
        <w:rPr>
          <w:rFonts w:asciiTheme="majorHAnsi" w:hAnsiTheme="majorHAnsi" w:cs="MyriadPro-SemiCn"/>
          <w:i/>
          <w:lang w:val="en-US"/>
        </w:rPr>
        <w:t xml:space="preserve">[The MSG </w:t>
      </w:r>
      <w:proofErr w:type="spellStart"/>
      <w:r w:rsidRPr="00E576A9">
        <w:rPr>
          <w:rFonts w:asciiTheme="majorHAnsi" w:hAnsiTheme="majorHAnsi" w:cs="MyriadPro-SemiCn"/>
          <w:i/>
          <w:lang w:val="en-US"/>
        </w:rPr>
        <w:t>ToR</w:t>
      </w:r>
      <w:proofErr w:type="spellEnd"/>
      <w:r w:rsidRPr="00E576A9">
        <w:rPr>
          <w:rFonts w:asciiTheme="majorHAnsi" w:hAnsiTheme="majorHAnsi" w:cs="MyriadPro-SemiCn"/>
          <w:i/>
          <w:lang w:val="en-US"/>
        </w:rPr>
        <w:t xml:space="preserve"> should set out the internal governance rules and procedures of the MSG (requirement 1.</w:t>
      </w:r>
      <w:r w:rsidR="00D664A7" w:rsidRPr="00E576A9">
        <w:rPr>
          <w:rFonts w:asciiTheme="majorHAnsi" w:hAnsiTheme="majorHAnsi" w:cs="MyriadPro-SemiCn"/>
          <w:i/>
          <w:lang w:val="en-US"/>
        </w:rPr>
        <w:t>4.b.</w:t>
      </w:r>
      <w:r w:rsidRPr="00E576A9">
        <w:rPr>
          <w:rFonts w:asciiTheme="majorHAnsi" w:hAnsiTheme="majorHAnsi" w:cs="MyriadPro-SemiCn"/>
          <w:i/>
          <w:lang w:val="en-US"/>
        </w:rPr>
        <w:t>(</w:t>
      </w:r>
      <w:r w:rsidRPr="00E576A9">
        <w:rPr>
          <w:rFonts w:asciiTheme="majorHAnsi" w:hAnsiTheme="majorHAnsi" w:cs="MyriadPro-SemiCn"/>
          <w:i/>
          <w:color w:val="000000"/>
          <w:lang w:val="en-US"/>
        </w:rPr>
        <w:t>vi-vi</w:t>
      </w:r>
      <w:r w:rsidR="00D664A7" w:rsidRPr="00E576A9">
        <w:rPr>
          <w:rFonts w:asciiTheme="majorHAnsi" w:hAnsiTheme="majorHAnsi" w:cs="MyriadPro-SemiCn"/>
          <w:i/>
          <w:color w:val="000000"/>
          <w:lang w:val="en-US"/>
        </w:rPr>
        <w:t>i</w:t>
      </w:r>
      <w:r w:rsidRPr="00E576A9">
        <w:rPr>
          <w:rFonts w:asciiTheme="majorHAnsi" w:hAnsiTheme="majorHAnsi" w:cs="MyriadPro-SemiCn"/>
          <w:i/>
          <w:color w:val="000000"/>
          <w:lang w:val="en-US"/>
        </w:rPr>
        <w:t>i)</w:t>
      </w:r>
      <w:r w:rsidRPr="00E576A9">
        <w:rPr>
          <w:rFonts w:asciiTheme="majorHAnsi" w:hAnsiTheme="majorHAnsi" w:cs="MyriadPro-SemiCn"/>
          <w:i/>
          <w:lang w:val="en-US"/>
        </w:rPr>
        <w:t xml:space="preserve">.] </w:t>
      </w:r>
    </w:p>
    <w:p w14:paraId="27205042" w14:textId="77777777" w:rsidR="00C24970" w:rsidRPr="00DB5BEB" w:rsidRDefault="00C24970" w:rsidP="00C24970">
      <w:pPr>
        <w:pStyle w:val="Heading3"/>
        <w:rPr>
          <w:rFonts w:asciiTheme="majorHAnsi" w:hAnsiTheme="majorHAnsi"/>
          <w:sz w:val="28"/>
          <w:lang w:val="en-US"/>
        </w:rPr>
      </w:pPr>
      <w:bookmarkStart w:id="24" w:name="_Toc271971331"/>
      <w:bookmarkStart w:id="25" w:name="_Toc325199332"/>
      <w:r w:rsidRPr="00DB5BEB">
        <w:rPr>
          <w:rFonts w:asciiTheme="majorHAnsi" w:hAnsiTheme="majorHAnsi"/>
          <w:sz w:val="28"/>
          <w:lang w:val="en-US"/>
        </w:rPr>
        <w:t>4.1 Frequency and notice of meetings</w:t>
      </w:r>
      <w:bookmarkEnd w:id="24"/>
      <w:bookmarkEnd w:id="25"/>
    </w:p>
    <w:p w14:paraId="1DB3C5A7" w14:textId="33CCF890" w:rsidR="00C24970" w:rsidRPr="00E576A9" w:rsidRDefault="00C24970" w:rsidP="00D664A7">
      <w:pPr>
        <w:autoSpaceDE w:val="0"/>
        <w:autoSpaceDN w:val="0"/>
        <w:adjustRightInd w:val="0"/>
        <w:spacing w:after="0" w:line="240" w:lineRule="auto"/>
        <w:rPr>
          <w:rFonts w:asciiTheme="majorHAnsi" w:hAnsiTheme="majorHAnsi" w:cs="MyriadPro-SemiCn"/>
          <w:i/>
          <w:lang w:val="en-US"/>
        </w:rPr>
      </w:pPr>
      <w:r w:rsidRPr="00E576A9">
        <w:rPr>
          <w:rFonts w:asciiTheme="majorHAnsi" w:hAnsiTheme="majorHAnsi" w:cs="MyriadPro-SemiCn"/>
          <w:i/>
          <w:lang w:val="en-US"/>
        </w:rPr>
        <w:t>[Requirement 1.</w:t>
      </w:r>
      <w:r w:rsidR="00D664A7" w:rsidRPr="00E576A9">
        <w:rPr>
          <w:rFonts w:asciiTheme="majorHAnsi" w:hAnsiTheme="majorHAnsi" w:cs="MyriadPro-SemiCn"/>
          <w:i/>
          <w:lang w:val="en-US"/>
        </w:rPr>
        <w:t>4</w:t>
      </w:r>
      <w:r w:rsidRPr="00E576A9">
        <w:rPr>
          <w:rFonts w:asciiTheme="majorHAnsi" w:hAnsiTheme="majorHAnsi" w:cs="MyriadPro-SemiCn"/>
          <w:i/>
          <w:lang w:val="en-US"/>
        </w:rPr>
        <w:t>(</w:t>
      </w:r>
      <w:r w:rsidR="00D664A7" w:rsidRPr="00E576A9">
        <w:rPr>
          <w:rFonts w:asciiTheme="majorHAnsi" w:hAnsiTheme="majorHAnsi" w:cs="MyriadPro-SemiCn"/>
          <w:i/>
          <w:lang w:val="en-US"/>
        </w:rPr>
        <w:t>b</w:t>
      </w:r>
      <w:r w:rsidRPr="00E576A9">
        <w:rPr>
          <w:rFonts w:asciiTheme="majorHAnsi" w:hAnsiTheme="majorHAnsi" w:cs="MyriadPro-SemiCn"/>
          <w:i/>
          <w:lang w:val="en-US"/>
        </w:rPr>
        <w:t>)(</w:t>
      </w:r>
      <w:r w:rsidRPr="00E576A9">
        <w:rPr>
          <w:rFonts w:asciiTheme="majorHAnsi" w:hAnsiTheme="majorHAnsi" w:cs="MyriadPro-SemiCn"/>
          <w:i/>
          <w:color w:val="000000"/>
          <w:lang w:val="en-US"/>
        </w:rPr>
        <w:t xml:space="preserve">vii) states that there should be sufficient </w:t>
      </w:r>
      <w:proofErr w:type="gramStart"/>
      <w:r w:rsidRPr="00E576A9">
        <w:rPr>
          <w:rFonts w:asciiTheme="majorHAnsi" w:hAnsiTheme="majorHAnsi" w:cs="MyriadPro-SemiCn"/>
          <w:i/>
          <w:color w:val="000000"/>
          <w:lang w:val="en-US"/>
        </w:rPr>
        <w:t>advance notice</w:t>
      </w:r>
      <w:proofErr w:type="gramEnd"/>
      <w:r w:rsidRPr="00E576A9">
        <w:rPr>
          <w:rFonts w:asciiTheme="majorHAnsi" w:hAnsiTheme="majorHAnsi" w:cs="MyriadPro-SemiCn"/>
          <w:i/>
          <w:color w:val="000000"/>
          <w:lang w:val="en-US"/>
        </w:rPr>
        <w:t xml:space="preserve"> of meetings and timely circulation of documents prior to their debate and proposed adoption. </w:t>
      </w:r>
      <w:r w:rsidRPr="00E576A9">
        <w:rPr>
          <w:rFonts w:asciiTheme="majorHAnsi" w:hAnsiTheme="majorHAnsi" w:cs="MyriadPro-SemiCn"/>
          <w:i/>
          <w:lang w:val="en-US"/>
        </w:rPr>
        <w:t>This enables MSG members to prepare for meetings and discussions.  Any member of the MSG has the right to table an issue for discussion (requirement 1.</w:t>
      </w:r>
      <w:proofErr w:type="gramStart"/>
      <w:r w:rsidR="00D664A7" w:rsidRPr="00E576A9">
        <w:rPr>
          <w:rFonts w:asciiTheme="majorHAnsi" w:hAnsiTheme="majorHAnsi" w:cs="MyriadPro-SemiCn"/>
          <w:i/>
          <w:lang w:val="en-US"/>
        </w:rPr>
        <w:t>4</w:t>
      </w:r>
      <w:r w:rsidRPr="00E576A9">
        <w:rPr>
          <w:rFonts w:asciiTheme="majorHAnsi" w:hAnsiTheme="majorHAnsi" w:cs="MyriadPro-SemiCn"/>
          <w:i/>
          <w:lang w:val="en-US"/>
        </w:rPr>
        <w:t>.(</w:t>
      </w:r>
      <w:proofErr w:type="gramEnd"/>
      <w:r w:rsidR="00D664A7" w:rsidRPr="00E576A9">
        <w:rPr>
          <w:rFonts w:asciiTheme="majorHAnsi" w:hAnsiTheme="majorHAnsi" w:cs="MyriadPro-SemiCn"/>
          <w:i/>
          <w:lang w:val="en-US"/>
        </w:rPr>
        <w:t>b</w:t>
      </w:r>
      <w:r w:rsidRPr="00E576A9">
        <w:rPr>
          <w:rFonts w:asciiTheme="majorHAnsi" w:hAnsiTheme="majorHAnsi" w:cs="MyriadPro-SemiCn"/>
          <w:i/>
          <w:lang w:val="en-US"/>
        </w:rPr>
        <w:t>)(vi)).</w:t>
      </w:r>
      <w:r w:rsidRPr="00E576A9">
        <w:rPr>
          <w:rFonts w:asciiTheme="majorHAnsi" w:hAnsiTheme="majorHAnsi"/>
          <w:lang w:val="en-US"/>
        </w:rPr>
        <w:t xml:space="preserve"> </w:t>
      </w:r>
      <w:r w:rsidRPr="00E576A9">
        <w:rPr>
          <w:rFonts w:asciiTheme="majorHAnsi" w:hAnsiTheme="majorHAnsi" w:cs="MyriadPro-SemiCn"/>
          <w:i/>
          <w:lang w:val="en-US"/>
        </w:rPr>
        <w:t xml:space="preserve">The MSG is advised to ensure that the </w:t>
      </w:r>
      <w:proofErr w:type="spellStart"/>
      <w:r w:rsidRPr="00E576A9">
        <w:rPr>
          <w:rFonts w:asciiTheme="majorHAnsi" w:hAnsiTheme="majorHAnsi" w:cs="MyriadPro-SemiCn"/>
          <w:i/>
          <w:lang w:val="en-US"/>
        </w:rPr>
        <w:t>ToR</w:t>
      </w:r>
      <w:proofErr w:type="spellEnd"/>
      <w:r w:rsidRPr="00E576A9">
        <w:rPr>
          <w:rFonts w:asciiTheme="majorHAnsi" w:hAnsiTheme="majorHAnsi" w:cs="MyriadPro-SemiCn"/>
          <w:i/>
          <w:lang w:val="en-US"/>
        </w:rPr>
        <w:t xml:space="preserve"> specify the minimum notice of meetings, the frequency of meetings and the process for calling meetings.]</w:t>
      </w:r>
    </w:p>
    <w:p w14:paraId="14B24AB2" w14:textId="77777777" w:rsidR="00C24970" w:rsidRPr="00E576A9" w:rsidRDefault="00C24970" w:rsidP="00C24970">
      <w:pPr>
        <w:autoSpaceDE w:val="0"/>
        <w:autoSpaceDN w:val="0"/>
        <w:adjustRightInd w:val="0"/>
        <w:spacing w:after="0" w:line="240" w:lineRule="auto"/>
        <w:rPr>
          <w:rFonts w:asciiTheme="majorHAnsi" w:hAnsiTheme="majorHAnsi" w:cs="MyriadPro-SemiCn"/>
          <w:lang w:val="en-US"/>
        </w:rPr>
      </w:pPr>
    </w:p>
    <w:tbl>
      <w:tblPr>
        <w:tblStyle w:val="Style1"/>
        <w:tblW w:w="0" w:type="auto"/>
        <w:tblLook w:val="04A0" w:firstRow="1" w:lastRow="0" w:firstColumn="1" w:lastColumn="0" w:noHBand="0" w:noVBand="1"/>
      </w:tblPr>
      <w:tblGrid>
        <w:gridCol w:w="9854"/>
      </w:tblGrid>
      <w:tr w:rsidR="005E42CA" w14:paraId="5299A52C" w14:textId="77777777" w:rsidTr="005E42CA">
        <w:tc>
          <w:tcPr>
            <w:tcW w:w="9854" w:type="dxa"/>
          </w:tcPr>
          <w:p w14:paraId="4B480C26" w14:textId="77777777" w:rsidR="005E42CA" w:rsidRDefault="005E42CA" w:rsidP="00C24970">
            <w:pPr>
              <w:autoSpaceDE w:val="0"/>
              <w:autoSpaceDN w:val="0"/>
              <w:adjustRightInd w:val="0"/>
              <w:spacing w:after="0" w:line="240" w:lineRule="auto"/>
              <w:rPr>
                <w:rFonts w:asciiTheme="majorHAnsi" w:hAnsiTheme="majorHAnsi" w:cs="MyriadPro-SemiCn"/>
                <w:lang w:val="en-US"/>
              </w:rPr>
            </w:pPr>
          </w:p>
          <w:p w14:paraId="0EAE12CD" w14:textId="77777777" w:rsidR="005E42CA" w:rsidRPr="005E42CA" w:rsidRDefault="005E42CA" w:rsidP="005E42CA">
            <w:pPr>
              <w:autoSpaceDE w:val="0"/>
              <w:autoSpaceDN w:val="0"/>
              <w:adjustRightInd w:val="0"/>
              <w:spacing w:after="0" w:line="240" w:lineRule="auto"/>
              <w:ind w:left="284"/>
              <w:rPr>
                <w:rFonts w:asciiTheme="majorHAnsi" w:hAnsiTheme="majorHAnsi" w:cs="MyriadPro-SemiCn"/>
                <w:i/>
                <w:lang w:val="en-US"/>
              </w:rPr>
            </w:pPr>
            <w:r w:rsidRPr="005E42CA">
              <w:rPr>
                <w:rFonts w:asciiTheme="majorHAnsi" w:hAnsiTheme="majorHAnsi" w:cs="MyriadPro-SemiCn"/>
                <w:i/>
                <w:lang w:val="en-US"/>
              </w:rPr>
              <w:lastRenderedPageBreak/>
              <w:t xml:space="preserve">Examples: </w:t>
            </w:r>
          </w:p>
          <w:p w14:paraId="0997094E" w14:textId="6373D3BD" w:rsidR="005E42CA" w:rsidRPr="005E42CA" w:rsidRDefault="005E42CA" w:rsidP="005E42CA">
            <w:pPr>
              <w:autoSpaceDE w:val="0"/>
              <w:autoSpaceDN w:val="0"/>
              <w:adjustRightInd w:val="0"/>
              <w:spacing w:after="0" w:line="240" w:lineRule="auto"/>
              <w:ind w:left="284"/>
              <w:rPr>
                <w:rFonts w:asciiTheme="majorHAnsi" w:hAnsiTheme="majorHAnsi" w:cs="MyriadPro-SemiCn"/>
                <w:lang w:val="en-US"/>
              </w:rPr>
            </w:pPr>
            <w:r w:rsidRPr="005E42CA">
              <w:rPr>
                <w:rFonts w:asciiTheme="majorHAnsi" w:hAnsiTheme="majorHAnsi" w:cs="MyriadPro-SemiCn"/>
                <w:lang w:val="en-US"/>
              </w:rPr>
              <w:t xml:space="preserve">The </w:t>
            </w:r>
            <w:hyperlink r:id="rId17" w:history="1">
              <w:proofErr w:type="spellStart"/>
              <w:r w:rsidRPr="005E42CA">
                <w:rPr>
                  <w:rStyle w:val="Hyperlink"/>
                  <w:rFonts w:asciiTheme="majorHAnsi" w:hAnsiTheme="majorHAnsi" w:cs="MyriadPro-SemiCn"/>
                  <w:lang w:val="en-US"/>
                </w:rPr>
                <w:t>ToR</w:t>
              </w:r>
              <w:proofErr w:type="spellEnd"/>
              <w:r w:rsidRPr="005E42CA">
                <w:rPr>
                  <w:rStyle w:val="Hyperlink"/>
                  <w:rFonts w:asciiTheme="majorHAnsi" w:hAnsiTheme="majorHAnsi" w:cs="MyriadPro-SemiCn"/>
                  <w:lang w:val="en-US"/>
                </w:rPr>
                <w:t xml:space="preserve"> of the Philippine MSG</w:t>
              </w:r>
            </w:hyperlink>
            <w:r w:rsidRPr="005E42CA">
              <w:rPr>
                <w:rFonts w:asciiTheme="majorHAnsi" w:hAnsiTheme="majorHAnsi" w:cs="MyriadPro-SemiCn"/>
                <w:lang w:val="en-US"/>
              </w:rPr>
              <w:t xml:space="preserve"> states that the MSG should meet quarterly or as often as required, with the Chair calling meetings, with a minimum of one week’s notice.</w:t>
            </w:r>
          </w:p>
          <w:p w14:paraId="024CA0F3" w14:textId="77777777" w:rsidR="005E42CA" w:rsidRPr="005E42CA" w:rsidRDefault="005E42CA" w:rsidP="005E42CA">
            <w:pPr>
              <w:autoSpaceDE w:val="0"/>
              <w:autoSpaceDN w:val="0"/>
              <w:adjustRightInd w:val="0"/>
              <w:spacing w:after="0" w:line="240" w:lineRule="auto"/>
              <w:ind w:left="284"/>
              <w:rPr>
                <w:rFonts w:asciiTheme="majorHAnsi" w:hAnsiTheme="majorHAnsi" w:cs="MyriadPro-SemiCn"/>
                <w:lang w:val="en-US"/>
              </w:rPr>
            </w:pPr>
            <w:r w:rsidRPr="005E42CA">
              <w:rPr>
                <w:rFonts w:asciiTheme="majorHAnsi" w:hAnsiTheme="majorHAnsi" w:cs="MyriadPro-SemiCn"/>
                <w:lang w:val="en-US"/>
              </w:rPr>
              <w:t xml:space="preserve">In Mongolia, the Chair and the Deputy Chair in the first instance have powers to call meetings, with the Secretary of the National Council given the responsibility to prepare for the meetings.  The agenda and associated materials must be sent to all members at least 3 days before each National Council meeting.  </w:t>
            </w:r>
          </w:p>
          <w:p w14:paraId="46FF7E36" w14:textId="77777777" w:rsidR="005E42CA" w:rsidRDefault="005E42CA" w:rsidP="00C24970">
            <w:pPr>
              <w:autoSpaceDE w:val="0"/>
              <w:autoSpaceDN w:val="0"/>
              <w:adjustRightInd w:val="0"/>
              <w:spacing w:after="0" w:line="240" w:lineRule="auto"/>
              <w:rPr>
                <w:rFonts w:asciiTheme="majorHAnsi" w:hAnsiTheme="majorHAnsi" w:cs="MyriadPro-SemiCn"/>
                <w:lang w:val="en-US"/>
              </w:rPr>
            </w:pPr>
          </w:p>
        </w:tc>
      </w:tr>
    </w:tbl>
    <w:p w14:paraId="2012BA1C" w14:textId="77777777" w:rsidR="00C24970" w:rsidRPr="00E576A9" w:rsidRDefault="00C24970" w:rsidP="00C24970">
      <w:pPr>
        <w:autoSpaceDE w:val="0"/>
        <w:autoSpaceDN w:val="0"/>
        <w:adjustRightInd w:val="0"/>
        <w:spacing w:after="0" w:line="240" w:lineRule="auto"/>
        <w:rPr>
          <w:rFonts w:asciiTheme="majorHAnsi" w:hAnsiTheme="majorHAnsi" w:cs="MyriadPro-SemiCn"/>
          <w:lang w:val="en-US"/>
        </w:rPr>
      </w:pPr>
    </w:p>
    <w:p w14:paraId="097A7EB2" w14:textId="77777777" w:rsidR="00C24970" w:rsidRPr="00DB5BEB" w:rsidRDefault="00C24970" w:rsidP="00C24970">
      <w:pPr>
        <w:pStyle w:val="Heading3"/>
        <w:rPr>
          <w:rFonts w:asciiTheme="majorHAnsi" w:hAnsiTheme="majorHAnsi"/>
          <w:sz w:val="28"/>
          <w:lang w:val="en-US"/>
        </w:rPr>
      </w:pPr>
      <w:bookmarkStart w:id="26" w:name="_Toc271971332"/>
      <w:bookmarkStart w:id="27" w:name="_Toc325199333"/>
      <w:r w:rsidRPr="00DB5BEB">
        <w:rPr>
          <w:rFonts w:asciiTheme="majorHAnsi" w:hAnsiTheme="majorHAnsi"/>
          <w:sz w:val="28"/>
          <w:lang w:val="en-US"/>
        </w:rPr>
        <w:t>4.2 Decision-making</w:t>
      </w:r>
      <w:bookmarkEnd w:id="26"/>
      <w:bookmarkEnd w:id="27"/>
    </w:p>
    <w:p w14:paraId="3B5B20D2" w14:textId="18A7A696" w:rsidR="00C24970" w:rsidRDefault="00C24970" w:rsidP="00C24970">
      <w:pPr>
        <w:rPr>
          <w:rFonts w:asciiTheme="majorHAnsi" w:hAnsiTheme="majorHAnsi" w:cs="MyriadPro-SemiCn"/>
          <w:i/>
          <w:color w:val="000000"/>
          <w:lang w:val="en-US"/>
        </w:rPr>
      </w:pPr>
      <w:r w:rsidRPr="00E576A9">
        <w:rPr>
          <w:rFonts w:asciiTheme="majorHAnsi" w:hAnsiTheme="majorHAnsi" w:cs="MyriadPro-SemiCn"/>
          <w:i/>
          <w:color w:val="000000"/>
          <w:lang w:val="en-US"/>
        </w:rPr>
        <w:t>[The EITI Standard requires an inclusive decision-making process throughout implementation, with each constituency being treated as a partner (requirement 1.</w:t>
      </w:r>
      <w:r w:rsidR="00D664A7" w:rsidRPr="00E576A9">
        <w:rPr>
          <w:rFonts w:asciiTheme="majorHAnsi" w:hAnsiTheme="majorHAnsi" w:cs="MyriadPro-SemiCn"/>
          <w:i/>
          <w:color w:val="000000"/>
          <w:lang w:val="en-US"/>
        </w:rPr>
        <w:t>4</w:t>
      </w:r>
      <w:r w:rsidRPr="00E576A9">
        <w:rPr>
          <w:rFonts w:asciiTheme="majorHAnsi" w:hAnsiTheme="majorHAnsi" w:cs="MyriadPro-SemiCn"/>
          <w:i/>
          <w:color w:val="000000"/>
          <w:lang w:val="en-US"/>
        </w:rPr>
        <w:t>(</w:t>
      </w:r>
      <w:r w:rsidR="00D664A7" w:rsidRPr="00E576A9">
        <w:rPr>
          <w:rFonts w:asciiTheme="majorHAnsi" w:hAnsiTheme="majorHAnsi" w:cs="MyriadPro-SemiCn"/>
          <w:i/>
          <w:color w:val="000000"/>
          <w:lang w:val="en-US"/>
        </w:rPr>
        <w:t>b</w:t>
      </w:r>
      <w:r w:rsidRPr="00E576A9">
        <w:rPr>
          <w:rFonts w:asciiTheme="majorHAnsi" w:hAnsiTheme="majorHAnsi" w:cs="MyriadPro-SemiCn"/>
          <w:i/>
          <w:color w:val="000000"/>
          <w:lang w:val="en-US"/>
        </w:rPr>
        <w:t xml:space="preserve">)(vi)). The </w:t>
      </w:r>
      <w:proofErr w:type="spellStart"/>
      <w:r w:rsidRPr="00E576A9">
        <w:rPr>
          <w:rFonts w:asciiTheme="majorHAnsi" w:hAnsiTheme="majorHAnsi" w:cs="MyriadPro-SemiCn"/>
          <w:i/>
          <w:color w:val="000000"/>
          <w:lang w:val="en-US"/>
        </w:rPr>
        <w:t>ToR</w:t>
      </w:r>
      <w:proofErr w:type="spellEnd"/>
      <w:r w:rsidRPr="00E576A9">
        <w:rPr>
          <w:rFonts w:asciiTheme="majorHAnsi" w:hAnsiTheme="majorHAnsi" w:cs="MyriadPro-SemiCn"/>
          <w:i/>
          <w:color w:val="000000"/>
          <w:lang w:val="en-US"/>
        </w:rPr>
        <w:t xml:space="preserve"> should specify the agreed procedures for decision making. This could include guidelines on quorum, voting rules, and procedures </w:t>
      </w:r>
      <w:proofErr w:type="gramStart"/>
      <w:r w:rsidRPr="00E576A9">
        <w:rPr>
          <w:rFonts w:asciiTheme="majorHAnsi" w:hAnsiTheme="majorHAnsi" w:cs="MyriadPro-SemiCn"/>
          <w:i/>
          <w:color w:val="000000"/>
          <w:lang w:val="en-US"/>
        </w:rPr>
        <w:t>for  decision</w:t>
      </w:r>
      <w:proofErr w:type="gramEnd"/>
      <w:r w:rsidRPr="00E576A9">
        <w:rPr>
          <w:rFonts w:asciiTheme="majorHAnsi" w:hAnsiTheme="majorHAnsi" w:cs="MyriadPro-SemiCn"/>
          <w:i/>
          <w:color w:val="000000"/>
          <w:lang w:val="en-US"/>
        </w:rPr>
        <w:t>-making in between MSG meetings.]</w:t>
      </w:r>
    </w:p>
    <w:tbl>
      <w:tblPr>
        <w:tblStyle w:val="Style1"/>
        <w:tblW w:w="0" w:type="auto"/>
        <w:tblLook w:val="04A0" w:firstRow="1" w:lastRow="0" w:firstColumn="1" w:lastColumn="0" w:noHBand="0" w:noVBand="1"/>
      </w:tblPr>
      <w:tblGrid>
        <w:gridCol w:w="9854"/>
      </w:tblGrid>
      <w:tr w:rsidR="00B6342E" w14:paraId="59E90248" w14:textId="77777777" w:rsidTr="00B6342E">
        <w:tc>
          <w:tcPr>
            <w:tcW w:w="9854" w:type="dxa"/>
          </w:tcPr>
          <w:p w14:paraId="0F266BB0" w14:textId="77777777" w:rsidR="00B6342E" w:rsidRDefault="00B6342E" w:rsidP="00C24970">
            <w:pPr>
              <w:rPr>
                <w:rFonts w:asciiTheme="majorHAnsi" w:hAnsiTheme="majorHAnsi" w:cs="MyriadPro-SemiCn"/>
                <w:color w:val="000000"/>
                <w:lang w:val="en-US"/>
              </w:rPr>
            </w:pPr>
          </w:p>
          <w:p w14:paraId="5A9A7194" w14:textId="77777777" w:rsidR="00B6342E" w:rsidRPr="00B6342E" w:rsidRDefault="00B6342E" w:rsidP="00B6342E">
            <w:pPr>
              <w:ind w:left="284"/>
              <w:rPr>
                <w:rFonts w:asciiTheme="majorHAnsi" w:hAnsiTheme="majorHAnsi" w:cs="MyriadPro-SemiCn"/>
                <w:i/>
                <w:color w:val="000000"/>
                <w:lang w:val="en-US"/>
              </w:rPr>
            </w:pPr>
            <w:r w:rsidRPr="00B6342E">
              <w:rPr>
                <w:rFonts w:asciiTheme="majorHAnsi" w:hAnsiTheme="majorHAnsi" w:cs="MyriadPro-SemiCn"/>
                <w:i/>
                <w:color w:val="000000"/>
                <w:lang w:val="en-US"/>
              </w:rPr>
              <w:t>Examples:</w:t>
            </w:r>
          </w:p>
          <w:p w14:paraId="4FFDE72C" w14:textId="01FD140C" w:rsidR="00B6342E" w:rsidRDefault="00B6342E" w:rsidP="00B6342E">
            <w:pPr>
              <w:ind w:left="284"/>
              <w:rPr>
                <w:rFonts w:asciiTheme="majorHAnsi" w:hAnsiTheme="majorHAnsi" w:cs="MyriadPro-SemiCn"/>
                <w:color w:val="000000"/>
                <w:lang w:val="en-US"/>
              </w:rPr>
            </w:pPr>
            <w:r w:rsidRPr="00B6342E">
              <w:rPr>
                <w:rFonts w:asciiTheme="majorHAnsi" w:hAnsiTheme="majorHAnsi" w:cs="MyriadPro-SemiCn"/>
                <w:color w:val="000000"/>
                <w:lang w:val="en-US"/>
              </w:rPr>
              <w:t>Articles of Association of the EITI: “The Members’ Meeting shall make every effort to adopt resolutions by consensus. If a vote is required, resolutions are adopted by qualified majority requiring the support of at least two thirds of the total votes cast and must include the support of at least one third of the votes cast by the Members. representing each Constituency.”</w:t>
            </w:r>
          </w:p>
          <w:p w14:paraId="2631A739" w14:textId="77777777" w:rsidR="00B6342E" w:rsidRDefault="00B6342E" w:rsidP="00C24970">
            <w:pPr>
              <w:rPr>
                <w:rFonts w:asciiTheme="majorHAnsi" w:hAnsiTheme="majorHAnsi" w:cs="MyriadPro-SemiCn"/>
                <w:color w:val="000000"/>
                <w:lang w:val="en-US"/>
              </w:rPr>
            </w:pPr>
          </w:p>
        </w:tc>
      </w:tr>
    </w:tbl>
    <w:p w14:paraId="4EE2B4E7" w14:textId="77777777" w:rsidR="00C24970" w:rsidRPr="00E576A9" w:rsidRDefault="00C24970" w:rsidP="00C24970">
      <w:pPr>
        <w:rPr>
          <w:rFonts w:asciiTheme="majorHAnsi" w:hAnsiTheme="majorHAnsi" w:cs="MyriadPro-SemiCn"/>
          <w:i/>
          <w:color w:val="000000"/>
          <w:lang w:val="en-US"/>
        </w:rPr>
      </w:pPr>
    </w:p>
    <w:p w14:paraId="6A42DBE8" w14:textId="77777777" w:rsidR="00C24970" w:rsidRPr="00442233" w:rsidRDefault="00C24970" w:rsidP="00C24970">
      <w:pPr>
        <w:pStyle w:val="Heading3"/>
        <w:rPr>
          <w:rFonts w:asciiTheme="majorHAnsi" w:hAnsiTheme="majorHAnsi"/>
          <w:sz w:val="28"/>
        </w:rPr>
      </w:pPr>
      <w:bookmarkStart w:id="28" w:name="_Toc271971333"/>
      <w:bookmarkStart w:id="29" w:name="_Toc325199334"/>
      <w:r w:rsidRPr="00442233">
        <w:rPr>
          <w:rFonts w:asciiTheme="majorHAnsi" w:hAnsiTheme="majorHAnsi"/>
          <w:sz w:val="28"/>
          <w:lang w:val="en-US"/>
        </w:rPr>
        <w:t>4.3 Record keeping</w:t>
      </w:r>
      <w:bookmarkEnd w:id="28"/>
      <w:bookmarkEnd w:id="29"/>
    </w:p>
    <w:p w14:paraId="21FB32E4" w14:textId="2C2F9B3F" w:rsidR="00C24970" w:rsidRDefault="00C24970" w:rsidP="00D664A7">
      <w:pPr>
        <w:autoSpaceDE w:val="0"/>
        <w:autoSpaceDN w:val="0"/>
        <w:adjustRightInd w:val="0"/>
        <w:spacing w:after="0" w:line="240" w:lineRule="auto"/>
        <w:rPr>
          <w:rFonts w:asciiTheme="majorHAnsi" w:hAnsiTheme="majorHAnsi" w:cs="MyriadPro-SemiCn"/>
          <w:i/>
          <w:color w:val="000000"/>
          <w:lang w:val="en-US"/>
        </w:rPr>
      </w:pPr>
      <w:r w:rsidRPr="00E576A9">
        <w:rPr>
          <w:rFonts w:asciiTheme="majorHAnsi" w:hAnsiTheme="majorHAnsi" w:cs="MyriadPro-SemiCn"/>
          <w:i/>
          <w:color w:val="000000"/>
        </w:rPr>
        <w:t>[According to requirement 1.</w:t>
      </w:r>
      <w:r w:rsidR="00D664A7" w:rsidRPr="00E576A9">
        <w:rPr>
          <w:rFonts w:asciiTheme="majorHAnsi" w:hAnsiTheme="majorHAnsi" w:cs="MyriadPro-SemiCn"/>
          <w:i/>
          <w:color w:val="000000"/>
        </w:rPr>
        <w:t>4</w:t>
      </w:r>
      <w:r w:rsidRPr="00E576A9">
        <w:rPr>
          <w:rFonts w:asciiTheme="majorHAnsi" w:hAnsiTheme="majorHAnsi" w:cs="MyriadPro-SemiCn"/>
          <w:i/>
          <w:color w:val="000000"/>
        </w:rPr>
        <w:t>(</w:t>
      </w:r>
      <w:r w:rsidR="00D664A7" w:rsidRPr="00E576A9">
        <w:rPr>
          <w:rFonts w:asciiTheme="majorHAnsi" w:hAnsiTheme="majorHAnsi" w:cs="MyriadPro-SemiCn"/>
          <w:i/>
          <w:color w:val="000000"/>
        </w:rPr>
        <w:t>b</w:t>
      </w:r>
      <w:r w:rsidRPr="00E576A9">
        <w:rPr>
          <w:rFonts w:asciiTheme="majorHAnsi" w:hAnsiTheme="majorHAnsi" w:cs="MyriadPro-SemiCn"/>
          <w:i/>
          <w:color w:val="000000"/>
        </w:rPr>
        <w:t>)(viii), t</w:t>
      </w:r>
      <w:r w:rsidRPr="00E576A9">
        <w:rPr>
          <w:rFonts w:asciiTheme="majorHAnsi" w:hAnsiTheme="majorHAnsi" w:cs="MyriadPro-SemiCn"/>
          <w:i/>
          <w:color w:val="000000"/>
          <w:lang w:val="en-US"/>
        </w:rPr>
        <w:t xml:space="preserve">he multi-stakeholder group must keep written records of its discussions and decisions. It is recommended that the MSG </w:t>
      </w:r>
      <w:proofErr w:type="spellStart"/>
      <w:r w:rsidRPr="00E576A9">
        <w:rPr>
          <w:rFonts w:asciiTheme="majorHAnsi" w:hAnsiTheme="majorHAnsi" w:cs="MyriadPro-SemiCn"/>
          <w:i/>
          <w:color w:val="000000"/>
          <w:lang w:val="en-US"/>
        </w:rPr>
        <w:t>ToR</w:t>
      </w:r>
      <w:proofErr w:type="spellEnd"/>
      <w:r w:rsidRPr="00E576A9">
        <w:rPr>
          <w:rFonts w:asciiTheme="majorHAnsi" w:hAnsiTheme="majorHAnsi" w:cs="MyriadPro-SemiCn"/>
          <w:i/>
          <w:color w:val="000000"/>
          <w:lang w:val="en-US"/>
        </w:rPr>
        <w:t xml:space="preserve"> clarify the procedures for circulating and agreeing MSG meeting minutes, </w:t>
      </w:r>
      <w:proofErr w:type="gramStart"/>
      <w:r w:rsidRPr="00E576A9">
        <w:rPr>
          <w:rFonts w:asciiTheme="majorHAnsi" w:hAnsiTheme="majorHAnsi" w:cs="MyriadPro-SemiCn"/>
          <w:i/>
          <w:color w:val="000000"/>
          <w:lang w:val="en-US"/>
        </w:rPr>
        <w:t>and  whether</w:t>
      </w:r>
      <w:proofErr w:type="gramEnd"/>
      <w:r w:rsidRPr="00E576A9">
        <w:rPr>
          <w:rFonts w:asciiTheme="majorHAnsi" w:hAnsiTheme="majorHAnsi" w:cs="MyriadPro-SemiCn"/>
          <w:i/>
          <w:color w:val="000000"/>
          <w:lang w:val="en-US"/>
        </w:rPr>
        <w:t xml:space="preserve"> the minutes should be made public.]</w:t>
      </w:r>
    </w:p>
    <w:tbl>
      <w:tblPr>
        <w:tblStyle w:val="Style1"/>
        <w:tblW w:w="0" w:type="auto"/>
        <w:tblLook w:val="04A0" w:firstRow="1" w:lastRow="0" w:firstColumn="1" w:lastColumn="0" w:noHBand="0" w:noVBand="1"/>
      </w:tblPr>
      <w:tblGrid>
        <w:gridCol w:w="9854"/>
      </w:tblGrid>
      <w:tr w:rsidR="00BB7C4A" w14:paraId="47D8146E" w14:textId="77777777" w:rsidTr="00BB7C4A">
        <w:tc>
          <w:tcPr>
            <w:tcW w:w="9854" w:type="dxa"/>
          </w:tcPr>
          <w:p w14:paraId="7E3B0CAB" w14:textId="77777777" w:rsidR="00BB7C4A" w:rsidRDefault="00BB7C4A" w:rsidP="00D664A7">
            <w:pPr>
              <w:autoSpaceDE w:val="0"/>
              <w:autoSpaceDN w:val="0"/>
              <w:adjustRightInd w:val="0"/>
              <w:spacing w:after="0" w:line="240" w:lineRule="auto"/>
              <w:rPr>
                <w:rFonts w:asciiTheme="majorHAnsi" w:hAnsiTheme="majorHAnsi" w:cs="MyriadPro-SemiCn"/>
                <w:i/>
                <w:color w:val="000000"/>
                <w:lang w:val="en-US"/>
              </w:rPr>
            </w:pPr>
          </w:p>
          <w:p w14:paraId="5BB53259" w14:textId="77777777" w:rsidR="00BB7C4A" w:rsidRPr="00BB7C4A" w:rsidRDefault="00BB7C4A" w:rsidP="00BB7C4A">
            <w:pPr>
              <w:autoSpaceDE w:val="0"/>
              <w:autoSpaceDN w:val="0"/>
              <w:adjustRightInd w:val="0"/>
              <w:spacing w:after="0" w:line="240" w:lineRule="auto"/>
              <w:rPr>
                <w:rFonts w:asciiTheme="majorHAnsi" w:hAnsiTheme="majorHAnsi" w:cs="MyriadPro-SemiCn"/>
                <w:i/>
                <w:color w:val="000000"/>
                <w:lang w:val="en-US"/>
              </w:rPr>
            </w:pPr>
            <w:r w:rsidRPr="00BB7C4A">
              <w:rPr>
                <w:rFonts w:asciiTheme="majorHAnsi" w:hAnsiTheme="majorHAnsi" w:cs="MyriadPro-SemiCn"/>
                <w:i/>
                <w:color w:val="000000"/>
                <w:lang w:val="en-US"/>
              </w:rPr>
              <w:t xml:space="preserve">Example: </w:t>
            </w:r>
          </w:p>
          <w:p w14:paraId="70320A1F" w14:textId="77777777" w:rsidR="00BB7C4A" w:rsidRPr="00BB7C4A" w:rsidRDefault="00BB7C4A" w:rsidP="00BB7C4A">
            <w:pPr>
              <w:autoSpaceDE w:val="0"/>
              <w:autoSpaceDN w:val="0"/>
              <w:adjustRightInd w:val="0"/>
              <w:spacing w:after="0" w:line="240" w:lineRule="auto"/>
              <w:rPr>
                <w:rFonts w:asciiTheme="majorHAnsi" w:hAnsiTheme="majorHAnsi" w:cs="MyriadPro-SemiCn"/>
                <w:i/>
                <w:color w:val="000000"/>
                <w:lang w:val="en-US"/>
              </w:rPr>
            </w:pPr>
            <w:r w:rsidRPr="00BB7C4A">
              <w:rPr>
                <w:rFonts w:asciiTheme="majorHAnsi" w:hAnsiTheme="majorHAnsi" w:cs="MyriadPro-SemiCn"/>
                <w:i/>
                <w:color w:val="000000"/>
                <w:lang w:val="en-US"/>
              </w:rPr>
              <w:t>The meeting minutes of the Ukraine EITI MSG are made public after review by the MSG members.</w:t>
            </w:r>
          </w:p>
          <w:p w14:paraId="51CD30DB" w14:textId="77777777" w:rsidR="00BB7C4A" w:rsidRDefault="00BB7C4A" w:rsidP="00D664A7">
            <w:pPr>
              <w:autoSpaceDE w:val="0"/>
              <w:autoSpaceDN w:val="0"/>
              <w:adjustRightInd w:val="0"/>
              <w:spacing w:after="0" w:line="240" w:lineRule="auto"/>
              <w:rPr>
                <w:rFonts w:asciiTheme="majorHAnsi" w:hAnsiTheme="majorHAnsi" w:cs="MyriadPro-SemiCn"/>
                <w:i/>
                <w:color w:val="000000"/>
                <w:lang w:val="en-US"/>
              </w:rPr>
            </w:pPr>
          </w:p>
        </w:tc>
      </w:tr>
    </w:tbl>
    <w:p w14:paraId="3CDC25FA" w14:textId="3482F4EC" w:rsidR="00C24970" w:rsidRPr="00E576A9" w:rsidRDefault="00C24970" w:rsidP="00C24970">
      <w:pPr>
        <w:autoSpaceDE w:val="0"/>
        <w:autoSpaceDN w:val="0"/>
        <w:adjustRightInd w:val="0"/>
        <w:spacing w:after="0" w:line="240" w:lineRule="auto"/>
        <w:rPr>
          <w:rFonts w:asciiTheme="majorHAnsi" w:hAnsiTheme="majorHAnsi" w:cs="MyriadPro-SemiCn"/>
          <w:color w:val="000000"/>
          <w:lang w:val="en-US"/>
        </w:rPr>
      </w:pPr>
    </w:p>
    <w:sectPr w:rsidR="00C24970" w:rsidRPr="00E576A9" w:rsidSect="006D6BB1">
      <w:headerReference w:type="even" r:id="rId18"/>
      <w:headerReference w:type="default" r:id="rId19"/>
      <w:footerReference w:type="even" r:id="rId20"/>
      <w:footerReference w:type="default" r:id="rId21"/>
      <w:headerReference w:type="first" r:id="rId22"/>
      <w:footerReference w:type="first" r:id="rId23"/>
      <w:pgSz w:w="11906" w:h="16838"/>
      <w:pgMar w:top="1985"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8C09D" w14:textId="77777777" w:rsidR="00D6032E" w:rsidRDefault="00D6032E">
      <w:pPr>
        <w:spacing w:after="0" w:line="240" w:lineRule="auto"/>
      </w:pPr>
      <w:r>
        <w:separator/>
      </w:r>
    </w:p>
  </w:endnote>
  <w:endnote w:type="continuationSeparator" w:id="0">
    <w:p w14:paraId="64BD05FB" w14:textId="77777777" w:rsidR="00D6032E" w:rsidRDefault="00D6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yriad Pro SemiCond">
    <w:charset w:val="00"/>
    <w:family w:val="auto"/>
    <w:pitch w:val="variable"/>
    <w:sig w:usb0="A00002AF" w:usb1="5000204B"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yriadPro-SemiCn">
    <w:altName w:val="Myriad Pro SemiCond"/>
    <w:panose1 w:val="00000000000000000000"/>
    <w:charset w:val="00"/>
    <w:family w:val="swiss"/>
    <w:notTrueType/>
    <w:pitch w:val="default"/>
    <w:sig w:usb0="00000003" w:usb1="00000000" w:usb2="00000000" w:usb3="00000000" w:csb0="00000001" w:csb1="00000000"/>
  </w:font>
  <w:font w:name="Myriad Pro Light">
    <w:panose1 w:val="020B0403030403020204"/>
    <w:charset w:val="00"/>
    <w:family w:val="auto"/>
    <w:pitch w:val="variable"/>
    <w:sig w:usb0="A00002AF" w:usb1="5000204B" w:usb2="00000000" w:usb3="00000000" w:csb0="0000019F" w:csb1="00000000"/>
  </w:font>
  <w:font w:name="Myriad Pro Light SemiCond">
    <w:charset w:val="00"/>
    <w:family w:val="auto"/>
    <w:pitch w:val="variable"/>
    <w:sig w:usb0="A00002AF" w:usb1="5000204B"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1E9C" w14:textId="77777777" w:rsidR="00197174" w:rsidRDefault="001971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9D35" w14:textId="77777777" w:rsidR="00197174" w:rsidRDefault="001971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5AD6" w14:textId="77777777" w:rsidR="00BB7C4A" w:rsidRPr="005A27EA" w:rsidRDefault="00BB7C4A" w:rsidP="006D74EA">
    <w:pPr>
      <w:pBdr>
        <w:top w:val="single" w:sz="4" w:space="1" w:color="0076AF"/>
      </w:pBdr>
      <w:tabs>
        <w:tab w:val="right" w:pos="9639"/>
      </w:tabs>
      <w:spacing w:after="0" w:line="240" w:lineRule="auto"/>
      <w:rPr>
        <w:rFonts w:ascii="Myriad Pro Light SemiCond" w:hAnsi="Myriad Pro Light SemiCond"/>
        <w:color w:val="0076AF"/>
        <w:sz w:val="28"/>
      </w:rPr>
    </w:pPr>
    <w:r w:rsidRPr="005A27EA">
      <w:rPr>
        <w:rFonts w:ascii="Myriad Pro Light" w:hAnsi="Myriad Pro Light"/>
        <w:sz w:val="18"/>
        <w:szCs w:val="18"/>
      </w:rPr>
      <w:t xml:space="preserve">Website </w:t>
    </w:r>
    <w:r w:rsidRPr="005A27EA">
      <w:rPr>
        <w:rFonts w:ascii="Myriad Pro Light" w:hAnsi="Myriad Pro Light"/>
        <w:color w:val="0076AF"/>
        <w:sz w:val="18"/>
        <w:szCs w:val="18"/>
      </w:rPr>
      <w:t>www.eiti.org</w:t>
    </w:r>
    <w:r w:rsidRPr="005A27EA">
      <w:rPr>
        <w:rFonts w:ascii="Myriad Pro Light" w:hAnsi="Myriad Pro Light"/>
        <w:sz w:val="18"/>
        <w:szCs w:val="18"/>
      </w:rPr>
      <w:t xml:space="preserve"> Email </w:t>
    </w:r>
    <w:r w:rsidRPr="005A27EA">
      <w:rPr>
        <w:rFonts w:ascii="Myriad Pro Light" w:hAnsi="Myriad Pro Light"/>
        <w:color w:val="0076AF"/>
        <w:sz w:val="18"/>
        <w:szCs w:val="18"/>
      </w:rPr>
      <w:t>secretariat@eiti.org</w:t>
    </w:r>
    <w:r w:rsidRPr="005A27EA">
      <w:rPr>
        <w:rFonts w:ascii="Myriad Pro Light" w:hAnsi="Myriad Pro Light"/>
        <w:sz w:val="18"/>
        <w:szCs w:val="18"/>
      </w:rPr>
      <w:t xml:space="preserve"> Telephone </w:t>
    </w:r>
    <w:r w:rsidRPr="005A27EA">
      <w:rPr>
        <w:rFonts w:ascii="Myriad Pro Light" w:hAnsi="Myriad Pro Light"/>
        <w:color w:val="0076AF"/>
        <w:sz w:val="18"/>
        <w:szCs w:val="18"/>
      </w:rPr>
      <w:t>+47 22 20 08 00</w:t>
    </w:r>
    <w:r w:rsidRPr="005A27EA">
      <w:rPr>
        <w:rFonts w:ascii="Myriad Pro Light" w:hAnsi="Myriad Pro Light"/>
        <w:sz w:val="18"/>
        <w:szCs w:val="18"/>
      </w:rPr>
      <w:t xml:space="preserve"> Fax </w:t>
    </w:r>
    <w:r w:rsidRPr="005A27EA">
      <w:rPr>
        <w:rFonts w:ascii="Myriad Pro Light" w:hAnsi="Myriad Pro Light"/>
        <w:color w:val="0076AF"/>
        <w:sz w:val="18"/>
        <w:szCs w:val="18"/>
      </w:rPr>
      <w:t>+47 22 83 08 02</w:t>
    </w:r>
    <w:r>
      <w:rPr>
        <w:rFonts w:ascii="Myriad Pro Light" w:hAnsi="Myriad Pro Light"/>
        <w:color w:val="0076AF"/>
        <w:sz w:val="18"/>
        <w:szCs w:val="18"/>
      </w:rPr>
      <w:tab/>
    </w:r>
    <w:r>
      <w:rPr>
        <w:rStyle w:val="PageNumber"/>
        <w:rFonts w:ascii="Myriad Pro Light SemiCond" w:hAnsi="Myriad Pro Light SemiCond"/>
        <w:color w:val="0076AF"/>
        <w:sz w:val="28"/>
      </w:rPr>
      <w:t>1</w:t>
    </w:r>
  </w:p>
  <w:p w14:paraId="60A0AB11" w14:textId="77777777" w:rsidR="00BB7C4A" w:rsidRPr="00E2762D" w:rsidRDefault="00BB7C4A" w:rsidP="006D74EA">
    <w:pPr>
      <w:pBdr>
        <w:top w:val="single" w:sz="4" w:space="1" w:color="0076AF"/>
      </w:pBdr>
      <w:tabs>
        <w:tab w:val="right" w:pos="9639"/>
      </w:tabs>
      <w:spacing w:after="0" w:line="240" w:lineRule="auto"/>
      <w:rPr>
        <w:rFonts w:ascii="Myriad Pro Light SemiCond" w:hAnsi="Myriad Pro Light SemiCond"/>
        <w:color w:val="0076AF"/>
        <w:sz w:val="28"/>
      </w:rPr>
    </w:pPr>
    <w:r w:rsidRPr="005A27EA">
      <w:rPr>
        <w:rFonts w:ascii="Myriad Pro Light" w:hAnsi="Myriad Pro Light"/>
        <w:sz w:val="18"/>
        <w:szCs w:val="18"/>
      </w:rPr>
      <w:t xml:space="preserve">Address </w:t>
    </w:r>
    <w:r w:rsidRPr="005A27EA">
      <w:rPr>
        <w:rFonts w:ascii="Myriad Pro Light" w:hAnsi="Myriad Pro Light"/>
        <w:color w:val="0076AF"/>
        <w:sz w:val="18"/>
        <w:szCs w:val="18"/>
      </w:rPr>
      <w:t xml:space="preserve">EITI </w:t>
    </w:r>
    <w:r>
      <w:rPr>
        <w:rFonts w:ascii="Myriad Pro Light" w:hAnsi="Myriad Pro Light"/>
        <w:color w:val="0076AF"/>
        <w:sz w:val="18"/>
        <w:szCs w:val="18"/>
      </w:rPr>
      <w:t xml:space="preserve">International </w:t>
    </w:r>
    <w:r w:rsidRPr="005A27EA">
      <w:rPr>
        <w:rFonts w:ascii="Myriad Pro Light" w:hAnsi="Myriad Pro Light"/>
        <w:color w:val="0076AF"/>
        <w:sz w:val="18"/>
        <w:szCs w:val="18"/>
      </w:rPr>
      <w:t xml:space="preserve">Secretariat, </w:t>
    </w:r>
    <w:proofErr w:type="spellStart"/>
    <w:r w:rsidRPr="005A27EA">
      <w:rPr>
        <w:rFonts w:ascii="Myriad Pro Light" w:hAnsi="Myriad Pro Light"/>
        <w:color w:val="0076AF"/>
        <w:sz w:val="18"/>
        <w:szCs w:val="18"/>
      </w:rPr>
      <w:t>Ruseløkkveien</w:t>
    </w:r>
    <w:proofErr w:type="spellEnd"/>
    <w:r w:rsidRPr="005A27EA">
      <w:rPr>
        <w:rFonts w:ascii="Myriad Pro Light" w:hAnsi="Myriad Pro Light"/>
        <w:color w:val="0076AF"/>
        <w:sz w:val="18"/>
        <w:szCs w:val="18"/>
      </w:rPr>
      <w:t xml:space="preserve"> 26, 0251 Oslo, Norway</w:t>
    </w:r>
  </w:p>
  <w:p w14:paraId="0ECF9787" w14:textId="77777777" w:rsidR="00BB7C4A" w:rsidRPr="0040432E" w:rsidRDefault="00BB7C4A" w:rsidP="006D74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1273A" w14:textId="77777777" w:rsidR="00D6032E" w:rsidRDefault="00D6032E">
      <w:pPr>
        <w:spacing w:after="0" w:line="240" w:lineRule="auto"/>
      </w:pPr>
      <w:r>
        <w:separator/>
      </w:r>
    </w:p>
  </w:footnote>
  <w:footnote w:type="continuationSeparator" w:id="0">
    <w:p w14:paraId="17699C99" w14:textId="77777777" w:rsidR="00D6032E" w:rsidRDefault="00D603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7460B" w14:textId="77777777" w:rsidR="00197174" w:rsidRDefault="001971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0130" w14:textId="77777777" w:rsidR="00BB7C4A" w:rsidRDefault="00BB7C4A" w:rsidP="00A175B1">
    <w:pPr>
      <w:rPr>
        <w:i/>
        <w:iCs/>
        <w:color w:val="808080"/>
        <w:sz w:val="20"/>
        <w:szCs w:val="20"/>
        <w:lang w:val="en-US"/>
      </w:rPr>
    </w:pPr>
    <w:r>
      <w:rPr>
        <w:rFonts w:ascii="Arial" w:hAnsi="Arial"/>
        <w:i/>
        <w:noProof/>
        <w:lang w:eastAsia="en-GB"/>
      </w:rPr>
      <mc:AlternateContent>
        <mc:Choice Requires="wpg">
          <w:drawing>
            <wp:anchor distT="0" distB="0" distL="114300" distR="114300" simplePos="0" relativeHeight="251671552" behindDoc="0" locked="0" layoutInCell="1" allowOverlap="1" wp14:anchorId="76B97265" wp14:editId="43669536">
              <wp:simplePos x="0" y="0"/>
              <wp:positionH relativeFrom="column">
                <wp:posOffset>0</wp:posOffset>
              </wp:positionH>
              <wp:positionV relativeFrom="paragraph">
                <wp:posOffset>45720</wp:posOffset>
              </wp:positionV>
              <wp:extent cx="6057900" cy="158750"/>
              <wp:effectExtent l="0" t="0" r="12700" b="0"/>
              <wp:wrapNone/>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33"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ctr" anchorCtr="0" upright="1">
                        <a:noAutofit/>
                      </wps:bodyPr>
                    </wps:wsp>
                    <wps:wsp>
                      <wps:cNvPr id="34"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3EF085" id="Group 15" o:spid="_x0000_s1026" style="position:absolute;margin-left:0;margin-top:3.6pt;width:477pt;height:12.5pt;z-index:251671552"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" fillcolor="#0076af" stroked="f"/>
              <v:rect id="Rektangel 3" o:spid="_x0000_s1028" style="position:absolute;left:2346;top:1230;width:91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" fillcolor="#56add6" stroked="f"/>
            </v:group>
          </w:pict>
        </mc:Fallback>
      </mc:AlternateContent>
    </w:r>
  </w:p>
  <w:p w14:paraId="669B813A" w14:textId="1B2A73F7" w:rsidR="00BB7C4A" w:rsidRPr="005A27EA" w:rsidRDefault="00BB7C4A" w:rsidP="00A175B1">
    <w:pPr>
      <w:tabs>
        <w:tab w:val="right" w:pos="9498"/>
      </w:tabs>
      <w:rPr>
        <w:rFonts w:ascii="Myriad Pro Light" w:hAnsi="Myriad Pro Light"/>
        <w:color w:val="FF0000"/>
        <w:sz w:val="36"/>
      </w:rPr>
    </w:pPr>
    <w:r>
      <w:rPr>
        <w:iCs/>
        <w:color w:val="808080"/>
        <w:sz w:val="20"/>
        <w:szCs w:val="20"/>
      </w:rPr>
      <w:t xml:space="preserve">Model terms of reference for an EITI multi-stakeholder group </w:t>
    </w:r>
    <w:r>
      <w:rPr>
        <w:i/>
        <w:iCs/>
        <w:color w:val="808080"/>
        <w:sz w:val="20"/>
        <w:szCs w:val="20"/>
        <w:lang w:val="en-US"/>
      </w:rPr>
      <w:tab/>
    </w:r>
    <w:r w:rsidRPr="006A5234">
      <w:rPr>
        <w:iCs/>
        <w:color w:val="808080"/>
        <w:sz w:val="20"/>
        <w:szCs w:val="20"/>
      </w:rPr>
      <w:t>updated</w:t>
    </w:r>
    <w:r w:rsidRPr="006A5234">
      <w:rPr>
        <w:rFonts w:eastAsia="Times New Roman"/>
        <w:bCs/>
        <w:iCs/>
        <w:color w:val="808080"/>
        <w:sz w:val="20"/>
        <w:szCs w:val="20"/>
        <w:lang w:val="en-US" w:eastAsia="ja-JP"/>
      </w:rPr>
      <w:t xml:space="preserve"> </w:t>
    </w:r>
    <w:r>
      <w:rPr>
        <w:rFonts w:eastAsia="Times New Roman"/>
        <w:bCs/>
        <w:iCs/>
        <w:color w:val="808080"/>
        <w:sz w:val="20"/>
        <w:szCs w:val="20"/>
        <w:lang w:val="en-US" w:eastAsia="ja-JP"/>
      </w:rPr>
      <w:t>May</w:t>
    </w:r>
    <w:r w:rsidRPr="006A5234">
      <w:rPr>
        <w:rFonts w:eastAsia="Times New Roman"/>
        <w:bCs/>
        <w:iCs/>
        <w:color w:val="808080"/>
        <w:sz w:val="20"/>
        <w:szCs w:val="20"/>
        <w:lang w:val="en-US" w:eastAsia="ja-JP"/>
      </w:rPr>
      <w:t xml:space="preserve"> 2016</w:t>
    </w:r>
  </w:p>
  <w:p w14:paraId="52D0EE02" w14:textId="392879CA" w:rsidR="00BB7C4A" w:rsidRPr="00A175B1" w:rsidRDefault="00BB7C4A" w:rsidP="00A175B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EFDE5" w14:textId="728C8B55" w:rsidR="00BB7C4A" w:rsidRPr="00E938F4" w:rsidRDefault="00BB7C4A" w:rsidP="00417DEF">
    <w:pPr>
      <w:tabs>
        <w:tab w:val="left" w:pos="3800"/>
      </w:tabs>
      <w:spacing w:line="240" w:lineRule="auto"/>
      <w:ind w:right="142"/>
      <w:jc w:val="right"/>
      <w:rPr>
        <w:color w:val="000000"/>
        <w:sz w:val="28"/>
        <w:szCs w:val="32"/>
      </w:rPr>
    </w:pPr>
    <w:r>
      <w:rPr>
        <w:rFonts w:ascii="Arial" w:hAnsi="Arial"/>
        <w:i/>
        <w:noProof/>
        <w:lang w:eastAsia="en-GB"/>
      </w:rPr>
      <mc:AlternateContent>
        <mc:Choice Requires="wpg">
          <w:drawing>
            <wp:anchor distT="0" distB="0" distL="114300" distR="114300" simplePos="0" relativeHeight="251668480" behindDoc="0" locked="0" layoutInCell="1" allowOverlap="1" wp14:anchorId="20B1D46C" wp14:editId="612EF64B">
              <wp:simplePos x="0" y="0"/>
              <wp:positionH relativeFrom="column">
                <wp:posOffset>0</wp:posOffset>
              </wp:positionH>
              <wp:positionV relativeFrom="paragraph">
                <wp:posOffset>931545</wp:posOffset>
              </wp:positionV>
              <wp:extent cx="6057900" cy="158750"/>
              <wp:effectExtent l="0" t="0" r="12700" b="0"/>
              <wp:wrapNone/>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29"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ctr" anchorCtr="0" upright="1">
                        <a:noAutofit/>
                      </wps:bodyPr>
                    </wps:wsp>
                    <wps:wsp>
                      <wps:cNvPr id="30"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844F79" id="Group 15" o:spid="_x0000_s1026" style="position:absolute;margin-left:0;margin-top:73.35pt;width:477pt;height:12.5pt;z-index:251668480"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" fillcolor="#0076af" stroked="f"/>
              <v:rect id="Rektangel 3" o:spid="_x0000_s1028" style="position:absolute;left:2298;top:1230;width:75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" fillcolor="#56add6" stroked="f"/>
            </v:group>
          </w:pict>
        </mc:Fallback>
      </mc:AlternateContent>
    </w:r>
    <w:r>
      <w:rPr>
        <w:noProof/>
        <w:lang w:eastAsia="en-GB"/>
      </w:rPr>
      <w:drawing>
        <wp:anchor distT="0" distB="0" distL="114300" distR="114300" simplePos="0" relativeHeight="251669504" behindDoc="1" locked="0" layoutInCell="1" allowOverlap="1" wp14:anchorId="61AB8AE3" wp14:editId="0CFC1909">
          <wp:simplePos x="0" y="0"/>
          <wp:positionH relativeFrom="page">
            <wp:posOffset>720090</wp:posOffset>
          </wp:positionH>
          <wp:positionV relativeFrom="page">
            <wp:posOffset>558165</wp:posOffset>
          </wp:positionV>
          <wp:extent cx="2485593" cy="508635"/>
          <wp:effectExtent l="0" t="0" r="3810" b="0"/>
          <wp:wrapNone/>
          <wp:docPr id="31" name="Picture 1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692" cy="5086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8"/>
        <w:szCs w:val="32"/>
      </w:rPr>
      <w:tab/>
    </w:r>
    <w:r>
      <w:rPr>
        <w:color w:val="000000"/>
        <w:sz w:val="28"/>
        <w:szCs w:val="32"/>
      </w:rPr>
      <w:tab/>
    </w:r>
    <w:r>
      <w:rPr>
        <w:color w:val="000000"/>
        <w:sz w:val="28"/>
        <w:szCs w:val="28"/>
      </w:rPr>
      <w:t xml:space="preserve">Model terms of reference </w:t>
    </w:r>
    <w:r>
      <w:rPr>
        <w:color w:val="000000"/>
        <w:sz w:val="28"/>
        <w:szCs w:val="28"/>
      </w:rPr>
      <w:br/>
      <w:t>for an EITI multi-stakeholder group</w:t>
    </w:r>
    <w:r>
      <w:rPr>
        <w:color w:val="000000"/>
        <w:sz w:val="28"/>
        <w:szCs w:val="32"/>
      </w:rPr>
      <w:br/>
    </w:r>
    <w:r w:rsidRPr="0060466F">
      <w:rPr>
        <w:color w:val="008BAB"/>
        <w:sz w:val="28"/>
        <w:szCs w:val="32"/>
      </w:rPr>
      <w:t>updated May 2016</w:t>
    </w:r>
    <w:r w:rsidRPr="0060466F">
      <w:rPr>
        <w:color w:val="008BAB"/>
        <w:sz w:val="28"/>
        <w:szCs w:val="32"/>
      </w:rPr>
      <w:br/>
    </w:r>
  </w:p>
  <w:p w14:paraId="4CA03EFF" w14:textId="35E8F765" w:rsidR="00BB7C4A" w:rsidRPr="00817D95" w:rsidRDefault="00197174" w:rsidP="00817D95">
    <w:pPr>
      <w:pStyle w:val="TOCHeading"/>
      <w:numPr>
        <w:ilvl w:val="0"/>
        <w:numId w:val="0"/>
      </w:numPr>
      <w:rPr>
        <w:b w:val="0"/>
        <w:i/>
        <w:iCs/>
        <w:color w:val="808080"/>
        <w:sz w:val="20"/>
        <w:szCs w:val="20"/>
      </w:rPr>
    </w:pPr>
    <w:bookmarkStart w:id="30" w:name="_GoBack"/>
    <w:r>
      <w:rPr>
        <w:b w:val="0"/>
        <w:i/>
        <w:iCs/>
        <w:color w:val="808080"/>
        <w:sz w:val="20"/>
        <w:szCs w:val="20"/>
      </w:rPr>
      <w:t xml:space="preserve">These </w:t>
    </w:r>
    <w:proofErr w:type="spellStart"/>
    <w:r>
      <w:rPr>
        <w:b w:val="0"/>
        <w:i/>
        <w:iCs/>
        <w:color w:val="808080"/>
        <w:sz w:val="20"/>
        <w:szCs w:val="20"/>
      </w:rPr>
      <w:t>ToRs</w:t>
    </w:r>
    <w:proofErr w:type="spellEnd"/>
    <w:r>
      <w:rPr>
        <w:b w:val="0"/>
        <w:i/>
        <w:iCs/>
        <w:color w:val="808080"/>
        <w:sz w:val="20"/>
        <w:szCs w:val="20"/>
      </w:rPr>
      <w:t xml:space="preserve"> are provided by the EITI International Secretariat. </w:t>
    </w:r>
    <w:r w:rsidRPr="00186B95">
      <w:rPr>
        <w:b w:val="0"/>
        <w:i/>
        <w:iCs/>
        <w:color w:val="808080"/>
        <w:sz w:val="20"/>
        <w:szCs w:val="20"/>
      </w:rPr>
      <w:t xml:space="preserve">MSGs may wish to draw on </w:t>
    </w:r>
    <w:r>
      <w:rPr>
        <w:b w:val="0"/>
        <w:i/>
        <w:iCs/>
        <w:color w:val="808080"/>
        <w:sz w:val="20"/>
        <w:szCs w:val="20"/>
      </w:rPr>
      <w:t>these model Terms of Reference for when</w:t>
    </w:r>
    <w:r w:rsidRPr="00186B95">
      <w:rPr>
        <w:b w:val="0"/>
        <w:i/>
        <w:iCs/>
        <w:color w:val="808080"/>
        <w:sz w:val="20"/>
        <w:szCs w:val="20"/>
      </w:rPr>
      <w:t xml:space="preserve"> they establish their own </w:t>
    </w:r>
    <w:proofErr w:type="spellStart"/>
    <w:r w:rsidRPr="00186B95">
      <w:rPr>
        <w:b w:val="0"/>
        <w:i/>
        <w:iCs/>
        <w:color w:val="808080"/>
        <w:sz w:val="20"/>
        <w:szCs w:val="20"/>
      </w:rPr>
      <w:t>ToR</w:t>
    </w:r>
    <w:proofErr w:type="spellEnd"/>
    <w:r w:rsidRPr="00186B95">
      <w:rPr>
        <w:b w:val="0"/>
        <w:i/>
        <w:iCs/>
        <w:color w:val="808080"/>
        <w:sz w:val="20"/>
        <w:szCs w:val="20"/>
      </w:rPr>
      <w:t xml:space="preserve">. </w:t>
    </w:r>
    <w:r>
      <w:rPr>
        <w:b w:val="0"/>
        <w:i/>
        <w:iCs/>
        <w:color w:val="808080"/>
        <w:sz w:val="20"/>
        <w:szCs w:val="20"/>
      </w:rPr>
      <w:t xml:space="preserve">Guidance note 14 elaborates further on establishing an MSG. </w:t>
    </w:r>
    <w:r w:rsidR="00BB7C4A" w:rsidRPr="00186B95">
      <w:rPr>
        <w:b w:val="0"/>
        <w:i/>
        <w:iCs/>
        <w:color w:val="808080"/>
        <w:sz w:val="20"/>
        <w:szCs w:val="20"/>
      </w:rPr>
      <w:t>Questions about this note can be directed to the EITI International Secretariat.</w:t>
    </w:r>
    <w:r w:rsidR="00BB7C4A">
      <w:rPr>
        <w:b w:val="0"/>
        <w:i/>
        <w:iCs/>
        <w:color w:val="808080"/>
        <w:sz w:val="20"/>
        <w:szCs w:val="20"/>
      </w:rPr>
      <w:br/>
    </w:r>
    <w:bookmarkEnd w:id="3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832D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666E8"/>
    <w:multiLevelType w:val="hybridMultilevel"/>
    <w:tmpl w:val="DA188368"/>
    <w:lvl w:ilvl="0" w:tplc="1BDE830C">
      <w:start w:val="1"/>
      <w:numFmt w:val="lowerLetter"/>
      <w:lvlText w:val="%1)"/>
      <w:lvlJc w:val="left"/>
      <w:pPr>
        <w:ind w:left="492" w:hanging="132"/>
      </w:pPr>
      <w:rPr>
        <w:rFonts w:hint="default"/>
      </w:rPr>
    </w:lvl>
    <w:lvl w:ilvl="1" w:tplc="0414001B">
      <w:start w:val="1"/>
      <w:numFmt w:val="lowerRoman"/>
      <w:lvlText w:val="%2."/>
      <w:lvlJc w:val="right"/>
      <w:pPr>
        <w:ind w:left="1212"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64A7BBC"/>
    <w:multiLevelType w:val="multilevel"/>
    <w:tmpl w:val="0C09001F"/>
    <w:numStyleLink w:val="111111"/>
  </w:abstractNum>
  <w:abstractNum w:abstractNumId="3">
    <w:nsid w:val="093727CE"/>
    <w:multiLevelType w:val="hybridMultilevel"/>
    <w:tmpl w:val="9B2A10E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A424522"/>
    <w:multiLevelType w:val="hybridMultilevel"/>
    <w:tmpl w:val="BB6232B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0DB51F0"/>
    <w:multiLevelType w:val="hybridMultilevel"/>
    <w:tmpl w:val="6DFA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CE62E1"/>
    <w:multiLevelType w:val="hybridMultilevel"/>
    <w:tmpl w:val="C3484FFC"/>
    <w:lvl w:ilvl="0" w:tplc="9D8EE500">
      <w:start w:val="2"/>
      <w:numFmt w:val="bullet"/>
      <w:lvlText w:val="-"/>
      <w:lvlJc w:val="left"/>
      <w:pPr>
        <w:ind w:left="720"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C075E"/>
    <w:multiLevelType w:val="hybridMultilevel"/>
    <w:tmpl w:val="BA4EF36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1F913757"/>
    <w:multiLevelType w:val="hybridMultilevel"/>
    <w:tmpl w:val="AC5A6A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50050"/>
    <w:multiLevelType w:val="hybridMultilevel"/>
    <w:tmpl w:val="4E0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12B6E"/>
    <w:multiLevelType w:val="hybridMultilevel"/>
    <w:tmpl w:val="D1AA095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9B956B7"/>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AF11BFD"/>
    <w:multiLevelType w:val="hybridMultilevel"/>
    <w:tmpl w:val="DA463406"/>
    <w:lvl w:ilvl="0" w:tplc="0414001B">
      <w:start w:val="1"/>
      <w:numFmt w:val="lowerRoman"/>
      <w:lvlText w:val="%1."/>
      <w:lvlJc w:val="right"/>
      <w:pPr>
        <w:ind w:left="764" w:hanging="360"/>
      </w:pPr>
    </w:lvl>
    <w:lvl w:ilvl="1" w:tplc="04140019" w:tentative="1">
      <w:start w:val="1"/>
      <w:numFmt w:val="lowerLetter"/>
      <w:lvlText w:val="%2."/>
      <w:lvlJc w:val="left"/>
      <w:pPr>
        <w:ind w:left="1484" w:hanging="360"/>
      </w:pPr>
    </w:lvl>
    <w:lvl w:ilvl="2" w:tplc="0414001B" w:tentative="1">
      <w:start w:val="1"/>
      <w:numFmt w:val="lowerRoman"/>
      <w:lvlText w:val="%3."/>
      <w:lvlJc w:val="right"/>
      <w:pPr>
        <w:ind w:left="2204" w:hanging="180"/>
      </w:pPr>
    </w:lvl>
    <w:lvl w:ilvl="3" w:tplc="0414000F" w:tentative="1">
      <w:start w:val="1"/>
      <w:numFmt w:val="decimal"/>
      <w:lvlText w:val="%4."/>
      <w:lvlJc w:val="left"/>
      <w:pPr>
        <w:ind w:left="2924" w:hanging="360"/>
      </w:pPr>
    </w:lvl>
    <w:lvl w:ilvl="4" w:tplc="04140019" w:tentative="1">
      <w:start w:val="1"/>
      <w:numFmt w:val="lowerLetter"/>
      <w:lvlText w:val="%5."/>
      <w:lvlJc w:val="left"/>
      <w:pPr>
        <w:ind w:left="3644" w:hanging="360"/>
      </w:pPr>
    </w:lvl>
    <w:lvl w:ilvl="5" w:tplc="0414001B" w:tentative="1">
      <w:start w:val="1"/>
      <w:numFmt w:val="lowerRoman"/>
      <w:lvlText w:val="%6."/>
      <w:lvlJc w:val="right"/>
      <w:pPr>
        <w:ind w:left="4364" w:hanging="180"/>
      </w:pPr>
    </w:lvl>
    <w:lvl w:ilvl="6" w:tplc="0414000F" w:tentative="1">
      <w:start w:val="1"/>
      <w:numFmt w:val="decimal"/>
      <w:lvlText w:val="%7."/>
      <w:lvlJc w:val="left"/>
      <w:pPr>
        <w:ind w:left="5084" w:hanging="360"/>
      </w:pPr>
    </w:lvl>
    <w:lvl w:ilvl="7" w:tplc="04140019" w:tentative="1">
      <w:start w:val="1"/>
      <w:numFmt w:val="lowerLetter"/>
      <w:lvlText w:val="%8."/>
      <w:lvlJc w:val="left"/>
      <w:pPr>
        <w:ind w:left="5804" w:hanging="360"/>
      </w:pPr>
    </w:lvl>
    <w:lvl w:ilvl="8" w:tplc="0414001B" w:tentative="1">
      <w:start w:val="1"/>
      <w:numFmt w:val="lowerRoman"/>
      <w:lvlText w:val="%9."/>
      <w:lvlJc w:val="right"/>
      <w:pPr>
        <w:ind w:left="6524" w:hanging="180"/>
      </w:pPr>
    </w:lvl>
  </w:abstractNum>
  <w:abstractNum w:abstractNumId="13">
    <w:nsid w:val="32521EFF"/>
    <w:multiLevelType w:val="hybridMultilevel"/>
    <w:tmpl w:val="2CA88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515CD1"/>
    <w:multiLevelType w:val="hybridMultilevel"/>
    <w:tmpl w:val="25BABB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35216A92"/>
    <w:multiLevelType w:val="hybridMultilevel"/>
    <w:tmpl w:val="60FA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06830"/>
    <w:multiLevelType w:val="hybridMultilevel"/>
    <w:tmpl w:val="967828B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0C46D2B"/>
    <w:multiLevelType w:val="hybridMultilevel"/>
    <w:tmpl w:val="0FF22E78"/>
    <w:lvl w:ilvl="0" w:tplc="04429DEC">
      <w:start w:val="1"/>
      <w:numFmt w:val="bullet"/>
      <w:lvlText w:val=""/>
      <w:lvlJc w:val="left"/>
      <w:pPr>
        <w:ind w:left="720" w:hanging="360"/>
      </w:pPr>
      <w:rPr>
        <w:rFonts w:ascii="Symbol" w:hAnsi="Symbol" w:hint="default"/>
        <w:lang w:val="en-US"/>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109498B"/>
    <w:multiLevelType w:val="hybridMultilevel"/>
    <w:tmpl w:val="086ED100"/>
    <w:lvl w:ilvl="0" w:tplc="04140017">
      <w:start w:val="1"/>
      <w:numFmt w:val="lowerLetter"/>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42D355A2"/>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B0070A9"/>
    <w:multiLevelType w:val="hybridMultilevel"/>
    <w:tmpl w:val="D6C61AD6"/>
    <w:lvl w:ilvl="0" w:tplc="0088B28E">
      <w:start w:val="1"/>
      <w:numFmt w:val="decimal"/>
      <w:pStyle w:val="Heading1"/>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56E3781F"/>
    <w:multiLevelType w:val="hybridMultilevel"/>
    <w:tmpl w:val="2B34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F6CFC"/>
    <w:multiLevelType w:val="hybridMultilevel"/>
    <w:tmpl w:val="91D6268E"/>
    <w:lvl w:ilvl="0" w:tplc="04090001">
      <w:start w:val="1"/>
      <w:numFmt w:val="bullet"/>
      <w:lvlText w:val=""/>
      <w:lvlJc w:val="left"/>
      <w:pPr>
        <w:ind w:left="228" w:hanging="360"/>
      </w:pPr>
      <w:rPr>
        <w:rFonts w:ascii="Symbol" w:hAnsi="Symbol" w:hint="default"/>
      </w:rPr>
    </w:lvl>
    <w:lvl w:ilvl="1" w:tplc="04090003" w:tentative="1">
      <w:start w:val="1"/>
      <w:numFmt w:val="bullet"/>
      <w:lvlText w:val="o"/>
      <w:lvlJc w:val="left"/>
      <w:pPr>
        <w:ind w:left="948" w:hanging="360"/>
      </w:pPr>
      <w:rPr>
        <w:rFonts w:ascii="Courier New" w:hAnsi="Courier New" w:cs="Courier New" w:hint="default"/>
      </w:rPr>
    </w:lvl>
    <w:lvl w:ilvl="2" w:tplc="04090005" w:tentative="1">
      <w:start w:val="1"/>
      <w:numFmt w:val="bullet"/>
      <w:lvlText w:val=""/>
      <w:lvlJc w:val="left"/>
      <w:pPr>
        <w:ind w:left="1668" w:hanging="360"/>
      </w:pPr>
      <w:rPr>
        <w:rFonts w:ascii="Wingdings" w:hAnsi="Wingdings" w:hint="default"/>
      </w:rPr>
    </w:lvl>
    <w:lvl w:ilvl="3" w:tplc="04090001" w:tentative="1">
      <w:start w:val="1"/>
      <w:numFmt w:val="bullet"/>
      <w:lvlText w:val=""/>
      <w:lvlJc w:val="left"/>
      <w:pPr>
        <w:ind w:left="2388" w:hanging="360"/>
      </w:pPr>
      <w:rPr>
        <w:rFonts w:ascii="Symbol" w:hAnsi="Symbol" w:hint="default"/>
      </w:rPr>
    </w:lvl>
    <w:lvl w:ilvl="4" w:tplc="04090003" w:tentative="1">
      <w:start w:val="1"/>
      <w:numFmt w:val="bullet"/>
      <w:lvlText w:val="o"/>
      <w:lvlJc w:val="left"/>
      <w:pPr>
        <w:ind w:left="3108" w:hanging="360"/>
      </w:pPr>
      <w:rPr>
        <w:rFonts w:ascii="Courier New" w:hAnsi="Courier New" w:cs="Courier New" w:hint="default"/>
      </w:rPr>
    </w:lvl>
    <w:lvl w:ilvl="5" w:tplc="04090005" w:tentative="1">
      <w:start w:val="1"/>
      <w:numFmt w:val="bullet"/>
      <w:lvlText w:val=""/>
      <w:lvlJc w:val="left"/>
      <w:pPr>
        <w:ind w:left="3828" w:hanging="360"/>
      </w:pPr>
      <w:rPr>
        <w:rFonts w:ascii="Wingdings" w:hAnsi="Wingdings" w:hint="default"/>
      </w:rPr>
    </w:lvl>
    <w:lvl w:ilvl="6" w:tplc="04090001" w:tentative="1">
      <w:start w:val="1"/>
      <w:numFmt w:val="bullet"/>
      <w:lvlText w:val=""/>
      <w:lvlJc w:val="left"/>
      <w:pPr>
        <w:ind w:left="4548" w:hanging="360"/>
      </w:pPr>
      <w:rPr>
        <w:rFonts w:ascii="Symbol" w:hAnsi="Symbol" w:hint="default"/>
      </w:rPr>
    </w:lvl>
    <w:lvl w:ilvl="7" w:tplc="04090003" w:tentative="1">
      <w:start w:val="1"/>
      <w:numFmt w:val="bullet"/>
      <w:lvlText w:val="o"/>
      <w:lvlJc w:val="left"/>
      <w:pPr>
        <w:ind w:left="5268" w:hanging="360"/>
      </w:pPr>
      <w:rPr>
        <w:rFonts w:ascii="Courier New" w:hAnsi="Courier New" w:cs="Courier New" w:hint="default"/>
      </w:rPr>
    </w:lvl>
    <w:lvl w:ilvl="8" w:tplc="04090005" w:tentative="1">
      <w:start w:val="1"/>
      <w:numFmt w:val="bullet"/>
      <w:lvlText w:val=""/>
      <w:lvlJc w:val="left"/>
      <w:pPr>
        <w:ind w:left="5988" w:hanging="360"/>
      </w:pPr>
      <w:rPr>
        <w:rFonts w:ascii="Wingdings" w:hAnsi="Wingdings" w:hint="default"/>
      </w:rPr>
    </w:lvl>
  </w:abstractNum>
  <w:abstractNum w:abstractNumId="23">
    <w:nsid w:val="62180423"/>
    <w:multiLevelType w:val="hybridMultilevel"/>
    <w:tmpl w:val="F188A31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nsid w:val="66A52526"/>
    <w:multiLevelType w:val="multilevel"/>
    <w:tmpl w:val="0268A3BE"/>
    <w:lvl w:ilvl="0">
      <w:start w:val="2"/>
      <w:numFmt w:val="decimal"/>
      <w:lvlText w:val="%1"/>
      <w:lvlJc w:val="left"/>
      <w:pPr>
        <w:ind w:left="360" w:hanging="360"/>
      </w:pPr>
      <w:rPr>
        <w:rFonts w:hint="default"/>
      </w:rPr>
    </w:lvl>
    <w:lvl w:ilvl="1">
      <w:start w:val="2"/>
      <w:numFmt w:val="decimal"/>
      <w:lvlText w:val="%1.%2"/>
      <w:lvlJc w:val="left"/>
      <w:pPr>
        <w:ind w:left="794" w:hanging="43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6BE02ECE"/>
    <w:multiLevelType w:val="hybridMultilevel"/>
    <w:tmpl w:val="9AB24D76"/>
    <w:lvl w:ilvl="0" w:tplc="04140019">
      <w:start w:val="1"/>
      <w:numFmt w:val="lowerLetter"/>
      <w:lvlText w:val="%1."/>
      <w:lvlJc w:val="left"/>
      <w:pPr>
        <w:ind w:left="1004" w:hanging="360"/>
      </w:pPr>
      <w:rPr>
        <w:rFonts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6">
    <w:nsid w:val="6BEE450B"/>
    <w:multiLevelType w:val="hybridMultilevel"/>
    <w:tmpl w:val="C46E3E86"/>
    <w:lvl w:ilvl="0" w:tplc="0414001B">
      <w:start w:val="1"/>
      <w:numFmt w:val="lowerRoman"/>
      <w:lvlText w:val="%1."/>
      <w:lvlJc w:val="right"/>
      <w:pPr>
        <w:ind w:left="644" w:hanging="360"/>
      </w:pPr>
    </w:lvl>
    <w:lvl w:ilvl="1" w:tplc="04140019">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27">
    <w:nsid w:val="705D7C92"/>
    <w:multiLevelType w:val="hybridMultilevel"/>
    <w:tmpl w:val="74BC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034E6A"/>
    <w:multiLevelType w:val="hybridMultilevel"/>
    <w:tmpl w:val="076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91C92"/>
    <w:multiLevelType w:val="hybridMultilevel"/>
    <w:tmpl w:val="A8DED7D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76AE5421"/>
    <w:multiLevelType w:val="hybridMultilevel"/>
    <w:tmpl w:val="CF60194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0762DB"/>
    <w:multiLevelType w:val="hybridMultilevel"/>
    <w:tmpl w:val="5E60104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2">
    <w:nsid w:val="7C477198"/>
    <w:multiLevelType w:val="hybridMultilevel"/>
    <w:tmpl w:val="69E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7"/>
  </w:num>
  <w:num w:numId="4">
    <w:abstractNumId w:val="29"/>
  </w:num>
  <w:num w:numId="5">
    <w:abstractNumId w:val="14"/>
  </w:num>
  <w:num w:numId="6">
    <w:abstractNumId w:val="3"/>
  </w:num>
  <w:num w:numId="7">
    <w:abstractNumId w:val="30"/>
  </w:num>
  <w:num w:numId="8">
    <w:abstractNumId w:val="7"/>
  </w:num>
  <w:num w:numId="9">
    <w:abstractNumId w:val="8"/>
  </w:num>
  <w:num w:numId="10">
    <w:abstractNumId w:val="32"/>
  </w:num>
  <w:num w:numId="11">
    <w:abstractNumId w:val="22"/>
  </w:num>
  <w:num w:numId="12">
    <w:abstractNumId w:val="28"/>
  </w:num>
  <w:num w:numId="13">
    <w:abstractNumId w:val="21"/>
  </w:num>
  <w:num w:numId="14">
    <w:abstractNumId w:val="27"/>
  </w:num>
  <w:num w:numId="15">
    <w:abstractNumId w:val="13"/>
  </w:num>
  <w:num w:numId="16">
    <w:abstractNumId w:val="15"/>
  </w:num>
  <w:num w:numId="17">
    <w:abstractNumId w:val="9"/>
  </w:num>
  <w:num w:numId="18">
    <w:abstractNumId w:val="6"/>
  </w:num>
  <w:num w:numId="19">
    <w:abstractNumId w:val="19"/>
  </w:num>
  <w:num w:numId="20">
    <w:abstractNumId w:val="2"/>
  </w:num>
  <w:num w:numId="21">
    <w:abstractNumId w:val="11"/>
  </w:num>
  <w:num w:numId="22">
    <w:abstractNumId w:val="24"/>
  </w:num>
  <w:num w:numId="23">
    <w:abstractNumId w:val="0"/>
  </w:num>
  <w:num w:numId="24">
    <w:abstractNumId w:val="16"/>
  </w:num>
  <w:num w:numId="25">
    <w:abstractNumId w:val="1"/>
  </w:num>
  <w:num w:numId="26">
    <w:abstractNumId w:val="10"/>
  </w:num>
  <w:num w:numId="27">
    <w:abstractNumId w:val="26"/>
  </w:num>
  <w:num w:numId="28">
    <w:abstractNumId w:val="12"/>
  </w:num>
  <w:num w:numId="29">
    <w:abstractNumId w:val="4"/>
  </w:num>
  <w:num w:numId="30">
    <w:abstractNumId w:val="20"/>
  </w:num>
  <w:num w:numId="31">
    <w:abstractNumId w:val="31"/>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2"/>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3F"/>
    <w:rsid w:val="0001617B"/>
    <w:rsid w:val="00051CBE"/>
    <w:rsid w:val="00082D2B"/>
    <w:rsid w:val="000840A6"/>
    <w:rsid w:val="000B1A29"/>
    <w:rsid w:val="000B200F"/>
    <w:rsid w:val="000D4DE4"/>
    <w:rsid w:val="0011485B"/>
    <w:rsid w:val="00122C23"/>
    <w:rsid w:val="00124856"/>
    <w:rsid w:val="00132ED9"/>
    <w:rsid w:val="001479F5"/>
    <w:rsid w:val="00162E38"/>
    <w:rsid w:val="00173A37"/>
    <w:rsid w:val="00176322"/>
    <w:rsid w:val="00184A54"/>
    <w:rsid w:val="00186B95"/>
    <w:rsid w:val="00197174"/>
    <w:rsid w:val="001A03BB"/>
    <w:rsid w:val="001B2E69"/>
    <w:rsid w:val="001B5F2D"/>
    <w:rsid w:val="001B6139"/>
    <w:rsid w:val="00213105"/>
    <w:rsid w:val="00214713"/>
    <w:rsid w:val="00214BF2"/>
    <w:rsid w:val="00230FC7"/>
    <w:rsid w:val="00236EEA"/>
    <w:rsid w:val="00263E80"/>
    <w:rsid w:val="00273E54"/>
    <w:rsid w:val="00277AB7"/>
    <w:rsid w:val="00293CB4"/>
    <w:rsid w:val="002B69CC"/>
    <w:rsid w:val="002C6341"/>
    <w:rsid w:val="002C6AE3"/>
    <w:rsid w:val="002E06C4"/>
    <w:rsid w:val="002F4B61"/>
    <w:rsid w:val="002F5940"/>
    <w:rsid w:val="003030E8"/>
    <w:rsid w:val="003035D5"/>
    <w:rsid w:val="00314D34"/>
    <w:rsid w:val="00325698"/>
    <w:rsid w:val="00335B22"/>
    <w:rsid w:val="003370AA"/>
    <w:rsid w:val="00360A9B"/>
    <w:rsid w:val="00366423"/>
    <w:rsid w:val="00393391"/>
    <w:rsid w:val="003A2FA3"/>
    <w:rsid w:val="003A7DD5"/>
    <w:rsid w:val="003F52B1"/>
    <w:rsid w:val="00416649"/>
    <w:rsid w:val="00417DEF"/>
    <w:rsid w:val="00424DF6"/>
    <w:rsid w:val="00442233"/>
    <w:rsid w:val="00444618"/>
    <w:rsid w:val="004650D0"/>
    <w:rsid w:val="00465BF3"/>
    <w:rsid w:val="00465EF9"/>
    <w:rsid w:val="00472BFB"/>
    <w:rsid w:val="004814B0"/>
    <w:rsid w:val="0048764A"/>
    <w:rsid w:val="00493A1E"/>
    <w:rsid w:val="004A106E"/>
    <w:rsid w:val="004B343A"/>
    <w:rsid w:val="004B536D"/>
    <w:rsid w:val="004C43F1"/>
    <w:rsid w:val="004D038F"/>
    <w:rsid w:val="005016EE"/>
    <w:rsid w:val="00511297"/>
    <w:rsid w:val="00513153"/>
    <w:rsid w:val="00513D00"/>
    <w:rsid w:val="0052007B"/>
    <w:rsid w:val="00520708"/>
    <w:rsid w:val="005341EB"/>
    <w:rsid w:val="00537099"/>
    <w:rsid w:val="005635AD"/>
    <w:rsid w:val="00571279"/>
    <w:rsid w:val="00581CF3"/>
    <w:rsid w:val="00593D47"/>
    <w:rsid w:val="005960F8"/>
    <w:rsid w:val="005B4E0B"/>
    <w:rsid w:val="005E42CA"/>
    <w:rsid w:val="005F7DC9"/>
    <w:rsid w:val="006002AF"/>
    <w:rsid w:val="00603CA3"/>
    <w:rsid w:val="0060466F"/>
    <w:rsid w:val="00616B14"/>
    <w:rsid w:val="0062293E"/>
    <w:rsid w:val="006453A7"/>
    <w:rsid w:val="00653EB7"/>
    <w:rsid w:val="006555E3"/>
    <w:rsid w:val="00667FA7"/>
    <w:rsid w:val="0069712B"/>
    <w:rsid w:val="006C1BA2"/>
    <w:rsid w:val="006C3E3D"/>
    <w:rsid w:val="006D6BB1"/>
    <w:rsid w:val="006D74EA"/>
    <w:rsid w:val="00702325"/>
    <w:rsid w:val="00715C81"/>
    <w:rsid w:val="007179CB"/>
    <w:rsid w:val="00717E0A"/>
    <w:rsid w:val="007200AE"/>
    <w:rsid w:val="00724D4D"/>
    <w:rsid w:val="00736370"/>
    <w:rsid w:val="00740884"/>
    <w:rsid w:val="00744E67"/>
    <w:rsid w:val="0075478D"/>
    <w:rsid w:val="00763B2C"/>
    <w:rsid w:val="00774D65"/>
    <w:rsid w:val="00784563"/>
    <w:rsid w:val="0078778E"/>
    <w:rsid w:val="007B4F8D"/>
    <w:rsid w:val="007B52DF"/>
    <w:rsid w:val="007D19E8"/>
    <w:rsid w:val="007E0491"/>
    <w:rsid w:val="007E1A33"/>
    <w:rsid w:val="00801B9C"/>
    <w:rsid w:val="0080333F"/>
    <w:rsid w:val="008124F0"/>
    <w:rsid w:val="008173EC"/>
    <w:rsid w:val="00817D95"/>
    <w:rsid w:val="00821EE8"/>
    <w:rsid w:val="00823866"/>
    <w:rsid w:val="008270D6"/>
    <w:rsid w:val="00832CC2"/>
    <w:rsid w:val="00835086"/>
    <w:rsid w:val="00842910"/>
    <w:rsid w:val="00853AFC"/>
    <w:rsid w:val="00854A03"/>
    <w:rsid w:val="00863142"/>
    <w:rsid w:val="0087645C"/>
    <w:rsid w:val="00881381"/>
    <w:rsid w:val="008916CE"/>
    <w:rsid w:val="008A5678"/>
    <w:rsid w:val="008B1B99"/>
    <w:rsid w:val="008B36AB"/>
    <w:rsid w:val="008D5C22"/>
    <w:rsid w:val="008E18B4"/>
    <w:rsid w:val="008E5057"/>
    <w:rsid w:val="00911A65"/>
    <w:rsid w:val="00912C33"/>
    <w:rsid w:val="00931BEA"/>
    <w:rsid w:val="0093372F"/>
    <w:rsid w:val="0094501A"/>
    <w:rsid w:val="0095377F"/>
    <w:rsid w:val="00970267"/>
    <w:rsid w:val="00980639"/>
    <w:rsid w:val="009B0CF9"/>
    <w:rsid w:val="009B2FE9"/>
    <w:rsid w:val="009C1F12"/>
    <w:rsid w:val="009C404D"/>
    <w:rsid w:val="009D05E1"/>
    <w:rsid w:val="009D0871"/>
    <w:rsid w:val="00A01B94"/>
    <w:rsid w:val="00A01BB1"/>
    <w:rsid w:val="00A175B1"/>
    <w:rsid w:val="00A326BB"/>
    <w:rsid w:val="00A3585C"/>
    <w:rsid w:val="00A37CD3"/>
    <w:rsid w:val="00A577B1"/>
    <w:rsid w:val="00A83376"/>
    <w:rsid w:val="00AA200E"/>
    <w:rsid w:val="00AA2EC8"/>
    <w:rsid w:val="00AB1146"/>
    <w:rsid w:val="00AD100A"/>
    <w:rsid w:val="00AD227C"/>
    <w:rsid w:val="00AD6E23"/>
    <w:rsid w:val="00AE10BC"/>
    <w:rsid w:val="00B30575"/>
    <w:rsid w:val="00B441D3"/>
    <w:rsid w:val="00B50DC8"/>
    <w:rsid w:val="00B6342E"/>
    <w:rsid w:val="00B71FAA"/>
    <w:rsid w:val="00BA683D"/>
    <w:rsid w:val="00BB5BF2"/>
    <w:rsid w:val="00BB7C4A"/>
    <w:rsid w:val="00BC0621"/>
    <w:rsid w:val="00BC20FD"/>
    <w:rsid w:val="00BC2354"/>
    <w:rsid w:val="00BC2D68"/>
    <w:rsid w:val="00BD01A0"/>
    <w:rsid w:val="00BD4A91"/>
    <w:rsid w:val="00BE3666"/>
    <w:rsid w:val="00C06F5B"/>
    <w:rsid w:val="00C24970"/>
    <w:rsid w:val="00C26EE9"/>
    <w:rsid w:val="00C61C3D"/>
    <w:rsid w:val="00C961CD"/>
    <w:rsid w:val="00CA0A71"/>
    <w:rsid w:val="00CA16D1"/>
    <w:rsid w:val="00CC430C"/>
    <w:rsid w:val="00CD0B09"/>
    <w:rsid w:val="00CE7FE2"/>
    <w:rsid w:val="00CF2C03"/>
    <w:rsid w:val="00D07C33"/>
    <w:rsid w:val="00D10047"/>
    <w:rsid w:val="00D15544"/>
    <w:rsid w:val="00D2256D"/>
    <w:rsid w:val="00D31B91"/>
    <w:rsid w:val="00D32393"/>
    <w:rsid w:val="00D468A1"/>
    <w:rsid w:val="00D520A7"/>
    <w:rsid w:val="00D6032E"/>
    <w:rsid w:val="00D664A7"/>
    <w:rsid w:val="00D7381A"/>
    <w:rsid w:val="00D906B4"/>
    <w:rsid w:val="00D95EE3"/>
    <w:rsid w:val="00DA035A"/>
    <w:rsid w:val="00DB5BEB"/>
    <w:rsid w:val="00DC451A"/>
    <w:rsid w:val="00DD35C4"/>
    <w:rsid w:val="00DD60C0"/>
    <w:rsid w:val="00E00E4B"/>
    <w:rsid w:val="00E04526"/>
    <w:rsid w:val="00E06026"/>
    <w:rsid w:val="00E24F23"/>
    <w:rsid w:val="00E272F7"/>
    <w:rsid w:val="00E30D1C"/>
    <w:rsid w:val="00E420B8"/>
    <w:rsid w:val="00E44942"/>
    <w:rsid w:val="00E576A9"/>
    <w:rsid w:val="00E65EDF"/>
    <w:rsid w:val="00E71E52"/>
    <w:rsid w:val="00E726BC"/>
    <w:rsid w:val="00E732E7"/>
    <w:rsid w:val="00E74067"/>
    <w:rsid w:val="00E7555A"/>
    <w:rsid w:val="00E911F9"/>
    <w:rsid w:val="00E938F4"/>
    <w:rsid w:val="00EA5D46"/>
    <w:rsid w:val="00EB0128"/>
    <w:rsid w:val="00EB566F"/>
    <w:rsid w:val="00EB6471"/>
    <w:rsid w:val="00EC0C9A"/>
    <w:rsid w:val="00EC27CF"/>
    <w:rsid w:val="00EC2D1C"/>
    <w:rsid w:val="00EE4708"/>
    <w:rsid w:val="00EF5076"/>
    <w:rsid w:val="00F07E56"/>
    <w:rsid w:val="00F12B61"/>
    <w:rsid w:val="00F1613C"/>
    <w:rsid w:val="00F21B2C"/>
    <w:rsid w:val="00F52058"/>
    <w:rsid w:val="00F65ED4"/>
    <w:rsid w:val="00FE3013"/>
    <w:rsid w:val="00FE5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40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E80"/>
    <w:pPr>
      <w:spacing w:before="120" w:after="120" w:line="276" w:lineRule="auto"/>
    </w:pPr>
    <w:rPr>
      <w:sz w:val="23"/>
      <w:szCs w:val="22"/>
      <w:lang w:val="en-GB"/>
    </w:rPr>
  </w:style>
  <w:style w:type="paragraph" w:styleId="Heading1">
    <w:name w:val="heading 1"/>
    <w:basedOn w:val="Normal"/>
    <w:next w:val="Normal"/>
    <w:link w:val="Heading1Char"/>
    <w:autoRedefine/>
    <w:uiPriority w:val="9"/>
    <w:qFormat/>
    <w:rsid w:val="00E938F4"/>
    <w:pPr>
      <w:keepNext/>
      <w:keepLines/>
      <w:numPr>
        <w:numId w:val="30"/>
      </w:numPr>
      <w:spacing w:before="480"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179CB"/>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7179CB"/>
    <w:pPr>
      <w:keepNext/>
      <w:keepLines/>
      <w:spacing w:before="200" w:after="0"/>
      <w:outlineLvl w:val="2"/>
    </w:pPr>
    <w:rPr>
      <w:rFonts w:eastAsia="Times New Roman"/>
      <w:b/>
      <w:bCs/>
    </w:rPr>
  </w:style>
  <w:style w:type="paragraph" w:styleId="Heading4">
    <w:name w:val="heading 4"/>
    <w:basedOn w:val="Normal"/>
    <w:next w:val="Normal"/>
    <w:link w:val="Heading4Char"/>
    <w:uiPriority w:val="9"/>
    <w:unhideWhenUsed/>
    <w:qFormat/>
    <w:rsid w:val="004814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8F4"/>
    <w:pPr>
      <w:pBdr>
        <w:bottom w:val="single" w:sz="8" w:space="4" w:color="000000"/>
      </w:pBdr>
      <w:spacing w:before="480" w:after="300" w:line="240" w:lineRule="auto"/>
      <w:contextualSpacing/>
    </w:pPr>
    <w:rPr>
      <w:rFonts w:asciiTheme="majorHAnsi" w:eastAsia="Times New Roman" w:hAnsiTheme="majorHAnsi"/>
      <w:color w:val="000000"/>
      <w:spacing w:val="5"/>
      <w:kern w:val="28"/>
      <w:sz w:val="52"/>
      <w:szCs w:val="52"/>
    </w:rPr>
  </w:style>
  <w:style w:type="character" w:customStyle="1" w:styleId="TitleChar">
    <w:name w:val="Title Char"/>
    <w:link w:val="Title"/>
    <w:uiPriority w:val="10"/>
    <w:rsid w:val="00E938F4"/>
    <w:rPr>
      <w:rFonts w:asciiTheme="majorHAnsi" w:eastAsia="Times New Roman" w:hAnsiTheme="majorHAnsi"/>
      <w:color w:val="000000"/>
      <w:spacing w:val="5"/>
      <w:kern w:val="28"/>
      <w:sz w:val="52"/>
      <w:szCs w:val="52"/>
      <w:lang w:val="en-GB"/>
    </w:rPr>
  </w:style>
  <w:style w:type="paragraph" w:styleId="ListParagraph">
    <w:name w:val="List Paragraph"/>
    <w:basedOn w:val="Normal"/>
    <w:uiPriority w:val="34"/>
    <w:qFormat/>
    <w:rsid w:val="00E420B8"/>
    <w:pPr>
      <w:ind w:left="794" w:firstLine="720"/>
      <w:contextualSpacing/>
    </w:pPr>
  </w:style>
  <w:style w:type="paragraph" w:styleId="Footer">
    <w:name w:val="footer"/>
    <w:basedOn w:val="Normal"/>
    <w:link w:val="FooterChar"/>
    <w:uiPriority w:val="99"/>
    <w:unhideWhenUsed/>
    <w:rsid w:val="0080333F"/>
    <w:pPr>
      <w:tabs>
        <w:tab w:val="center" w:pos="4536"/>
        <w:tab w:val="right" w:pos="9072"/>
      </w:tabs>
      <w:spacing w:after="0" w:line="240" w:lineRule="auto"/>
    </w:pPr>
  </w:style>
  <w:style w:type="character" w:customStyle="1" w:styleId="FooterChar">
    <w:name w:val="Footer Char"/>
    <w:link w:val="Footer"/>
    <w:uiPriority w:val="99"/>
    <w:rsid w:val="0080333F"/>
    <w:rPr>
      <w:rFonts w:ascii="Myriad Pro" w:hAnsi="Myriad Pro"/>
      <w:lang w:val="en-GB"/>
    </w:rPr>
  </w:style>
  <w:style w:type="character" w:styleId="PageNumber">
    <w:name w:val="page number"/>
    <w:basedOn w:val="DefaultParagraphFont"/>
    <w:uiPriority w:val="99"/>
    <w:semiHidden/>
    <w:unhideWhenUsed/>
    <w:rsid w:val="0080333F"/>
  </w:style>
  <w:style w:type="character" w:styleId="IntenseEmphasis">
    <w:name w:val="Intense Emphasis"/>
    <w:uiPriority w:val="21"/>
    <w:qFormat/>
    <w:rsid w:val="0080333F"/>
    <w:rPr>
      <w:b/>
      <w:bCs/>
      <w:i/>
      <w:iCs/>
      <w:color w:val="4F81BD"/>
    </w:rPr>
  </w:style>
  <w:style w:type="character" w:styleId="Emphasis">
    <w:name w:val="Emphasis"/>
    <w:uiPriority w:val="20"/>
    <w:qFormat/>
    <w:rsid w:val="0080333F"/>
    <w:rPr>
      <w:i/>
      <w:iCs/>
    </w:rPr>
  </w:style>
  <w:style w:type="table" w:styleId="TableGrid">
    <w:name w:val="Table Grid"/>
    <w:basedOn w:val="TableNormal"/>
    <w:uiPriority w:val="59"/>
    <w:rsid w:val="0080333F"/>
    <w:rPr>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372F"/>
    <w:rPr>
      <w:rFonts w:cs="Times New Roman"/>
      <w:color w:val="0000FF"/>
      <w:u w:val="single"/>
    </w:rPr>
  </w:style>
  <w:style w:type="paragraph" w:styleId="Subtitle">
    <w:name w:val="Subtitle"/>
    <w:basedOn w:val="Normal"/>
    <w:next w:val="Normal"/>
    <w:link w:val="SubtitleChar"/>
    <w:uiPriority w:val="11"/>
    <w:qFormat/>
    <w:rsid w:val="00853AFC"/>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853AFC"/>
    <w:rPr>
      <w:rFonts w:ascii="Cambria" w:eastAsia="Times New Roman" w:hAnsi="Cambria" w:cs="Times New Roman"/>
      <w:i/>
      <w:iCs/>
      <w:color w:val="4F81BD"/>
      <w:spacing w:val="15"/>
      <w:sz w:val="24"/>
      <w:szCs w:val="24"/>
      <w:lang w:val="en-GB"/>
    </w:rPr>
  </w:style>
  <w:style w:type="paragraph" w:customStyle="1" w:styleId="Heading21">
    <w:name w:val="Heading 21"/>
    <w:basedOn w:val="Normal"/>
    <w:next w:val="Normal"/>
    <w:uiPriority w:val="9"/>
    <w:unhideWhenUsed/>
    <w:qFormat/>
    <w:rsid w:val="005960F8"/>
    <w:pPr>
      <w:keepNext/>
      <w:keepLines/>
      <w:spacing w:before="200" w:after="0" w:line="240" w:lineRule="auto"/>
      <w:outlineLvl w:val="1"/>
    </w:pPr>
    <w:rPr>
      <w:rFonts w:ascii="Myriad Pro SemiCond" w:eastAsia="Times New Roman" w:hAnsi="Myriad Pro SemiCond"/>
      <w:b/>
      <w:bCs/>
      <w:sz w:val="26"/>
      <w:szCs w:val="26"/>
    </w:rPr>
  </w:style>
  <w:style w:type="character" w:customStyle="1" w:styleId="Heading1Char">
    <w:name w:val="Heading 1 Char"/>
    <w:link w:val="Heading1"/>
    <w:uiPriority w:val="9"/>
    <w:rsid w:val="00E938F4"/>
    <w:rPr>
      <w:rFonts w:eastAsia="Times New Roman"/>
      <w:b/>
      <w:bCs/>
      <w:sz w:val="32"/>
      <w:szCs w:val="28"/>
      <w:lang w:val="en-GB"/>
    </w:rPr>
  </w:style>
  <w:style w:type="character" w:customStyle="1" w:styleId="Heading2Char">
    <w:name w:val="Heading 2 Char"/>
    <w:link w:val="Heading2"/>
    <w:uiPriority w:val="9"/>
    <w:rsid w:val="007179CB"/>
    <w:rPr>
      <w:rFonts w:ascii="Myriad Pro" w:eastAsia="Times New Roman" w:hAnsi="Myriad Pro" w:cs="Times New Roman"/>
      <w:b/>
      <w:bCs/>
      <w:sz w:val="26"/>
      <w:szCs w:val="26"/>
      <w:lang w:val="en-GB"/>
    </w:rPr>
  </w:style>
  <w:style w:type="character" w:customStyle="1" w:styleId="Heading4Char">
    <w:name w:val="Heading 4 Char"/>
    <w:link w:val="Heading4"/>
    <w:uiPriority w:val="9"/>
    <w:rsid w:val="004814B0"/>
    <w:rPr>
      <w:rFonts w:ascii="Cambria" w:eastAsia="Times New Roman" w:hAnsi="Cambria" w:cs="Times New Roman"/>
      <w:b/>
      <w:bCs/>
      <w:i/>
      <w:iCs/>
      <w:color w:val="4F81BD"/>
      <w:lang w:val="en-GB"/>
    </w:rPr>
  </w:style>
  <w:style w:type="character" w:styleId="CommentReference">
    <w:name w:val="annotation reference"/>
    <w:uiPriority w:val="99"/>
    <w:semiHidden/>
    <w:unhideWhenUsed/>
    <w:rsid w:val="00842910"/>
    <w:rPr>
      <w:sz w:val="16"/>
      <w:szCs w:val="16"/>
    </w:rPr>
  </w:style>
  <w:style w:type="paragraph" w:styleId="CommentText">
    <w:name w:val="annotation text"/>
    <w:basedOn w:val="Normal"/>
    <w:link w:val="CommentTextChar"/>
    <w:uiPriority w:val="99"/>
    <w:semiHidden/>
    <w:unhideWhenUsed/>
    <w:rsid w:val="00842910"/>
    <w:pPr>
      <w:spacing w:line="240" w:lineRule="auto"/>
    </w:pPr>
    <w:rPr>
      <w:sz w:val="20"/>
      <w:szCs w:val="20"/>
    </w:rPr>
  </w:style>
  <w:style w:type="character" w:customStyle="1" w:styleId="CommentTextChar">
    <w:name w:val="Comment Text Char"/>
    <w:link w:val="CommentText"/>
    <w:uiPriority w:val="99"/>
    <w:semiHidden/>
    <w:rsid w:val="00842910"/>
    <w:rPr>
      <w:rFonts w:ascii="Myriad Pro" w:hAnsi="Myriad Pro"/>
      <w:sz w:val="20"/>
      <w:szCs w:val="20"/>
      <w:lang w:val="en-GB"/>
    </w:rPr>
  </w:style>
  <w:style w:type="paragraph" w:styleId="CommentSubject">
    <w:name w:val="annotation subject"/>
    <w:basedOn w:val="CommentText"/>
    <w:next w:val="CommentText"/>
    <w:link w:val="CommentSubjectChar"/>
    <w:uiPriority w:val="99"/>
    <w:semiHidden/>
    <w:unhideWhenUsed/>
    <w:rsid w:val="00842910"/>
    <w:rPr>
      <w:b/>
      <w:bCs/>
    </w:rPr>
  </w:style>
  <w:style w:type="character" w:customStyle="1" w:styleId="CommentSubjectChar">
    <w:name w:val="Comment Subject Char"/>
    <w:link w:val="CommentSubject"/>
    <w:uiPriority w:val="99"/>
    <w:semiHidden/>
    <w:rsid w:val="00842910"/>
    <w:rPr>
      <w:rFonts w:ascii="Myriad Pro" w:hAnsi="Myriad Pro"/>
      <w:b/>
      <w:bCs/>
      <w:sz w:val="20"/>
      <w:szCs w:val="20"/>
      <w:lang w:val="en-GB"/>
    </w:rPr>
  </w:style>
  <w:style w:type="paragraph" w:styleId="BalloonText">
    <w:name w:val="Balloon Text"/>
    <w:basedOn w:val="Normal"/>
    <w:link w:val="BalloonTextChar"/>
    <w:uiPriority w:val="99"/>
    <w:semiHidden/>
    <w:unhideWhenUsed/>
    <w:rsid w:val="008429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2910"/>
    <w:rPr>
      <w:rFonts w:ascii="Tahoma" w:hAnsi="Tahoma" w:cs="Tahoma"/>
      <w:sz w:val="16"/>
      <w:szCs w:val="16"/>
      <w:lang w:val="en-GB"/>
    </w:rPr>
  </w:style>
  <w:style w:type="paragraph" w:styleId="Header">
    <w:name w:val="header"/>
    <w:basedOn w:val="Normal"/>
    <w:link w:val="HeaderChar"/>
    <w:uiPriority w:val="99"/>
    <w:unhideWhenUsed/>
    <w:rsid w:val="002E06C4"/>
    <w:pPr>
      <w:tabs>
        <w:tab w:val="center" w:pos="4703"/>
        <w:tab w:val="right" w:pos="9406"/>
      </w:tabs>
      <w:spacing w:after="0" w:line="240" w:lineRule="auto"/>
    </w:pPr>
  </w:style>
  <w:style w:type="character" w:customStyle="1" w:styleId="HeaderChar">
    <w:name w:val="Header Char"/>
    <w:link w:val="Header"/>
    <w:uiPriority w:val="99"/>
    <w:rsid w:val="002E06C4"/>
    <w:rPr>
      <w:rFonts w:ascii="Myriad Pro" w:hAnsi="Myriad Pro"/>
      <w:lang w:val="en-GB"/>
    </w:rPr>
  </w:style>
  <w:style w:type="character" w:customStyle="1" w:styleId="Heading3Char">
    <w:name w:val="Heading 3 Char"/>
    <w:link w:val="Heading3"/>
    <w:uiPriority w:val="9"/>
    <w:rsid w:val="007179CB"/>
    <w:rPr>
      <w:rFonts w:ascii="Myriad Pro" w:eastAsia="Times New Roman" w:hAnsi="Myriad Pro" w:cs="Times New Roman"/>
      <w:b/>
      <w:bCs/>
      <w:lang w:val="en-GB"/>
    </w:rPr>
  </w:style>
  <w:style w:type="paragraph" w:styleId="NoSpacing">
    <w:name w:val="No Spacing"/>
    <w:uiPriority w:val="1"/>
    <w:qFormat/>
    <w:rsid w:val="00C24970"/>
    <w:rPr>
      <w:rFonts w:ascii="Times New Roman" w:eastAsia="Times New Roman" w:hAnsi="Times New Roman"/>
      <w:sz w:val="24"/>
      <w:szCs w:val="24"/>
    </w:rPr>
  </w:style>
  <w:style w:type="numbering" w:styleId="111111">
    <w:name w:val="Outline List 2"/>
    <w:basedOn w:val="NoList"/>
    <w:uiPriority w:val="99"/>
    <w:unhideWhenUsed/>
    <w:rsid w:val="00C24970"/>
    <w:pPr>
      <w:numPr>
        <w:numId w:val="19"/>
      </w:numPr>
    </w:pPr>
  </w:style>
  <w:style w:type="paragraph" w:styleId="TOCHeading">
    <w:name w:val="TOC Heading"/>
    <w:basedOn w:val="Heading1"/>
    <w:next w:val="Normal"/>
    <w:uiPriority w:val="39"/>
    <w:unhideWhenUsed/>
    <w:qFormat/>
    <w:rsid w:val="00C24970"/>
    <w:pPr>
      <w:outlineLvl w:val="9"/>
    </w:pPr>
    <w:rPr>
      <w:lang w:val="en-US" w:eastAsia="ja-JP"/>
    </w:rPr>
  </w:style>
  <w:style w:type="paragraph" w:styleId="TOC2">
    <w:name w:val="toc 2"/>
    <w:basedOn w:val="Normal"/>
    <w:next w:val="Normal"/>
    <w:autoRedefine/>
    <w:uiPriority w:val="39"/>
    <w:unhideWhenUsed/>
    <w:rsid w:val="00C24970"/>
    <w:pPr>
      <w:spacing w:after="100"/>
      <w:ind w:left="220"/>
    </w:pPr>
  </w:style>
  <w:style w:type="paragraph" w:styleId="TOC3">
    <w:name w:val="toc 3"/>
    <w:basedOn w:val="Normal"/>
    <w:next w:val="Normal"/>
    <w:autoRedefine/>
    <w:uiPriority w:val="39"/>
    <w:unhideWhenUsed/>
    <w:rsid w:val="00C24970"/>
    <w:pPr>
      <w:spacing w:after="100"/>
      <w:ind w:left="440"/>
    </w:pPr>
  </w:style>
  <w:style w:type="paragraph" w:styleId="TOC1">
    <w:name w:val="toc 1"/>
    <w:basedOn w:val="Normal"/>
    <w:next w:val="Normal"/>
    <w:autoRedefine/>
    <w:uiPriority w:val="39"/>
    <w:unhideWhenUsed/>
    <w:rsid w:val="00EA5D46"/>
    <w:pPr>
      <w:spacing w:after="100"/>
    </w:pPr>
  </w:style>
  <w:style w:type="paragraph" w:styleId="TOC4">
    <w:name w:val="toc 4"/>
    <w:basedOn w:val="Normal"/>
    <w:next w:val="Normal"/>
    <w:autoRedefine/>
    <w:uiPriority w:val="39"/>
    <w:unhideWhenUsed/>
    <w:rsid w:val="00BE3666"/>
    <w:pPr>
      <w:ind w:left="660"/>
    </w:pPr>
  </w:style>
  <w:style w:type="paragraph" w:styleId="TOC5">
    <w:name w:val="toc 5"/>
    <w:basedOn w:val="Normal"/>
    <w:next w:val="Normal"/>
    <w:autoRedefine/>
    <w:uiPriority w:val="39"/>
    <w:unhideWhenUsed/>
    <w:rsid w:val="00BE3666"/>
    <w:pPr>
      <w:ind w:left="880"/>
    </w:pPr>
  </w:style>
  <w:style w:type="paragraph" w:styleId="TOC6">
    <w:name w:val="toc 6"/>
    <w:basedOn w:val="Normal"/>
    <w:next w:val="Normal"/>
    <w:autoRedefine/>
    <w:uiPriority w:val="39"/>
    <w:unhideWhenUsed/>
    <w:rsid w:val="00BE3666"/>
    <w:pPr>
      <w:ind w:left="1100"/>
    </w:pPr>
  </w:style>
  <w:style w:type="paragraph" w:styleId="TOC7">
    <w:name w:val="toc 7"/>
    <w:basedOn w:val="Normal"/>
    <w:next w:val="Normal"/>
    <w:autoRedefine/>
    <w:uiPriority w:val="39"/>
    <w:unhideWhenUsed/>
    <w:rsid w:val="00BE3666"/>
    <w:pPr>
      <w:ind w:left="1320"/>
    </w:pPr>
  </w:style>
  <w:style w:type="paragraph" w:styleId="TOC8">
    <w:name w:val="toc 8"/>
    <w:basedOn w:val="Normal"/>
    <w:next w:val="Normal"/>
    <w:autoRedefine/>
    <w:uiPriority w:val="39"/>
    <w:unhideWhenUsed/>
    <w:rsid w:val="00BE3666"/>
    <w:pPr>
      <w:ind w:left="1540"/>
    </w:pPr>
  </w:style>
  <w:style w:type="paragraph" w:styleId="TOC9">
    <w:name w:val="toc 9"/>
    <w:basedOn w:val="Normal"/>
    <w:next w:val="Normal"/>
    <w:autoRedefine/>
    <w:uiPriority w:val="39"/>
    <w:unhideWhenUsed/>
    <w:rsid w:val="00BE3666"/>
    <w:pPr>
      <w:ind w:left="1760"/>
    </w:pPr>
  </w:style>
  <w:style w:type="character" w:styleId="FollowedHyperlink">
    <w:name w:val="FollowedHyperlink"/>
    <w:basedOn w:val="DefaultParagraphFont"/>
    <w:uiPriority w:val="99"/>
    <w:semiHidden/>
    <w:unhideWhenUsed/>
    <w:rsid w:val="00CD0B09"/>
    <w:rPr>
      <w:color w:val="800080" w:themeColor="followedHyperlink"/>
      <w:u w:val="single"/>
    </w:rPr>
  </w:style>
  <w:style w:type="table" w:customStyle="1" w:styleId="Style1">
    <w:name w:val="Style1"/>
    <w:basedOn w:val="TableNormal"/>
    <w:uiPriority w:val="99"/>
    <w:rsid w:val="00E420B8"/>
    <w:tblPr>
      <w:tblInd w:w="0" w:type="dxa"/>
      <w:tblCellMar>
        <w:top w:w="0" w:type="dxa"/>
        <w:left w:w="108" w:type="dxa"/>
        <w:bottom w:w="0" w:type="dxa"/>
        <w:right w:w="108" w:type="dxa"/>
      </w:tblCellMar>
    </w:tblPr>
    <w:tcPr>
      <w:shd w:val="clear" w:color="auto" w:fill="EEECE1" w:themeFill="background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gov.uk/government/uploads/system/uploads/attachment_data/file/264506/Terms_of_Reference.pdf" TargetMode="External"/><Relationship Id="rId12" Type="http://schemas.openxmlformats.org/officeDocument/2006/relationships/hyperlink" Target="http://www.neiti.org.ng/sites/default/files/documents/uploads/neitiboardcharter-010211.pdf" TargetMode="External"/><Relationship Id="rId13" Type="http://schemas.openxmlformats.org/officeDocument/2006/relationships/hyperlink" Target="http://ph-eiti.org/document/TOR.pdf" TargetMode="External"/><Relationship Id="rId14" Type="http://schemas.openxmlformats.org/officeDocument/2006/relationships/image" Target="media/image1.png"/><Relationship Id="rId15" Type="http://schemas.openxmlformats.org/officeDocument/2006/relationships/hyperlink" Target="http://ph-eiti.org/document/TOR.pdf" TargetMode="External"/><Relationship Id="rId16" Type="http://schemas.openxmlformats.org/officeDocument/2006/relationships/hyperlink" Target="https://www.gov.uk/government/uploads/system/uploads/attachment_data/file/264506/Terms_of_Reference.pdf" TargetMode="External"/><Relationship Id="rId17" Type="http://schemas.openxmlformats.org/officeDocument/2006/relationships/hyperlink" Target="http://ph-eiti.org/document/TOR.pdf"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80F0-B478-4BF4-82B5-BF76E894E6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97A0B-F9F1-4EDC-A6FC-3F23CF21A5C0}">
  <ds:schemaRefs>
    <ds:schemaRef ds:uri="http://schemas.microsoft.com/sharepoint/v3/contenttype/forms"/>
  </ds:schemaRefs>
</ds:datastoreItem>
</file>

<file path=customXml/itemProps3.xml><?xml version="1.0" encoding="utf-8"?>
<ds:datastoreItem xmlns:ds="http://schemas.openxmlformats.org/officeDocument/2006/customXml" ds:itemID="{646157C4-5F65-4905-BE80-F71E41855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916808-04D1-3341-A701-7E27487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1515</Words>
  <Characters>8641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Intility AS</Company>
  <LinksUpToDate>false</LinksUpToDate>
  <CharactersWithSpaces>10136</CharactersWithSpaces>
  <SharedDoc>false</SharedDoc>
  <HyperlinkBase/>
  <HLinks>
    <vt:vector size="168" baseType="variant">
      <vt:variant>
        <vt:i4>1769531</vt:i4>
      </vt:variant>
      <vt:variant>
        <vt:i4>104</vt:i4>
      </vt:variant>
      <vt:variant>
        <vt:i4>0</vt:i4>
      </vt:variant>
      <vt:variant>
        <vt:i4>5</vt:i4>
      </vt:variant>
      <vt:variant>
        <vt:lpwstr/>
      </vt:variant>
      <vt:variant>
        <vt:lpwstr>_Toc378063687</vt:lpwstr>
      </vt:variant>
      <vt:variant>
        <vt:i4>1769531</vt:i4>
      </vt:variant>
      <vt:variant>
        <vt:i4>98</vt:i4>
      </vt:variant>
      <vt:variant>
        <vt:i4>0</vt:i4>
      </vt:variant>
      <vt:variant>
        <vt:i4>5</vt:i4>
      </vt:variant>
      <vt:variant>
        <vt:lpwstr/>
      </vt:variant>
      <vt:variant>
        <vt:lpwstr>_Toc378063686</vt:lpwstr>
      </vt:variant>
      <vt:variant>
        <vt:i4>1769531</vt:i4>
      </vt:variant>
      <vt:variant>
        <vt:i4>92</vt:i4>
      </vt:variant>
      <vt:variant>
        <vt:i4>0</vt:i4>
      </vt:variant>
      <vt:variant>
        <vt:i4>5</vt:i4>
      </vt:variant>
      <vt:variant>
        <vt:lpwstr/>
      </vt:variant>
      <vt:variant>
        <vt:lpwstr>_Toc378063685</vt:lpwstr>
      </vt:variant>
      <vt:variant>
        <vt:i4>1769531</vt:i4>
      </vt:variant>
      <vt:variant>
        <vt:i4>86</vt:i4>
      </vt:variant>
      <vt:variant>
        <vt:i4>0</vt:i4>
      </vt:variant>
      <vt:variant>
        <vt:i4>5</vt:i4>
      </vt:variant>
      <vt:variant>
        <vt:lpwstr/>
      </vt:variant>
      <vt:variant>
        <vt:lpwstr>_Toc378063684</vt:lpwstr>
      </vt:variant>
      <vt:variant>
        <vt:i4>1769531</vt:i4>
      </vt:variant>
      <vt:variant>
        <vt:i4>80</vt:i4>
      </vt:variant>
      <vt:variant>
        <vt:i4>0</vt:i4>
      </vt:variant>
      <vt:variant>
        <vt:i4>5</vt:i4>
      </vt:variant>
      <vt:variant>
        <vt:lpwstr/>
      </vt:variant>
      <vt:variant>
        <vt:lpwstr>_Toc378063683</vt:lpwstr>
      </vt:variant>
      <vt:variant>
        <vt:i4>1769531</vt:i4>
      </vt:variant>
      <vt:variant>
        <vt:i4>74</vt:i4>
      </vt:variant>
      <vt:variant>
        <vt:i4>0</vt:i4>
      </vt:variant>
      <vt:variant>
        <vt:i4>5</vt:i4>
      </vt:variant>
      <vt:variant>
        <vt:lpwstr/>
      </vt:variant>
      <vt:variant>
        <vt:lpwstr>_Toc378063682</vt:lpwstr>
      </vt:variant>
      <vt:variant>
        <vt:i4>1769531</vt:i4>
      </vt:variant>
      <vt:variant>
        <vt:i4>68</vt:i4>
      </vt:variant>
      <vt:variant>
        <vt:i4>0</vt:i4>
      </vt:variant>
      <vt:variant>
        <vt:i4>5</vt:i4>
      </vt:variant>
      <vt:variant>
        <vt:lpwstr/>
      </vt:variant>
      <vt:variant>
        <vt:lpwstr>_Toc378063681</vt:lpwstr>
      </vt:variant>
      <vt:variant>
        <vt:i4>1769531</vt:i4>
      </vt:variant>
      <vt:variant>
        <vt:i4>62</vt:i4>
      </vt:variant>
      <vt:variant>
        <vt:i4>0</vt:i4>
      </vt:variant>
      <vt:variant>
        <vt:i4>5</vt:i4>
      </vt:variant>
      <vt:variant>
        <vt:lpwstr/>
      </vt:variant>
      <vt:variant>
        <vt:lpwstr>_Toc378063680</vt:lpwstr>
      </vt:variant>
      <vt:variant>
        <vt:i4>1310779</vt:i4>
      </vt:variant>
      <vt:variant>
        <vt:i4>56</vt:i4>
      </vt:variant>
      <vt:variant>
        <vt:i4>0</vt:i4>
      </vt:variant>
      <vt:variant>
        <vt:i4>5</vt:i4>
      </vt:variant>
      <vt:variant>
        <vt:lpwstr/>
      </vt:variant>
      <vt:variant>
        <vt:lpwstr>_Toc378063679</vt:lpwstr>
      </vt:variant>
      <vt:variant>
        <vt:i4>1310779</vt:i4>
      </vt:variant>
      <vt:variant>
        <vt:i4>50</vt:i4>
      </vt:variant>
      <vt:variant>
        <vt:i4>0</vt:i4>
      </vt:variant>
      <vt:variant>
        <vt:i4>5</vt:i4>
      </vt:variant>
      <vt:variant>
        <vt:lpwstr/>
      </vt:variant>
      <vt:variant>
        <vt:lpwstr>_Toc378063678</vt:lpwstr>
      </vt:variant>
      <vt:variant>
        <vt:i4>1310779</vt:i4>
      </vt:variant>
      <vt:variant>
        <vt:i4>44</vt:i4>
      </vt:variant>
      <vt:variant>
        <vt:i4>0</vt:i4>
      </vt:variant>
      <vt:variant>
        <vt:i4>5</vt:i4>
      </vt:variant>
      <vt:variant>
        <vt:lpwstr/>
      </vt:variant>
      <vt:variant>
        <vt:lpwstr>_Toc378063677</vt:lpwstr>
      </vt:variant>
      <vt:variant>
        <vt:i4>1310779</vt:i4>
      </vt:variant>
      <vt:variant>
        <vt:i4>38</vt:i4>
      </vt:variant>
      <vt:variant>
        <vt:i4>0</vt:i4>
      </vt:variant>
      <vt:variant>
        <vt:i4>5</vt:i4>
      </vt:variant>
      <vt:variant>
        <vt:lpwstr/>
      </vt:variant>
      <vt:variant>
        <vt:lpwstr>_Toc378063676</vt:lpwstr>
      </vt:variant>
      <vt:variant>
        <vt:i4>1310779</vt:i4>
      </vt:variant>
      <vt:variant>
        <vt:i4>32</vt:i4>
      </vt:variant>
      <vt:variant>
        <vt:i4>0</vt:i4>
      </vt:variant>
      <vt:variant>
        <vt:i4>5</vt:i4>
      </vt:variant>
      <vt:variant>
        <vt:lpwstr/>
      </vt:variant>
      <vt:variant>
        <vt:lpwstr>_Toc378063675</vt:lpwstr>
      </vt:variant>
      <vt:variant>
        <vt:i4>1310779</vt:i4>
      </vt:variant>
      <vt:variant>
        <vt:i4>26</vt:i4>
      </vt:variant>
      <vt:variant>
        <vt:i4>0</vt:i4>
      </vt:variant>
      <vt:variant>
        <vt:i4>5</vt:i4>
      </vt:variant>
      <vt:variant>
        <vt:lpwstr/>
      </vt:variant>
      <vt:variant>
        <vt:lpwstr>_Toc378063674</vt:lpwstr>
      </vt:variant>
      <vt:variant>
        <vt:i4>6226003</vt:i4>
      </vt:variant>
      <vt:variant>
        <vt:i4>21</vt:i4>
      </vt:variant>
      <vt:variant>
        <vt:i4>0</vt:i4>
      </vt:variant>
      <vt:variant>
        <vt:i4>5</vt:i4>
      </vt:variant>
      <vt:variant>
        <vt:lpwstr>http://www.eiti.org/countries</vt:lpwstr>
      </vt:variant>
      <vt:variant>
        <vt:lpwstr/>
      </vt:variant>
      <vt:variant>
        <vt:i4>5701855</vt:i4>
      </vt:variant>
      <vt:variant>
        <vt:i4>18</vt:i4>
      </vt:variant>
      <vt:variant>
        <vt:i4>0</vt:i4>
      </vt:variant>
      <vt:variant>
        <vt:i4>5</vt:i4>
      </vt:variant>
      <vt:variant>
        <vt:lpwstr>http://www.cnitie.mr/documentspublic/décretfr.pdf</vt:lpwstr>
      </vt:variant>
      <vt:variant>
        <vt:lpwstr/>
      </vt:variant>
      <vt:variant>
        <vt:i4>6094912</vt:i4>
      </vt:variant>
      <vt:variant>
        <vt:i4>15</vt:i4>
      </vt:variant>
      <vt:variant>
        <vt:i4>0</vt:i4>
      </vt:variant>
      <vt:variant>
        <vt:i4>5</vt:i4>
      </vt:variant>
      <vt:variant>
        <vt:lpwstr>http://www.leiti.org.lr/uploads/2/1/5/6/21569928/act.pdf</vt:lpwstr>
      </vt:variant>
      <vt:variant>
        <vt:lpwstr/>
      </vt:variant>
      <vt:variant>
        <vt:i4>7340158</vt:i4>
      </vt:variant>
      <vt:variant>
        <vt:i4>12</vt:i4>
      </vt:variant>
      <vt:variant>
        <vt:i4>0</vt:i4>
      </vt:variant>
      <vt:variant>
        <vt:i4>5</vt:i4>
      </vt:variant>
      <vt:variant>
        <vt:lpwstr>http://ph-eiti.org/document/TOR.pdf</vt:lpwstr>
      </vt:variant>
      <vt:variant>
        <vt:lpwstr/>
      </vt:variant>
      <vt:variant>
        <vt:i4>3866739</vt:i4>
      </vt:variant>
      <vt:variant>
        <vt:i4>9</vt:i4>
      </vt:variant>
      <vt:variant>
        <vt:i4>0</vt:i4>
      </vt:variant>
      <vt:variant>
        <vt:i4>5</vt:i4>
      </vt:variant>
      <vt:variant>
        <vt:lpwstr>http://neiti.org.ng/sites/default/files/documents/uploads/neitiboardcharter-010211.pdf</vt:lpwstr>
      </vt:variant>
      <vt:variant>
        <vt:lpwstr/>
      </vt:variant>
      <vt:variant>
        <vt:i4>2162689</vt:i4>
      </vt:variant>
      <vt:variant>
        <vt:i4>6</vt:i4>
      </vt:variant>
      <vt:variant>
        <vt:i4>0</vt:i4>
      </vt:variant>
      <vt:variant>
        <vt:i4>5</vt:i4>
      </vt:variant>
      <vt:variant>
        <vt:lpwstr>https://www.gov.uk/government/uploads/system/uploads/attachment_data/file/264506/Terms_of_Reference.pdf</vt:lpwstr>
      </vt:variant>
      <vt:variant>
        <vt:lpwstr/>
      </vt:variant>
      <vt:variant>
        <vt:i4>1966145</vt:i4>
      </vt:variant>
      <vt:variant>
        <vt:i4>3</vt:i4>
      </vt:variant>
      <vt:variant>
        <vt:i4>0</vt:i4>
      </vt:variant>
      <vt:variant>
        <vt:i4>5</vt:i4>
      </vt:variant>
      <vt:variant>
        <vt:lpwstr>http://eiti.org/files/philippines/2013-04-ANNEXES-PH.pdf</vt:lpwstr>
      </vt:variant>
      <vt:variant>
        <vt:lpwstr/>
      </vt:variant>
      <vt:variant>
        <vt:i4>4849735</vt:i4>
      </vt:variant>
      <vt:variant>
        <vt:i4>0</vt:i4>
      </vt:variant>
      <vt:variant>
        <vt:i4>0</vt:i4>
      </vt:variant>
      <vt:variant>
        <vt:i4>5</vt:i4>
      </vt:variant>
      <vt:variant>
        <vt:lpwstr>http://www.doi.gov/eiti/index.cfm</vt:lpwstr>
      </vt:variant>
      <vt:variant>
        <vt:lpwstr/>
      </vt:variant>
      <vt:variant>
        <vt:i4>7340158</vt:i4>
      </vt:variant>
      <vt:variant>
        <vt:i4>15</vt:i4>
      </vt:variant>
      <vt:variant>
        <vt:i4>0</vt:i4>
      </vt:variant>
      <vt:variant>
        <vt:i4>5</vt:i4>
      </vt:variant>
      <vt:variant>
        <vt:lpwstr>http://ph-eiti.org/document/TOR.pdf</vt:lpwstr>
      </vt:variant>
      <vt:variant>
        <vt:lpwstr/>
      </vt:variant>
      <vt:variant>
        <vt:i4>2162689</vt:i4>
      </vt:variant>
      <vt:variant>
        <vt:i4>12</vt:i4>
      </vt:variant>
      <vt:variant>
        <vt:i4>0</vt:i4>
      </vt:variant>
      <vt:variant>
        <vt:i4>5</vt:i4>
      </vt:variant>
      <vt:variant>
        <vt:lpwstr>https://www.gov.uk/government/uploads/system/uploads/attachment_data/file/264506/Terms_of_Reference.pdf</vt:lpwstr>
      </vt:variant>
      <vt:variant>
        <vt:lpwstr/>
      </vt:variant>
      <vt:variant>
        <vt:i4>7340158</vt:i4>
      </vt:variant>
      <vt:variant>
        <vt:i4>9</vt:i4>
      </vt:variant>
      <vt:variant>
        <vt:i4>0</vt:i4>
      </vt:variant>
      <vt:variant>
        <vt:i4>5</vt:i4>
      </vt:variant>
      <vt:variant>
        <vt:lpwstr>http://ph-eiti.org/document/TOR.pdf</vt:lpwstr>
      </vt:variant>
      <vt:variant>
        <vt:lpwstr/>
      </vt:variant>
      <vt:variant>
        <vt:i4>7340158</vt:i4>
      </vt:variant>
      <vt:variant>
        <vt:i4>6</vt:i4>
      </vt:variant>
      <vt:variant>
        <vt:i4>0</vt:i4>
      </vt:variant>
      <vt:variant>
        <vt:i4>5</vt:i4>
      </vt:variant>
      <vt:variant>
        <vt:lpwstr>http://ph-eiti.org/document/TOR.pdf</vt:lpwstr>
      </vt:variant>
      <vt:variant>
        <vt:lpwstr/>
      </vt:variant>
      <vt:variant>
        <vt:i4>3866666</vt:i4>
      </vt:variant>
      <vt:variant>
        <vt:i4>3</vt:i4>
      </vt:variant>
      <vt:variant>
        <vt:i4>0</vt:i4>
      </vt:variant>
      <vt:variant>
        <vt:i4>5</vt:i4>
      </vt:variant>
      <vt:variant>
        <vt:lpwstr>http://www.neiti.org.ng/sites/default/files/documents/uploads/neitiboardcharter-010211.pdf</vt:lpwstr>
      </vt:variant>
      <vt:variant>
        <vt:lpwstr/>
      </vt:variant>
      <vt:variant>
        <vt:i4>2162689</vt:i4>
      </vt:variant>
      <vt:variant>
        <vt:i4>0</vt:i4>
      </vt:variant>
      <vt:variant>
        <vt:i4>0</vt:i4>
      </vt:variant>
      <vt:variant>
        <vt:i4>5</vt:i4>
      </vt:variant>
      <vt:variant>
        <vt:lpwstr>https://www.gov.uk/government/uploads/system/uploads/attachment_data/file/264506/Terms_of_Reference.pdf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International Secretariat</dc:creator>
  <cp:keywords/>
  <dc:description/>
  <cp:lastModifiedBy>Synøve Almås</cp:lastModifiedBy>
  <cp:revision>5</cp:revision>
  <cp:lastPrinted>2017-05-09T11:07:00Z</cp:lastPrinted>
  <dcterms:created xsi:type="dcterms:W3CDTF">2018-04-13T13:28:00Z</dcterms:created>
  <dcterms:modified xsi:type="dcterms:W3CDTF">2018-04-16T08:11:00Z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