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471BE" w14:textId="51957074" w:rsidR="00116371" w:rsidRPr="006E3061" w:rsidRDefault="00D4524A" w:rsidP="00116371">
      <w:pPr>
        <w:jc w:val="center"/>
        <w:rPr>
          <w:lang w:val="fr-FR"/>
        </w:rPr>
      </w:pPr>
      <w:r w:rsidRPr="006E3061">
        <w:rPr>
          <w:b/>
          <w:sz w:val="36"/>
          <w:szCs w:val="36"/>
          <w:lang w:val="fr-FR"/>
        </w:rPr>
        <w:t>Tablea</w:t>
      </w:r>
      <w:r w:rsidR="00D81055" w:rsidRPr="006E3061">
        <w:rPr>
          <w:b/>
          <w:sz w:val="36"/>
          <w:szCs w:val="36"/>
          <w:lang w:val="fr-FR"/>
        </w:rPr>
        <w:t xml:space="preserve">u de comparaison </w:t>
      </w:r>
      <w:r w:rsidR="007B36B2" w:rsidRPr="006E3061">
        <w:rPr>
          <w:b/>
          <w:sz w:val="36"/>
          <w:szCs w:val="36"/>
          <w:lang w:val="fr-FR"/>
        </w:rPr>
        <w:t>–</w:t>
      </w:r>
      <w:r w:rsidR="00F807EB" w:rsidRPr="006E3061">
        <w:rPr>
          <w:b/>
          <w:sz w:val="36"/>
          <w:szCs w:val="36"/>
          <w:lang w:val="fr-FR"/>
        </w:rPr>
        <w:t xml:space="preserve"> </w:t>
      </w:r>
      <w:r w:rsidR="00D81055" w:rsidRPr="006E3061">
        <w:rPr>
          <w:b/>
          <w:sz w:val="36"/>
          <w:szCs w:val="36"/>
          <w:lang w:val="fr-FR"/>
        </w:rPr>
        <w:t>Validation</w:t>
      </w:r>
      <w:r w:rsidR="007B36B2" w:rsidRPr="006E3061">
        <w:rPr>
          <w:b/>
          <w:sz w:val="36"/>
          <w:szCs w:val="36"/>
          <w:lang w:val="fr-FR"/>
        </w:rPr>
        <w:t xml:space="preserve"> ITIE</w:t>
      </w:r>
      <w:r w:rsidR="00480E9B" w:rsidRPr="006E3061">
        <w:rPr>
          <w:b/>
          <w:sz w:val="36"/>
          <w:szCs w:val="36"/>
          <w:lang w:val="fr-FR"/>
        </w:rPr>
        <w:t xml:space="preserve"> 2017 du</w:t>
      </w:r>
      <w:r w:rsidRPr="006E3061">
        <w:rPr>
          <w:b/>
          <w:sz w:val="36"/>
          <w:szCs w:val="36"/>
          <w:lang w:val="fr-FR"/>
        </w:rPr>
        <w:t xml:space="preserve"> </w:t>
      </w:r>
      <w:r w:rsidR="00480E9B" w:rsidRPr="006E3061">
        <w:rPr>
          <w:b/>
          <w:sz w:val="36"/>
          <w:szCs w:val="36"/>
          <w:lang w:val="fr-FR"/>
        </w:rPr>
        <w:t>Mozambique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290"/>
        <w:gridCol w:w="2094"/>
        <w:gridCol w:w="3542"/>
        <w:gridCol w:w="3261"/>
        <w:gridCol w:w="2268"/>
        <w:gridCol w:w="1708"/>
      </w:tblGrid>
      <w:tr w:rsidR="00224DD1" w:rsidRPr="006E3061" w14:paraId="69A9942A" w14:textId="77777777" w:rsidTr="00224DD1">
        <w:trPr>
          <w:cantSplit/>
          <w:trHeight w:val="822"/>
          <w:tblHeader/>
        </w:trPr>
        <w:tc>
          <w:tcPr>
            <w:tcW w:w="2290" w:type="dxa"/>
            <w:shd w:val="clear" w:color="auto" w:fill="D9D9D9" w:themeFill="background1" w:themeFillShade="D9"/>
          </w:tcPr>
          <w:p w14:paraId="3D2905B9" w14:textId="19E2C2F8" w:rsidR="001827A8" w:rsidRPr="006E3061" w:rsidRDefault="00D4524A" w:rsidP="001827A8">
            <w:pPr>
              <w:spacing w:line="220" w:lineRule="exact"/>
              <w:contextualSpacing/>
              <w:rPr>
                <w:b/>
                <w:sz w:val="20"/>
                <w:szCs w:val="20"/>
                <w:lang w:val="fr-FR"/>
              </w:rPr>
            </w:pPr>
            <w:r w:rsidRPr="006E3061">
              <w:rPr>
                <w:b/>
                <w:sz w:val="20"/>
                <w:szCs w:val="20"/>
                <w:lang w:val="fr-FR"/>
              </w:rPr>
              <w:t>Exigence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69CD6FF5" w14:textId="4524526E" w:rsidR="001827A8" w:rsidRPr="006E3061" w:rsidRDefault="00D4524A" w:rsidP="001827A8">
            <w:pPr>
              <w:spacing w:line="220" w:lineRule="exact"/>
              <w:contextualSpacing/>
              <w:rPr>
                <w:b/>
                <w:sz w:val="20"/>
                <w:szCs w:val="20"/>
                <w:lang w:val="fr-FR"/>
              </w:rPr>
            </w:pPr>
            <w:r w:rsidRPr="006E3061">
              <w:rPr>
                <w:b/>
                <w:sz w:val="20"/>
                <w:szCs w:val="20"/>
                <w:lang w:val="fr-FR"/>
              </w:rPr>
              <w:t>Evaluation initiale du Secrétariat international</w:t>
            </w:r>
            <w:r w:rsidR="001827A8" w:rsidRPr="006E3061">
              <w:rPr>
                <w:b/>
                <w:sz w:val="20"/>
                <w:szCs w:val="20"/>
                <w:lang w:val="fr-FR"/>
              </w:rPr>
              <w:t xml:space="preserve"> </w:t>
            </w:r>
            <w:r w:rsidR="006E3061" w:rsidRPr="004572B0">
              <w:rPr>
                <w:sz w:val="20"/>
                <w:szCs w:val="20"/>
              </w:rPr>
              <w:t>(</w:t>
            </w:r>
            <w:hyperlink r:id="rId11" w:history="1">
              <w:r w:rsidR="006E3061" w:rsidRPr="006D26A4">
                <w:rPr>
                  <w:rStyle w:val="Hyperlink"/>
                  <w:sz w:val="20"/>
                  <w:szCs w:val="20"/>
                </w:rPr>
                <w:t>source</w:t>
              </w:r>
            </w:hyperlink>
            <w:r w:rsidR="006E3061" w:rsidRPr="004572B0">
              <w:rPr>
                <w:sz w:val="20"/>
                <w:szCs w:val="20"/>
              </w:rPr>
              <w:t>)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0564DED2" w14:textId="422427E0" w:rsidR="001827A8" w:rsidRPr="006E3061" w:rsidRDefault="00374C1D" w:rsidP="00473E35">
            <w:pPr>
              <w:spacing w:line="220" w:lineRule="exact"/>
              <w:contextualSpacing/>
              <w:rPr>
                <w:b/>
                <w:sz w:val="20"/>
                <w:szCs w:val="20"/>
                <w:lang w:val="fr-FR"/>
              </w:rPr>
            </w:pPr>
            <w:r w:rsidRPr="006E3061">
              <w:rPr>
                <w:b/>
                <w:sz w:val="20"/>
                <w:szCs w:val="20"/>
                <w:lang w:val="fr-FR"/>
              </w:rPr>
              <w:t xml:space="preserve">Projet d’Evaluation </w:t>
            </w:r>
            <w:r w:rsidR="007F4B4A" w:rsidRPr="006E3061">
              <w:rPr>
                <w:b/>
                <w:sz w:val="20"/>
                <w:szCs w:val="20"/>
                <w:lang w:val="fr-FR"/>
              </w:rPr>
              <w:t>de rapport de Validation</w:t>
            </w:r>
            <w:r w:rsidR="007F4B4A" w:rsidRPr="006E3061">
              <w:rPr>
                <w:sz w:val="20"/>
                <w:szCs w:val="20"/>
                <w:lang w:val="fr-FR"/>
              </w:rPr>
              <w:t xml:space="preserve"> </w:t>
            </w:r>
            <w:r w:rsidR="006E3061">
              <w:rPr>
                <w:b/>
                <w:sz w:val="20"/>
                <w:szCs w:val="20"/>
              </w:rPr>
              <w:t>(</w:t>
            </w:r>
            <w:hyperlink r:id="rId12" w:history="1">
              <w:r w:rsidR="006E3061" w:rsidRPr="00D1171C">
                <w:rPr>
                  <w:rStyle w:val="Hyperlink"/>
                  <w:sz w:val="20"/>
                  <w:szCs w:val="20"/>
                </w:rPr>
                <w:t>source</w:t>
              </w:r>
            </w:hyperlink>
            <w:r w:rsidR="006E30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94CFD79" w14:textId="1EF1AA98" w:rsidR="001827A8" w:rsidRPr="006E3061" w:rsidRDefault="00374C1D" w:rsidP="00374C1D">
            <w:pPr>
              <w:spacing w:line="220" w:lineRule="exact"/>
              <w:contextualSpacing/>
              <w:rPr>
                <w:b/>
                <w:sz w:val="20"/>
                <w:szCs w:val="20"/>
                <w:lang w:val="fr-FR"/>
              </w:rPr>
            </w:pPr>
            <w:r w:rsidRPr="006E3061">
              <w:rPr>
                <w:b/>
                <w:sz w:val="20"/>
                <w:szCs w:val="20"/>
                <w:lang w:val="fr-FR"/>
              </w:rPr>
              <w:t xml:space="preserve">Commentaires des parties prenantes sur le </w:t>
            </w:r>
            <w:r w:rsidR="007F4B4A" w:rsidRPr="006E3061">
              <w:rPr>
                <w:b/>
                <w:sz w:val="20"/>
                <w:szCs w:val="20"/>
                <w:lang w:val="fr-FR"/>
              </w:rPr>
              <w:t xml:space="preserve">projet de </w:t>
            </w:r>
            <w:r w:rsidRPr="006E3061">
              <w:rPr>
                <w:b/>
                <w:sz w:val="20"/>
                <w:szCs w:val="20"/>
                <w:lang w:val="fr-FR"/>
              </w:rPr>
              <w:t xml:space="preserve">rapport de Validation </w:t>
            </w:r>
            <w:r w:rsidR="006E3061" w:rsidRPr="004572B0">
              <w:rPr>
                <w:sz w:val="20"/>
                <w:szCs w:val="20"/>
              </w:rPr>
              <w:t>(</w:t>
            </w:r>
            <w:hyperlink r:id="rId13" w:history="1">
              <w:r w:rsidR="006E3061" w:rsidRPr="006D26A4">
                <w:rPr>
                  <w:rStyle w:val="Hyperlink"/>
                  <w:sz w:val="20"/>
                  <w:szCs w:val="20"/>
                </w:rPr>
                <w:t>source</w:t>
              </w:r>
            </w:hyperlink>
            <w:r w:rsidR="006E3061" w:rsidRPr="004572B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F490F6" w14:textId="3605C9EC" w:rsidR="001827A8" w:rsidRPr="006E3061" w:rsidRDefault="00374C1D" w:rsidP="00E67353">
            <w:pPr>
              <w:spacing w:line="220" w:lineRule="exact"/>
              <w:contextualSpacing/>
              <w:rPr>
                <w:b/>
                <w:sz w:val="20"/>
                <w:szCs w:val="20"/>
                <w:lang w:val="fr-FR"/>
              </w:rPr>
            </w:pPr>
            <w:r w:rsidRPr="006E3061">
              <w:rPr>
                <w:b/>
                <w:sz w:val="20"/>
                <w:szCs w:val="20"/>
                <w:lang w:val="fr-FR"/>
              </w:rPr>
              <w:t xml:space="preserve">Evaluation du Validateur Indépendant </w:t>
            </w:r>
            <w:r w:rsidR="006E3061" w:rsidRPr="004572B0">
              <w:rPr>
                <w:sz w:val="20"/>
                <w:szCs w:val="20"/>
              </w:rPr>
              <w:t>(</w:t>
            </w:r>
            <w:hyperlink r:id="rId14" w:history="1">
              <w:r w:rsidR="006E3061" w:rsidRPr="00FF4A73">
                <w:rPr>
                  <w:rStyle w:val="Hyperlink"/>
                  <w:sz w:val="20"/>
                  <w:szCs w:val="20"/>
                </w:rPr>
                <w:t>source</w:t>
              </w:r>
            </w:hyperlink>
            <w:r w:rsidR="006E3061" w:rsidRPr="004572B0">
              <w:rPr>
                <w:sz w:val="20"/>
                <w:szCs w:val="20"/>
              </w:rPr>
              <w:t>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6FA36012" w14:textId="24C6F4C0" w:rsidR="001827A8" w:rsidRPr="006E3061" w:rsidRDefault="00D4524A" w:rsidP="001827A8">
            <w:pPr>
              <w:spacing w:line="220" w:lineRule="exact"/>
              <w:contextualSpacing/>
              <w:rPr>
                <w:b/>
                <w:sz w:val="20"/>
                <w:szCs w:val="20"/>
                <w:lang w:val="fr-FR"/>
              </w:rPr>
            </w:pPr>
            <w:r w:rsidRPr="006E3061">
              <w:rPr>
                <w:b/>
                <w:sz w:val="20"/>
                <w:szCs w:val="20"/>
                <w:lang w:val="fr-FR"/>
              </w:rPr>
              <w:t>Prochaines étapes</w:t>
            </w:r>
          </w:p>
        </w:tc>
      </w:tr>
      <w:tr w:rsidR="00224DD1" w:rsidRPr="006E3061" w14:paraId="26E84215" w14:textId="77777777" w:rsidTr="00224DD1">
        <w:tc>
          <w:tcPr>
            <w:tcW w:w="2290" w:type="dxa"/>
          </w:tcPr>
          <w:p w14:paraId="1AF252BC" w14:textId="3B7AF069" w:rsidR="00B56869" w:rsidRPr="006E3061" w:rsidRDefault="006E3061" w:rsidP="00B56869">
            <w:pPr>
              <w:spacing w:line="220" w:lineRule="exact"/>
              <w:contextualSpacing/>
              <w:rPr>
                <w:rStyle w:val="Hyperlink"/>
                <w:sz w:val="20"/>
                <w:szCs w:val="20"/>
                <w:lang w:val="fr-FR"/>
              </w:rPr>
            </w:pPr>
            <w:r w:rsidRPr="006E3061">
              <w:rPr>
                <w:sz w:val="20"/>
                <w:szCs w:val="20"/>
                <w:lang w:val="fr-FR"/>
              </w:rPr>
              <w:fldChar w:fldCharType="begin"/>
            </w:r>
            <w:r w:rsidRPr="006E3061">
              <w:rPr>
                <w:sz w:val="20"/>
                <w:szCs w:val="20"/>
                <w:lang w:val="fr-FR"/>
              </w:rPr>
              <w:instrText xml:space="preserve"> HYPERLINK "https://eiti.org/fr/document/norme-itie-2016" \l "r7-3" </w:instrText>
            </w:r>
            <w:r w:rsidRPr="006E3061">
              <w:rPr>
                <w:sz w:val="20"/>
                <w:szCs w:val="20"/>
                <w:lang w:val="fr-FR"/>
              </w:rPr>
            </w:r>
            <w:r w:rsidRPr="006E3061">
              <w:rPr>
                <w:sz w:val="20"/>
                <w:szCs w:val="20"/>
                <w:lang w:val="fr-FR"/>
              </w:rPr>
              <w:fldChar w:fldCharType="separate"/>
            </w:r>
            <w:r w:rsidRPr="006E3061">
              <w:rPr>
                <w:rStyle w:val="Hyperlink"/>
                <w:sz w:val="20"/>
                <w:szCs w:val="20"/>
                <w:lang w:val="fr-FR"/>
              </w:rPr>
              <w:t>7.3 Ecarts et recommandations des Rapports ITIE.</w:t>
            </w:r>
          </w:p>
          <w:p w14:paraId="470F40EC" w14:textId="131EF017" w:rsidR="006E3061" w:rsidRPr="006E3061" w:rsidRDefault="006E3061" w:rsidP="00B56869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  <w:r w:rsidRPr="006E3061">
              <w:rPr>
                <w:sz w:val="20"/>
                <w:szCs w:val="20"/>
                <w:lang w:val="fr-FR"/>
              </w:rPr>
              <w:fldChar w:fldCharType="end"/>
            </w:r>
          </w:p>
          <w:p w14:paraId="39C74FE8" w14:textId="77777777" w:rsidR="006E3061" w:rsidRPr="006E3061" w:rsidRDefault="006E3061" w:rsidP="006E3061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  <w:r w:rsidRPr="006E3061">
              <w:rPr>
                <w:sz w:val="20"/>
                <w:szCs w:val="20"/>
                <w:lang w:val="fr-FR"/>
              </w:rPr>
              <w:t>En vue d’un renforcement de l’impact de la mise en œuvre de l’ITIE sur la gouvernance des ressources naturelles, conformément à l’Exigence 7.4, le Groupe multipartite est tenu d’entreprendre des actions à partir des enseignements tirés, d’identifier, de comprendre et de corriger les causes des écarts et de tenir compte des recommandations résultant du rapportage ITIE.</w:t>
            </w:r>
          </w:p>
          <w:p w14:paraId="2E5156E4" w14:textId="77777777" w:rsidR="006E3061" w:rsidRPr="006E3061" w:rsidRDefault="006E3061" w:rsidP="006E3061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</w:p>
          <w:p w14:paraId="7AEAF20B" w14:textId="5CC55FA0" w:rsidR="006E3061" w:rsidRPr="006E3061" w:rsidRDefault="006E3061" w:rsidP="00B56869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</w:tcPr>
          <w:p w14:paraId="20BF8B31" w14:textId="3112BDA3" w:rsidR="00DF0160" w:rsidRPr="006E3061" w:rsidRDefault="00426EDC" w:rsidP="00426EDC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  <w:r w:rsidRPr="00426EDC">
              <w:rPr>
                <w:sz w:val="20"/>
                <w:szCs w:val="20"/>
                <w:lang w:val="fr-FR"/>
              </w:rPr>
              <w:t xml:space="preserve">L'évaluation initiale du Secrétariat international est que le Mozambique a réalisé des </w:t>
            </w:r>
            <w:r w:rsidRPr="00426EDC">
              <w:rPr>
                <w:b/>
                <w:sz w:val="20"/>
                <w:szCs w:val="20"/>
                <w:lang w:val="fr-FR"/>
              </w:rPr>
              <w:t>progrès satisfaisants</w:t>
            </w:r>
            <w:r w:rsidRPr="00426EDC">
              <w:rPr>
                <w:sz w:val="20"/>
                <w:szCs w:val="20"/>
                <w:lang w:val="fr-FR"/>
              </w:rPr>
              <w:t xml:space="preserve"> pour satisfaire à cette exigence. Le </w:t>
            </w:r>
            <w:r>
              <w:rPr>
                <w:sz w:val="20"/>
                <w:szCs w:val="20"/>
                <w:lang w:val="fr-FR"/>
              </w:rPr>
              <w:t>GMP</w:t>
            </w:r>
            <w:r w:rsidRPr="00426EDC">
              <w:rPr>
                <w:sz w:val="20"/>
                <w:szCs w:val="20"/>
                <w:lang w:val="fr-FR"/>
              </w:rPr>
              <w:t xml:space="preserve"> a e</w:t>
            </w:r>
            <w:r>
              <w:rPr>
                <w:sz w:val="20"/>
                <w:szCs w:val="20"/>
                <w:lang w:val="fr-FR"/>
              </w:rPr>
              <w:t>xaminé les recommandations des R</w:t>
            </w:r>
            <w:r w:rsidRPr="00426EDC">
              <w:rPr>
                <w:sz w:val="20"/>
                <w:szCs w:val="20"/>
                <w:lang w:val="fr-FR"/>
              </w:rPr>
              <w:t xml:space="preserve">apports ITIE et suivi la plupart des recommandations. Un suivi plus systématique par le </w:t>
            </w:r>
            <w:r>
              <w:rPr>
                <w:sz w:val="20"/>
                <w:szCs w:val="20"/>
                <w:lang w:val="fr-FR"/>
              </w:rPr>
              <w:t>GMP sur les recommandations du R</w:t>
            </w:r>
            <w:r w:rsidRPr="00426EDC">
              <w:rPr>
                <w:sz w:val="20"/>
                <w:szCs w:val="20"/>
                <w:lang w:val="fr-FR"/>
              </w:rPr>
              <w:t xml:space="preserve">apport ITIE et en veillant à ce que ces lacunes identifiées lors du processus de </w:t>
            </w:r>
            <w:r>
              <w:rPr>
                <w:sz w:val="20"/>
                <w:szCs w:val="20"/>
                <w:lang w:val="fr-FR"/>
              </w:rPr>
              <w:t>reporting</w:t>
            </w:r>
            <w:r w:rsidRPr="00426EDC">
              <w:rPr>
                <w:sz w:val="20"/>
                <w:szCs w:val="20"/>
                <w:lang w:val="fr-FR"/>
              </w:rPr>
              <w:t xml:space="preserve"> pourrait contribuer à ce que l'ITIE puisse servir d'outil pour améliorer la gouvernance des secteurs extractifs.</w:t>
            </w:r>
          </w:p>
        </w:tc>
        <w:tc>
          <w:tcPr>
            <w:tcW w:w="3542" w:type="dxa"/>
          </w:tcPr>
          <w:p w14:paraId="5CEFB20C" w14:textId="6A40C6EF" w:rsidR="00255BDC" w:rsidRPr="00426EDC" w:rsidRDefault="00426EDC" w:rsidP="00480E9B">
            <w:pPr>
              <w:spacing w:line="220" w:lineRule="exact"/>
              <w:contextualSpacing/>
              <w:rPr>
                <w:i/>
                <w:sz w:val="20"/>
                <w:szCs w:val="20"/>
                <w:lang w:val="fr-FR"/>
              </w:rPr>
            </w:pPr>
            <w:r w:rsidRPr="00426EDC">
              <w:rPr>
                <w:i/>
                <w:sz w:val="20"/>
                <w:szCs w:val="20"/>
                <w:lang w:val="fr-FR"/>
              </w:rPr>
              <w:t>Aucun désaccord avec l'évaluation initiale du Secrétariat international.</w:t>
            </w:r>
          </w:p>
        </w:tc>
        <w:tc>
          <w:tcPr>
            <w:tcW w:w="3261" w:type="dxa"/>
          </w:tcPr>
          <w:p w14:paraId="30975B8D" w14:textId="68E35D97" w:rsidR="00426EDC" w:rsidRPr="00426EDC" w:rsidRDefault="00426EDC" w:rsidP="00426EDC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  <w:r w:rsidRPr="00426EDC">
              <w:rPr>
                <w:sz w:val="20"/>
                <w:szCs w:val="20"/>
                <w:lang w:val="fr-FR"/>
              </w:rPr>
              <w:t>"Satisfaisant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426EDC">
              <w:rPr>
                <w:sz w:val="20"/>
                <w:szCs w:val="20"/>
                <w:lang w:val="fr-FR"/>
              </w:rPr>
              <w:t>? Quel est l'indicateur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426EDC">
              <w:rPr>
                <w:sz w:val="20"/>
                <w:szCs w:val="20"/>
                <w:lang w:val="fr-FR"/>
              </w:rPr>
              <w:t>?</w:t>
            </w:r>
          </w:p>
          <w:p w14:paraId="399FFBD3" w14:textId="77777777" w:rsidR="00426EDC" w:rsidRPr="00426EDC" w:rsidRDefault="00426EDC" w:rsidP="00426EDC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</w:p>
          <w:p w14:paraId="498CB20E" w14:textId="6A46F931" w:rsidR="00426EDC" w:rsidRPr="00426EDC" w:rsidRDefault="00426EDC" w:rsidP="00426EDC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  <w:r w:rsidRPr="00426EDC">
              <w:rPr>
                <w:sz w:val="20"/>
                <w:szCs w:val="20"/>
                <w:lang w:val="fr-FR"/>
              </w:rPr>
              <w:t>Il est vrai qu'une é</w:t>
            </w:r>
            <w:r>
              <w:rPr>
                <w:sz w:val="20"/>
                <w:szCs w:val="20"/>
                <w:lang w:val="fr-FR"/>
              </w:rPr>
              <w:t>valuation annuelle des progrès est effectuée</w:t>
            </w:r>
            <w:r w:rsidRPr="00426EDC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 xml:space="preserve">mais plutôt qu’une évaluation </w:t>
            </w:r>
            <w:r w:rsidRPr="00426EDC">
              <w:rPr>
                <w:sz w:val="20"/>
                <w:szCs w:val="20"/>
                <w:lang w:val="fr-FR"/>
              </w:rPr>
              <w:t>de la gestion des ressources naturelles</w:t>
            </w:r>
            <w:r>
              <w:rPr>
                <w:sz w:val="20"/>
                <w:szCs w:val="20"/>
                <w:lang w:val="fr-FR"/>
              </w:rPr>
              <w:t xml:space="preserve"> ne l’est pas</w:t>
            </w:r>
            <w:r w:rsidRPr="00426EDC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 xml:space="preserve">il s’agit d’une évaluation </w:t>
            </w:r>
            <w:r w:rsidRPr="00426EDC">
              <w:rPr>
                <w:sz w:val="20"/>
                <w:szCs w:val="20"/>
                <w:lang w:val="fr-FR"/>
              </w:rPr>
              <w:t xml:space="preserve">de la mise en œuvre de l'initiative dans le pays. </w:t>
            </w:r>
            <w:r>
              <w:rPr>
                <w:sz w:val="20"/>
                <w:szCs w:val="20"/>
                <w:lang w:val="fr-FR"/>
              </w:rPr>
              <w:t xml:space="preserve">La mise en œuvre consiste </w:t>
            </w:r>
            <w:r w:rsidRPr="00426EDC">
              <w:rPr>
                <w:sz w:val="20"/>
                <w:szCs w:val="20"/>
                <w:lang w:val="fr-FR"/>
              </w:rPr>
              <w:t>actuellement uniquement de la prod</w:t>
            </w:r>
            <w:r>
              <w:rPr>
                <w:sz w:val="20"/>
                <w:szCs w:val="20"/>
                <w:lang w:val="fr-FR"/>
              </w:rPr>
              <w:t>uction et de la publication de R</w:t>
            </w:r>
            <w:r w:rsidRPr="00426EDC">
              <w:rPr>
                <w:sz w:val="20"/>
                <w:szCs w:val="20"/>
                <w:lang w:val="fr-FR"/>
              </w:rPr>
              <w:t>apports</w:t>
            </w:r>
            <w:r>
              <w:rPr>
                <w:sz w:val="20"/>
                <w:szCs w:val="20"/>
                <w:lang w:val="fr-FR"/>
              </w:rPr>
              <w:t xml:space="preserve"> ITIE</w:t>
            </w:r>
            <w:r w:rsidRPr="00426EDC">
              <w:rPr>
                <w:sz w:val="20"/>
                <w:szCs w:val="20"/>
                <w:lang w:val="fr-FR"/>
              </w:rPr>
              <w:t xml:space="preserve">, </w:t>
            </w:r>
            <w:r w:rsidR="003F0383">
              <w:rPr>
                <w:sz w:val="20"/>
                <w:szCs w:val="20"/>
                <w:lang w:val="fr-FR"/>
              </w:rPr>
              <w:t xml:space="preserve">plutôt que des </w:t>
            </w:r>
            <w:r w:rsidRPr="00426EDC">
              <w:rPr>
                <w:sz w:val="20"/>
                <w:szCs w:val="20"/>
                <w:lang w:val="fr-FR"/>
              </w:rPr>
              <w:t xml:space="preserve">discussions sur les réformes structurées, bien que cette perspective ait été apportée par la société civile, </w:t>
            </w:r>
            <w:r w:rsidR="003F0383">
              <w:rPr>
                <w:sz w:val="20"/>
                <w:szCs w:val="20"/>
                <w:lang w:val="fr-FR"/>
              </w:rPr>
              <w:t xml:space="preserve">même si elle </w:t>
            </w:r>
            <w:r w:rsidRPr="00426EDC">
              <w:rPr>
                <w:sz w:val="20"/>
                <w:szCs w:val="20"/>
                <w:lang w:val="fr-FR"/>
              </w:rPr>
              <w:t>n'a finalement pas réussi.</w:t>
            </w:r>
          </w:p>
          <w:p w14:paraId="3597AC36" w14:textId="77777777" w:rsidR="00426EDC" w:rsidRPr="00426EDC" w:rsidRDefault="00426EDC" w:rsidP="00426EDC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</w:p>
          <w:p w14:paraId="16B66764" w14:textId="7525DCC9" w:rsidR="00426EDC" w:rsidRPr="00426EDC" w:rsidRDefault="00426EDC" w:rsidP="00426EDC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  <w:r w:rsidRPr="00426EDC">
              <w:rPr>
                <w:sz w:val="20"/>
                <w:szCs w:val="20"/>
                <w:lang w:val="fr-FR"/>
              </w:rPr>
              <w:t xml:space="preserve">"Le problème principal est que </w:t>
            </w:r>
            <w:r w:rsidR="003F0383">
              <w:rPr>
                <w:sz w:val="20"/>
                <w:szCs w:val="20"/>
                <w:lang w:val="fr-FR"/>
              </w:rPr>
              <w:t xml:space="preserve">le GMP de l’ITIE </w:t>
            </w:r>
            <w:r w:rsidRPr="00426EDC">
              <w:rPr>
                <w:sz w:val="20"/>
                <w:szCs w:val="20"/>
                <w:lang w:val="fr-FR"/>
              </w:rPr>
              <w:t xml:space="preserve">est décoratif lorsqu'il s'agit de discuter de la gouvernance. Les discussions réelles se déroulent ailleurs, entre le gouvernement et l'industrie </w:t>
            </w:r>
            <w:r w:rsidR="003F0383">
              <w:rPr>
                <w:sz w:val="20"/>
                <w:szCs w:val="20"/>
                <w:lang w:val="fr-FR"/>
              </w:rPr>
              <w:t>uniquement</w:t>
            </w:r>
            <w:r w:rsidRPr="00426EDC">
              <w:rPr>
                <w:sz w:val="20"/>
                <w:szCs w:val="20"/>
                <w:lang w:val="fr-FR"/>
              </w:rPr>
              <w:t xml:space="preserve">. Il est nécessaire de faire du </w:t>
            </w:r>
            <w:r w:rsidR="003F0383">
              <w:rPr>
                <w:sz w:val="20"/>
                <w:szCs w:val="20"/>
                <w:lang w:val="fr-FR"/>
              </w:rPr>
              <w:t xml:space="preserve">GMP </w:t>
            </w:r>
            <w:r w:rsidRPr="00426EDC">
              <w:rPr>
                <w:sz w:val="20"/>
                <w:szCs w:val="20"/>
                <w:lang w:val="fr-FR"/>
              </w:rPr>
              <w:t>un lieu de discussion par excellence</w:t>
            </w:r>
            <w:r w:rsidR="003F0383">
              <w:rPr>
                <w:sz w:val="20"/>
                <w:szCs w:val="20"/>
                <w:lang w:val="fr-FR"/>
              </w:rPr>
              <w:t>.</w:t>
            </w:r>
            <w:bookmarkStart w:id="0" w:name="_GoBack"/>
            <w:bookmarkEnd w:id="0"/>
            <w:r w:rsidRPr="00426EDC">
              <w:rPr>
                <w:sz w:val="20"/>
                <w:szCs w:val="20"/>
                <w:lang w:val="fr-FR"/>
              </w:rPr>
              <w:t xml:space="preserve"> "</w:t>
            </w:r>
          </w:p>
          <w:p w14:paraId="3B55B428" w14:textId="7A0057EE" w:rsidR="00DD1ACF" w:rsidRPr="006E3061" w:rsidRDefault="00DD1ACF" w:rsidP="00480E9B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164A31F0" w14:textId="567DA6A6" w:rsidR="00E57A0E" w:rsidRPr="006E3061" w:rsidRDefault="00426EDC" w:rsidP="00480E9B">
            <w:pPr>
              <w:spacing w:line="220" w:lineRule="exact"/>
              <w:contextualSpacing/>
              <w:rPr>
                <w:bCs/>
                <w:sz w:val="20"/>
                <w:szCs w:val="20"/>
                <w:lang w:val="fr-FR"/>
              </w:rPr>
            </w:pPr>
            <w:r w:rsidRPr="00426EDC">
              <w:rPr>
                <w:bCs/>
                <w:sz w:val="20"/>
                <w:szCs w:val="20"/>
                <w:lang w:val="fr-FR"/>
              </w:rPr>
              <w:t>Nous recommandons de déclasser le niveau de progrès en matière de satisfaction à l’Exigence 7.3 à « significatif ». En effet, il est nécessaire que le Groupe multipartite surveille de manière plus systématique la suite qui est donnée aux recommandations du Rapport ITIE.</w:t>
            </w:r>
          </w:p>
        </w:tc>
        <w:tc>
          <w:tcPr>
            <w:tcW w:w="1708" w:type="dxa"/>
          </w:tcPr>
          <w:p w14:paraId="0A6490B4" w14:textId="12ED1246" w:rsidR="00F22640" w:rsidRPr="006E3061" w:rsidRDefault="00F22640" w:rsidP="001827A8">
            <w:pPr>
              <w:spacing w:line="220" w:lineRule="exact"/>
              <w:contextualSpacing/>
              <w:rPr>
                <w:bCs/>
                <w:sz w:val="20"/>
                <w:szCs w:val="20"/>
                <w:lang w:val="fr-FR"/>
              </w:rPr>
            </w:pPr>
            <w:r w:rsidRPr="006E3061">
              <w:rPr>
                <w:bCs/>
                <w:sz w:val="20"/>
                <w:szCs w:val="20"/>
                <w:lang w:val="fr-FR"/>
              </w:rPr>
              <w:t>Le Comité doit faire une recommandation visant à clarifier si l’évaluation du Conseil d’</w:t>
            </w:r>
            <w:r w:rsidR="00480E9B" w:rsidRPr="006E3061">
              <w:rPr>
                <w:bCs/>
                <w:sz w:val="20"/>
                <w:szCs w:val="20"/>
                <w:lang w:val="fr-FR"/>
              </w:rPr>
              <w:t>administration pour l’exigence 7.3</w:t>
            </w:r>
            <w:r w:rsidRPr="006E3061">
              <w:rPr>
                <w:bCs/>
                <w:sz w:val="20"/>
                <w:szCs w:val="20"/>
                <w:lang w:val="fr-FR"/>
              </w:rPr>
              <w:t xml:space="preserve"> devrait être « progrès significatifs » ou « progrès satisfaisants ».</w:t>
            </w:r>
          </w:p>
          <w:p w14:paraId="51F96B2B" w14:textId="77777777" w:rsidR="001827A8" w:rsidRPr="006E3061" w:rsidRDefault="001827A8" w:rsidP="001827A8">
            <w:pPr>
              <w:spacing w:line="220" w:lineRule="exact"/>
              <w:contextualSpacing/>
              <w:rPr>
                <w:bCs/>
                <w:sz w:val="20"/>
                <w:szCs w:val="20"/>
                <w:lang w:val="fr-FR"/>
              </w:rPr>
            </w:pPr>
          </w:p>
          <w:p w14:paraId="68913D44" w14:textId="7C94E7E2" w:rsidR="00F22640" w:rsidRPr="006E3061" w:rsidRDefault="00F22640" w:rsidP="001827A8">
            <w:pPr>
              <w:spacing w:line="220" w:lineRule="exact"/>
              <w:contextualSpacing/>
              <w:rPr>
                <w:sz w:val="20"/>
                <w:szCs w:val="20"/>
                <w:lang w:val="fr-FR"/>
              </w:rPr>
            </w:pPr>
            <w:r w:rsidRPr="006E3061">
              <w:rPr>
                <w:bCs/>
                <w:sz w:val="20"/>
                <w:szCs w:val="20"/>
                <w:lang w:val="fr-FR"/>
              </w:rPr>
              <w:t>S’il s’agit de “progrès significatifs”, le Comité devra préciser quelles sont les dispositions qui ne sont pas respectées et recommander des mesures correctives.</w:t>
            </w:r>
          </w:p>
        </w:tc>
      </w:tr>
    </w:tbl>
    <w:p w14:paraId="2C2233E0" w14:textId="67E8A9FF" w:rsidR="00731C1B" w:rsidRPr="006E3061" w:rsidRDefault="00731C1B" w:rsidP="00115AB9">
      <w:pPr>
        <w:spacing w:line="220" w:lineRule="exact"/>
        <w:contextualSpacing/>
        <w:rPr>
          <w:sz w:val="20"/>
          <w:szCs w:val="20"/>
          <w:lang w:val="fr-FR"/>
        </w:rPr>
      </w:pPr>
    </w:p>
    <w:sectPr w:rsidR="00731C1B" w:rsidRPr="006E3061" w:rsidSect="00C15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18CF8" w14:textId="77777777" w:rsidR="00BB13BD" w:rsidRDefault="00BB13BD" w:rsidP="00937DB9">
      <w:pPr>
        <w:spacing w:after="0" w:line="240" w:lineRule="auto"/>
      </w:pPr>
      <w:r>
        <w:separator/>
      </w:r>
    </w:p>
  </w:endnote>
  <w:endnote w:type="continuationSeparator" w:id="0">
    <w:p w14:paraId="2AACD11F" w14:textId="77777777" w:rsidR="00BB13BD" w:rsidRDefault="00BB13BD" w:rsidP="0093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692C4" w14:textId="77777777" w:rsidR="00BB13BD" w:rsidRDefault="00BB13BD" w:rsidP="00937DB9">
      <w:pPr>
        <w:spacing w:after="0" w:line="240" w:lineRule="auto"/>
      </w:pPr>
      <w:r>
        <w:separator/>
      </w:r>
    </w:p>
  </w:footnote>
  <w:footnote w:type="continuationSeparator" w:id="0">
    <w:p w14:paraId="07509DFD" w14:textId="77777777" w:rsidR="00BB13BD" w:rsidRDefault="00BB13BD" w:rsidP="0093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11790"/>
    <w:multiLevelType w:val="hybridMultilevel"/>
    <w:tmpl w:val="56F6AD08"/>
    <w:lvl w:ilvl="0" w:tplc="482C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3E98"/>
    <w:multiLevelType w:val="hybridMultilevel"/>
    <w:tmpl w:val="8C18FD12"/>
    <w:lvl w:ilvl="0" w:tplc="277E7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5D55"/>
    <w:multiLevelType w:val="hybridMultilevel"/>
    <w:tmpl w:val="B27A761E"/>
    <w:lvl w:ilvl="0" w:tplc="1990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C461C"/>
    <w:multiLevelType w:val="hybridMultilevel"/>
    <w:tmpl w:val="7FB823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18"/>
    <w:rsid w:val="00013DDB"/>
    <w:rsid w:val="00016DF9"/>
    <w:rsid w:val="00030D42"/>
    <w:rsid w:val="00045579"/>
    <w:rsid w:val="00084949"/>
    <w:rsid w:val="000E3B3D"/>
    <w:rsid w:val="000E6B6F"/>
    <w:rsid w:val="00105E98"/>
    <w:rsid w:val="0011322A"/>
    <w:rsid w:val="00115AB9"/>
    <w:rsid w:val="00116371"/>
    <w:rsid w:val="001827A8"/>
    <w:rsid w:val="00191708"/>
    <w:rsid w:val="001C28B7"/>
    <w:rsid w:val="001D7302"/>
    <w:rsid w:val="001F131C"/>
    <w:rsid w:val="001F4464"/>
    <w:rsid w:val="001F58D6"/>
    <w:rsid w:val="00224DD1"/>
    <w:rsid w:val="00236A03"/>
    <w:rsid w:val="00255BDC"/>
    <w:rsid w:val="002A4ED6"/>
    <w:rsid w:val="002A4EF2"/>
    <w:rsid w:val="002B0277"/>
    <w:rsid w:val="002C62CA"/>
    <w:rsid w:val="002F42F4"/>
    <w:rsid w:val="00306392"/>
    <w:rsid w:val="00325BB6"/>
    <w:rsid w:val="00346659"/>
    <w:rsid w:val="0036425D"/>
    <w:rsid w:val="00374C1D"/>
    <w:rsid w:val="00375233"/>
    <w:rsid w:val="003A5DCD"/>
    <w:rsid w:val="003C64E8"/>
    <w:rsid w:val="003E24AB"/>
    <w:rsid w:val="003E63BE"/>
    <w:rsid w:val="003E6BFB"/>
    <w:rsid w:val="003F0383"/>
    <w:rsid w:val="00426EDC"/>
    <w:rsid w:val="00434518"/>
    <w:rsid w:val="004533EC"/>
    <w:rsid w:val="004572B0"/>
    <w:rsid w:val="0046395E"/>
    <w:rsid w:val="00473E35"/>
    <w:rsid w:val="00480E9B"/>
    <w:rsid w:val="00484ACE"/>
    <w:rsid w:val="00487C46"/>
    <w:rsid w:val="004942F5"/>
    <w:rsid w:val="00496DA4"/>
    <w:rsid w:val="004A4A16"/>
    <w:rsid w:val="004C2B38"/>
    <w:rsid w:val="004F75B5"/>
    <w:rsid w:val="005339BB"/>
    <w:rsid w:val="00541970"/>
    <w:rsid w:val="005969E0"/>
    <w:rsid w:val="00616C2E"/>
    <w:rsid w:val="00644FEF"/>
    <w:rsid w:val="006528B2"/>
    <w:rsid w:val="00661EEE"/>
    <w:rsid w:val="00666F67"/>
    <w:rsid w:val="00685417"/>
    <w:rsid w:val="006943C8"/>
    <w:rsid w:val="006C3B5B"/>
    <w:rsid w:val="006C5AE8"/>
    <w:rsid w:val="006D17D5"/>
    <w:rsid w:val="006D4EAE"/>
    <w:rsid w:val="006D764F"/>
    <w:rsid w:val="006E3061"/>
    <w:rsid w:val="007148D4"/>
    <w:rsid w:val="00731C1B"/>
    <w:rsid w:val="00765DFA"/>
    <w:rsid w:val="007A34B7"/>
    <w:rsid w:val="007B36B2"/>
    <w:rsid w:val="007D1374"/>
    <w:rsid w:val="007F3ABB"/>
    <w:rsid w:val="007F4B4A"/>
    <w:rsid w:val="007F7604"/>
    <w:rsid w:val="00805EA4"/>
    <w:rsid w:val="0081166F"/>
    <w:rsid w:val="008127B8"/>
    <w:rsid w:val="00820E4C"/>
    <w:rsid w:val="00827A7A"/>
    <w:rsid w:val="00844E61"/>
    <w:rsid w:val="00847432"/>
    <w:rsid w:val="00892F54"/>
    <w:rsid w:val="008A7203"/>
    <w:rsid w:val="008F4340"/>
    <w:rsid w:val="008F6FF4"/>
    <w:rsid w:val="00937DB9"/>
    <w:rsid w:val="0094357C"/>
    <w:rsid w:val="00944AB7"/>
    <w:rsid w:val="009660AC"/>
    <w:rsid w:val="00984498"/>
    <w:rsid w:val="009B7A2E"/>
    <w:rsid w:val="00A3085E"/>
    <w:rsid w:val="00A50A08"/>
    <w:rsid w:val="00A653F2"/>
    <w:rsid w:val="00A85227"/>
    <w:rsid w:val="00A9046D"/>
    <w:rsid w:val="00B07B8B"/>
    <w:rsid w:val="00B51ADB"/>
    <w:rsid w:val="00B56869"/>
    <w:rsid w:val="00B57DDF"/>
    <w:rsid w:val="00B61D78"/>
    <w:rsid w:val="00B87F9C"/>
    <w:rsid w:val="00B90F0B"/>
    <w:rsid w:val="00B958C4"/>
    <w:rsid w:val="00BB13BD"/>
    <w:rsid w:val="00BD443D"/>
    <w:rsid w:val="00C15318"/>
    <w:rsid w:val="00C829CC"/>
    <w:rsid w:val="00C87931"/>
    <w:rsid w:val="00C90D22"/>
    <w:rsid w:val="00CA05A9"/>
    <w:rsid w:val="00CC661B"/>
    <w:rsid w:val="00CE60DD"/>
    <w:rsid w:val="00D055C9"/>
    <w:rsid w:val="00D3677C"/>
    <w:rsid w:val="00D37321"/>
    <w:rsid w:val="00D4524A"/>
    <w:rsid w:val="00D47B86"/>
    <w:rsid w:val="00D80734"/>
    <w:rsid w:val="00D81055"/>
    <w:rsid w:val="00D842B4"/>
    <w:rsid w:val="00DA3BC4"/>
    <w:rsid w:val="00DA3D01"/>
    <w:rsid w:val="00DD1ACF"/>
    <w:rsid w:val="00DF0160"/>
    <w:rsid w:val="00E31163"/>
    <w:rsid w:val="00E37615"/>
    <w:rsid w:val="00E5103E"/>
    <w:rsid w:val="00E54C06"/>
    <w:rsid w:val="00E57A0E"/>
    <w:rsid w:val="00E64A33"/>
    <w:rsid w:val="00E67353"/>
    <w:rsid w:val="00EA6517"/>
    <w:rsid w:val="00EE5675"/>
    <w:rsid w:val="00EF5645"/>
    <w:rsid w:val="00EF7E5E"/>
    <w:rsid w:val="00F17C0C"/>
    <w:rsid w:val="00F22640"/>
    <w:rsid w:val="00F760A7"/>
    <w:rsid w:val="00F802FB"/>
    <w:rsid w:val="00F807EB"/>
    <w:rsid w:val="00F86804"/>
    <w:rsid w:val="00F96CAA"/>
    <w:rsid w:val="00FB4FED"/>
    <w:rsid w:val="00F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7FD7"/>
  <w15:chartTrackingRefBased/>
  <w15:docId w15:val="{B143A680-B923-4A5F-AA27-764268E3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53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6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61B"/>
    <w:pPr>
      <w:spacing w:after="0" w:line="240" w:lineRule="auto"/>
      <w:ind w:left="720"/>
    </w:pPr>
    <w:rPr>
      <w:rFonts w:ascii="Calibri" w:hAnsi="Calibri" w:cs="Times New Roman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D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D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05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6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3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61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7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775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8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764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242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6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926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525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8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8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17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4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9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789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2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20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70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5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6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2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10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39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992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iti.org/sites/default/files/documents/validation_of_mozambique_-_report_on_initial_data_collection_and_stakeholder_consultation.pdf" TargetMode="External"/><Relationship Id="rId12" Type="http://schemas.openxmlformats.org/officeDocument/2006/relationships/hyperlink" Target="https://eiti.org/sites/default/files/documents/draft_validation_report_-_mozambique.pdf" TargetMode="External"/><Relationship Id="rId13" Type="http://schemas.openxmlformats.org/officeDocument/2006/relationships/hyperlink" Target="https://eiti.org/sites/default/files/documents/asi_validation_report_mozambique_first_draft_v1_with_cip_comments_in_en.docx" TargetMode="External"/><Relationship Id="rId14" Type="http://schemas.openxmlformats.org/officeDocument/2006/relationships/hyperlink" Target="https://eiti.org/sites/default/files/documents/fr_asi_validation_report_mozambique_final_13_08_17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CE739233BB499185E9201691D117" ma:contentTypeVersion="45" ma:contentTypeDescription="Create a new document." ma:contentTypeScope="" ma:versionID="20182d0dbdd215c1e09bd485ed6324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4b5a4020cc0417531245af4bd946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F9DE-F332-4D54-B29C-249911902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17986-713B-4A89-AD87-3B6E1C60F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30F93-4C13-4B9F-B3C3-B63459F8F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9C9F7-F8A7-2845-94ED-653516E5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Bartlett</dc:creator>
  <cp:keywords/>
  <dc:description/>
  <cp:lastModifiedBy>Alex</cp:lastModifiedBy>
  <cp:revision>4</cp:revision>
  <dcterms:created xsi:type="dcterms:W3CDTF">2017-08-22T02:27:00Z</dcterms:created>
  <dcterms:modified xsi:type="dcterms:W3CDTF">2017-08-22T02:40:00Z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0x0101004FDACE739233BB499185E9201691D117</vt:lpwstr>
  </property>
</Properties>
</file>