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E8E88" w14:textId="02AD6FAE" w:rsidR="00377CF8" w:rsidRPr="002C2EC7" w:rsidRDefault="00D5769D" w:rsidP="00D61E62">
      <w:pPr>
        <w:jc w:val="center"/>
        <w:rPr>
          <w:rFonts w:asciiTheme="majorHAnsi" w:hAnsiTheme="majorHAnsi"/>
          <w:b/>
          <w:sz w:val="40"/>
          <w:szCs w:val="40"/>
        </w:rPr>
      </w:pPr>
      <w:bookmarkStart w:id="0" w:name="_GoBack"/>
      <w:bookmarkEnd w:id="0"/>
      <w:r w:rsidRPr="00FD7D3D">
        <w:rPr>
          <w:noProof/>
        </w:rPr>
        <w:drawing>
          <wp:inline distT="0" distB="0" distL="0" distR="0" wp14:anchorId="52A21484" wp14:editId="2EF9EF89">
            <wp:extent cx="1466850" cy="742950"/>
            <wp:effectExtent l="0" t="0" r="0" b="0"/>
            <wp:docPr id="2" name="Image 2" descr="C:\Users\HP 290\Downloads\EITI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descr="C:\Users\HP 290\Downloads\EITI1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742950"/>
                    </a:xfrm>
                    <a:prstGeom prst="rect">
                      <a:avLst/>
                    </a:prstGeom>
                    <a:noFill/>
                    <a:ln>
                      <a:noFill/>
                    </a:ln>
                  </pic:spPr>
                </pic:pic>
              </a:graphicData>
            </a:graphic>
          </wp:inline>
        </w:drawing>
      </w:r>
      <w:r w:rsidR="00ED4CDB">
        <w:rPr>
          <w:rFonts w:asciiTheme="majorHAnsi" w:hAnsiTheme="majorHAnsi"/>
          <w:b/>
          <w:sz w:val="40"/>
          <w:szCs w:val="40"/>
        </w:rPr>
        <w:t xml:space="preserve">   </w:t>
      </w:r>
      <w:r w:rsidR="00877E5D">
        <w:rPr>
          <w:rFonts w:asciiTheme="majorHAnsi" w:hAnsiTheme="majorHAnsi"/>
          <w:b/>
          <w:sz w:val="40"/>
          <w:szCs w:val="40"/>
        </w:rPr>
        <w:t xml:space="preserve">   </w:t>
      </w:r>
      <w:r w:rsidR="007A5F63">
        <w:rPr>
          <w:rFonts w:asciiTheme="majorHAnsi" w:hAnsiTheme="majorHAnsi"/>
          <w:b/>
          <w:sz w:val="40"/>
          <w:szCs w:val="40"/>
        </w:rPr>
        <w:t xml:space="preserve">  </w:t>
      </w:r>
      <w:r w:rsidR="000C0955">
        <w:rPr>
          <w:rFonts w:asciiTheme="majorHAnsi" w:hAnsiTheme="majorHAnsi"/>
          <w:b/>
          <w:sz w:val="40"/>
          <w:szCs w:val="40"/>
        </w:rPr>
        <w:t xml:space="preserve">  </w:t>
      </w:r>
    </w:p>
    <w:p w14:paraId="48DAF7A7" w14:textId="77777777" w:rsidR="00C30A1E" w:rsidRPr="002C2EC7" w:rsidRDefault="00C30A1E" w:rsidP="00D61E62">
      <w:pPr>
        <w:jc w:val="center"/>
        <w:rPr>
          <w:rFonts w:asciiTheme="majorHAnsi" w:hAnsiTheme="majorHAnsi"/>
          <w:b/>
          <w:sz w:val="40"/>
          <w:szCs w:val="40"/>
        </w:rPr>
      </w:pPr>
    </w:p>
    <w:p w14:paraId="6CBE9588" w14:textId="77777777" w:rsidR="003B4FDD" w:rsidRDefault="003B4FDD" w:rsidP="003B4FDD">
      <w:pPr>
        <w:jc w:val="center"/>
        <w:outlineLvl w:val="0"/>
        <w:rPr>
          <w:rFonts w:asciiTheme="majorHAnsi" w:hAnsiTheme="majorHAnsi"/>
          <w:b/>
          <w:sz w:val="40"/>
          <w:szCs w:val="40"/>
        </w:rPr>
      </w:pPr>
    </w:p>
    <w:p w14:paraId="2A9C3470" w14:textId="77777777" w:rsidR="003B4FDD" w:rsidRDefault="003B4FDD" w:rsidP="003B4FDD">
      <w:pPr>
        <w:jc w:val="center"/>
        <w:outlineLvl w:val="0"/>
        <w:rPr>
          <w:rFonts w:asciiTheme="majorHAnsi" w:hAnsiTheme="majorHAnsi"/>
          <w:b/>
          <w:sz w:val="40"/>
          <w:szCs w:val="40"/>
        </w:rPr>
      </w:pPr>
    </w:p>
    <w:p w14:paraId="6CFFA5F7" w14:textId="77777777" w:rsidR="003B4FDD" w:rsidRDefault="003B4FDD" w:rsidP="003B4FDD">
      <w:pPr>
        <w:jc w:val="center"/>
        <w:outlineLvl w:val="0"/>
        <w:rPr>
          <w:rFonts w:asciiTheme="majorHAnsi" w:hAnsiTheme="majorHAnsi"/>
          <w:b/>
          <w:sz w:val="40"/>
          <w:szCs w:val="40"/>
        </w:rPr>
      </w:pPr>
    </w:p>
    <w:p w14:paraId="518312BF" w14:textId="77777777" w:rsidR="003B4FDD" w:rsidRDefault="003B4FDD" w:rsidP="003B4FDD">
      <w:pPr>
        <w:jc w:val="center"/>
        <w:outlineLvl w:val="0"/>
        <w:rPr>
          <w:rFonts w:asciiTheme="majorHAnsi" w:hAnsiTheme="majorHAnsi"/>
          <w:b/>
          <w:sz w:val="40"/>
          <w:szCs w:val="40"/>
        </w:rPr>
      </w:pPr>
    </w:p>
    <w:p w14:paraId="5335BAE8" w14:textId="77777777" w:rsidR="003B4FDD" w:rsidRDefault="003B4FDD" w:rsidP="003B4FDD">
      <w:pPr>
        <w:jc w:val="center"/>
        <w:outlineLvl w:val="0"/>
        <w:rPr>
          <w:rFonts w:asciiTheme="majorHAnsi" w:hAnsiTheme="majorHAnsi"/>
          <w:b/>
          <w:sz w:val="40"/>
          <w:szCs w:val="40"/>
        </w:rPr>
      </w:pPr>
    </w:p>
    <w:p w14:paraId="30EE47D5" w14:textId="63ABCC84" w:rsidR="003B4FDD" w:rsidRPr="002C2EC7" w:rsidRDefault="00E84BB1" w:rsidP="003B4FDD">
      <w:pPr>
        <w:jc w:val="center"/>
        <w:outlineLvl w:val="0"/>
        <w:rPr>
          <w:rFonts w:asciiTheme="majorHAnsi" w:hAnsiTheme="majorHAnsi"/>
          <w:b/>
          <w:sz w:val="40"/>
          <w:szCs w:val="40"/>
        </w:rPr>
      </w:pPr>
      <w:r>
        <w:rPr>
          <w:rFonts w:asciiTheme="majorHAnsi" w:hAnsiTheme="majorHAnsi"/>
          <w:b/>
          <w:sz w:val="40"/>
          <w:szCs w:val="40"/>
        </w:rPr>
        <w:t>ELABORATION DU PLAN DE TRAVAIL 2021-2023</w:t>
      </w:r>
    </w:p>
    <w:p w14:paraId="17C1BDD7" w14:textId="1B91B941" w:rsidR="00F5055A" w:rsidRDefault="00F5055A" w:rsidP="00D61E62">
      <w:pPr>
        <w:jc w:val="center"/>
        <w:rPr>
          <w:rFonts w:asciiTheme="majorHAnsi" w:hAnsiTheme="majorHAnsi"/>
          <w:b/>
          <w:sz w:val="40"/>
          <w:szCs w:val="40"/>
        </w:rPr>
      </w:pPr>
    </w:p>
    <w:p w14:paraId="407CBFCA" w14:textId="0CD685AC" w:rsidR="00021945" w:rsidRDefault="00021945" w:rsidP="00D61E62">
      <w:pPr>
        <w:jc w:val="center"/>
        <w:rPr>
          <w:rFonts w:asciiTheme="majorHAnsi" w:hAnsiTheme="majorHAnsi"/>
          <w:b/>
          <w:sz w:val="40"/>
          <w:szCs w:val="40"/>
        </w:rPr>
      </w:pPr>
    </w:p>
    <w:p w14:paraId="1CD2D06F" w14:textId="5E92E799" w:rsidR="00021945" w:rsidRDefault="00021945" w:rsidP="00D61E62">
      <w:pPr>
        <w:jc w:val="center"/>
        <w:rPr>
          <w:rFonts w:asciiTheme="majorHAnsi" w:hAnsiTheme="majorHAnsi"/>
          <w:b/>
          <w:sz w:val="40"/>
          <w:szCs w:val="40"/>
        </w:rPr>
      </w:pPr>
    </w:p>
    <w:p w14:paraId="44CBB80A" w14:textId="56604135" w:rsidR="00021945" w:rsidRDefault="00021945" w:rsidP="00D61E62">
      <w:pPr>
        <w:jc w:val="center"/>
        <w:rPr>
          <w:rFonts w:asciiTheme="majorHAnsi" w:hAnsiTheme="majorHAnsi"/>
          <w:b/>
          <w:sz w:val="40"/>
          <w:szCs w:val="40"/>
        </w:rPr>
      </w:pPr>
    </w:p>
    <w:p w14:paraId="45B26578" w14:textId="67EB96EA" w:rsidR="00021945" w:rsidRDefault="00021945" w:rsidP="00D61E62">
      <w:pPr>
        <w:jc w:val="center"/>
        <w:rPr>
          <w:rFonts w:asciiTheme="majorHAnsi" w:hAnsiTheme="majorHAnsi"/>
          <w:b/>
          <w:sz w:val="40"/>
          <w:szCs w:val="40"/>
        </w:rPr>
      </w:pPr>
    </w:p>
    <w:p w14:paraId="5409858B" w14:textId="0C550CFA" w:rsidR="00021945" w:rsidRDefault="00021945" w:rsidP="00D61E62">
      <w:pPr>
        <w:jc w:val="center"/>
        <w:rPr>
          <w:rFonts w:asciiTheme="majorHAnsi" w:hAnsiTheme="majorHAnsi"/>
          <w:b/>
          <w:sz w:val="40"/>
          <w:szCs w:val="40"/>
        </w:rPr>
      </w:pPr>
    </w:p>
    <w:p w14:paraId="35DF8061" w14:textId="5A4CCD7F" w:rsidR="00021945" w:rsidRDefault="00021945" w:rsidP="00D61E62">
      <w:pPr>
        <w:jc w:val="center"/>
        <w:rPr>
          <w:rFonts w:asciiTheme="majorHAnsi" w:hAnsiTheme="majorHAnsi"/>
          <w:b/>
          <w:sz w:val="40"/>
          <w:szCs w:val="40"/>
        </w:rPr>
      </w:pPr>
    </w:p>
    <w:p w14:paraId="4F746D2F" w14:textId="408D7B11" w:rsidR="00021945" w:rsidRDefault="00021945" w:rsidP="00D61E62">
      <w:pPr>
        <w:jc w:val="center"/>
        <w:rPr>
          <w:rFonts w:asciiTheme="majorHAnsi" w:hAnsiTheme="majorHAnsi"/>
          <w:b/>
          <w:sz w:val="40"/>
          <w:szCs w:val="40"/>
        </w:rPr>
      </w:pPr>
    </w:p>
    <w:p w14:paraId="255D6DEE" w14:textId="72B4CB59" w:rsidR="00E84BB1" w:rsidRDefault="00E84BB1" w:rsidP="00A0404C">
      <w:pPr>
        <w:rPr>
          <w:rFonts w:asciiTheme="majorHAnsi" w:hAnsiTheme="majorHAnsi"/>
          <w:b/>
          <w:sz w:val="40"/>
          <w:szCs w:val="40"/>
        </w:rPr>
      </w:pPr>
    </w:p>
    <w:p w14:paraId="1CEA0C19" w14:textId="77777777" w:rsidR="00D5769D" w:rsidRDefault="00D5769D" w:rsidP="00A0404C">
      <w:pPr>
        <w:rPr>
          <w:rFonts w:asciiTheme="majorHAnsi" w:hAnsiTheme="majorHAnsi"/>
          <w:b/>
          <w:sz w:val="40"/>
          <w:szCs w:val="40"/>
        </w:rPr>
      </w:pPr>
    </w:p>
    <w:p w14:paraId="6ED39328" w14:textId="79F41B15" w:rsidR="007B205F" w:rsidRPr="0071561A" w:rsidRDefault="00C1734E" w:rsidP="00617CFF">
      <w:pPr>
        <w:spacing w:before="120" w:after="120" w:line="240" w:lineRule="auto"/>
        <w:jc w:val="both"/>
        <w:outlineLvl w:val="0"/>
        <w:rPr>
          <w:rFonts w:asciiTheme="majorHAnsi" w:hAnsiTheme="majorHAnsi"/>
          <w:b/>
          <w:sz w:val="26"/>
          <w:szCs w:val="26"/>
        </w:rPr>
      </w:pPr>
      <w:r w:rsidRPr="0071561A">
        <w:rPr>
          <w:rFonts w:asciiTheme="majorHAnsi" w:hAnsiTheme="majorHAnsi"/>
          <w:b/>
          <w:color w:val="000000"/>
          <w:sz w:val="26"/>
          <w:szCs w:val="26"/>
        </w:rPr>
        <w:lastRenderedPageBreak/>
        <w:t>RESUME EXECUTIF</w:t>
      </w:r>
    </w:p>
    <w:p w14:paraId="122C46C7" w14:textId="0BEA4FFE" w:rsidR="002F667D" w:rsidRPr="00617CFF" w:rsidRDefault="007B205F" w:rsidP="0071561A">
      <w:pPr>
        <w:autoSpaceDE w:val="0"/>
        <w:autoSpaceDN w:val="0"/>
        <w:adjustRightInd w:val="0"/>
        <w:spacing w:after="0" w:line="240" w:lineRule="auto"/>
        <w:jc w:val="both"/>
        <w:rPr>
          <w:rFonts w:asciiTheme="majorHAnsi" w:hAnsiTheme="majorHAnsi" w:cs="Metropolis-Bold"/>
          <w:b/>
          <w:bCs/>
          <w:sz w:val="24"/>
          <w:szCs w:val="24"/>
        </w:rPr>
      </w:pPr>
      <w:r w:rsidRPr="00617CFF">
        <w:rPr>
          <w:rFonts w:asciiTheme="majorHAnsi" w:hAnsiTheme="majorHAnsi" w:cs="Franklin Gothic Book"/>
          <w:color w:val="000000"/>
          <w:sz w:val="24"/>
          <w:szCs w:val="24"/>
        </w:rPr>
        <w:t xml:space="preserve">Le CN-ITIE a </w:t>
      </w:r>
      <w:r w:rsidR="00893B8C" w:rsidRPr="00617CFF">
        <w:rPr>
          <w:rFonts w:asciiTheme="majorHAnsi" w:hAnsiTheme="majorHAnsi" w:cs="Franklin Gothic Book"/>
          <w:color w:val="000000"/>
          <w:sz w:val="24"/>
          <w:szCs w:val="24"/>
        </w:rPr>
        <w:t>décidé a</w:t>
      </w:r>
      <w:r w:rsidR="00A30744" w:rsidRPr="00617CFF">
        <w:rPr>
          <w:rFonts w:asciiTheme="majorHAnsi" w:hAnsiTheme="majorHAnsi" w:cs="Franklin Gothic Book"/>
          <w:color w:val="000000"/>
          <w:sz w:val="24"/>
          <w:szCs w:val="24"/>
        </w:rPr>
        <w:t>u</w:t>
      </w:r>
      <w:r w:rsidR="00893B8C" w:rsidRPr="00617CFF">
        <w:rPr>
          <w:rFonts w:asciiTheme="majorHAnsi" w:hAnsiTheme="majorHAnsi" w:cs="Franklin Gothic Book"/>
          <w:color w:val="000000"/>
          <w:sz w:val="24"/>
          <w:szCs w:val="24"/>
        </w:rPr>
        <w:t xml:space="preserve"> cours de sa session du 29 mars 2021, d’adopter son plan opérationnel Janvier – Juillet </w:t>
      </w:r>
      <w:r w:rsidR="00A30744" w:rsidRPr="00617CFF">
        <w:rPr>
          <w:rFonts w:asciiTheme="majorHAnsi" w:hAnsiTheme="majorHAnsi" w:cs="Franklin Gothic Book"/>
          <w:color w:val="000000"/>
          <w:sz w:val="24"/>
          <w:szCs w:val="24"/>
        </w:rPr>
        <w:t>2021 afin de procéder à l’élaboration de son plan d’action 2021-2023</w:t>
      </w:r>
      <w:r w:rsidR="002F667D" w:rsidRPr="00617CFF">
        <w:rPr>
          <w:rFonts w:asciiTheme="majorHAnsi" w:hAnsiTheme="majorHAnsi" w:cs="Franklin Gothic Book"/>
          <w:color w:val="000000"/>
          <w:sz w:val="24"/>
          <w:szCs w:val="24"/>
        </w:rPr>
        <w:t xml:space="preserve"> qui devra être mis à jour de façon annuelle et glissante</w:t>
      </w:r>
      <w:r w:rsidR="00A30744" w:rsidRPr="00617CFF">
        <w:rPr>
          <w:rFonts w:asciiTheme="majorHAnsi" w:hAnsiTheme="majorHAnsi" w:cs="Franklin Gothic Book"/>
          <w:color w:val="000000"/>
          <w:sz w:val="24"/>
          <w:szCs w:val="24"/>
        </w:rPr>
        <w:t xml:space="preserve">. </w:t>
      </w:r>
      <w:r w:rsidR="002F667D" w:rsidRPr="00617CFF">
        <w:rPr>
          <w:rFonts w:asciiTheme="majorHAnsi" w:hAnsiTheme="majorHAnsi" w:cs="Franklin Gothic Book"/>
          <w:color w:val="000000"/>
          <w:sz w:val="24"/>
          <w:szCs w:val="24"/>
        </w:rPr>
        <w:t>En prenant la décision de prendre le temps nécessaire à l’élaboration et la val</w:t>
      </w:r>
      <w:r w:rsidR="00D4180A" w:rsidRPr="00617CFF">
        <w:rPr>
          <w:rFonts w:asciiTheme="majorHAnsi" w:hAnsiTheme="majorHAnsi" w:cs="Franklin Gothic Book"/>
          <w:color w:val="000000"/>
          <w:sz w:val="24"/>
          <w:szCs w:val="24"/>
        </w:rPr>
        <w:t>idation de son plan d’action 20</w:t>
      </w:r>
      <w:r w:rsidR="002F667D" w:rsidRPr="00617CFF">
        <w:rPr>
          <w:rFonts w:asciiTheme="majorHAnsi" w:hAnsiTheme="majorHAnsi" w:cs="Franklin Gothic Book"/>
          <w:color w:val="000000"/>
          <w:sz w:val="24"/>
          <w:szCs w:val="24"/>
        </w:rPr>
        <w:t>21-2023, le CN-ITIE voudrait</w:t>
      </w:r>
      <w:r w:rsidR="00A30744" w:rsidRPr="00617CFF">
        <w:rPr>
          <w:rFonts w:asciiTheme="majorHAnsi" w:hAnsiTheme="majorHAnsi" w:cs="Franklin Gothic Book"/>
          <w:color w:val="000000"/>
          <w:sz w:val="24"/>
          <w:szCs w:val="24"/>
        </w:rPr>
        <w:t xml:space="preserve"> </w:t>
      </w:r>
      <w:r w:rsidR="002F667D" w:rsidRPr="00617CFF">
        <w:rPr>
          <w:rFonts w:asciiTheme="majorHAnsi" w:hAnsiTheme="majorHAnsi" w:cs="Franklin Gothic Book"/>
          <w:color w:val="000000"/>
          <w:sz w:val="24"/>
          <w:szCs w:val="24"/>
        </w:rPr>
        <w:t>prendre en compte les orientation</w:t>
      </w:r>
      <w:r w:rsidR="00D4180A" w:rsidRPr="00617CFF">
        <w:rPr>
          <w:rFonts w:asciiTheme="majorHAnsi" w:hAnsiTheme="majorHAnsi" w:cs="Franklin Gothic Book"/>
          <w:color w:val="000000"/>
          <w:sz w:val="24"/>
          <w:szCs w:val="24"/>
        </w:rPr>
        <w:t>s</w:t>
      </w:r>
      <w:r w:rsidR="002F667D" w:rsidRPr="00617CFF">
        <w:rPr>
          <w:rFonts w:asciiTheme="majorHAnsi" w:hAnsiTheme="majorHAnsi" w:cs="Franklin Gothic Book"/>
          <w:color w:val="000000"/>
          <w:sz w:val="24"/>
          <w:szCs w:val="24"/>
        </w:rPr>
        <w:t xml:space="preserve"> de l’exigence 1.5 de la Norme ITIE 2019, </w:t>
      </w:r>
      <w:r w:rsidR="00D4180A" w:rsidRPr="00617CFF">
        <w:rPr>
          <w:rFonts w:asciiTheme="majorHAnsi" w:hAnsiTheme="majorHAnsi" w:cs="Franklin Gothic Book"/>
          <w:color w:val="000000"/>
          <w:sz w:val="24"/>
          <w:szCs w:val="24"/>
        </w:rPr>
        <w:t>notamment</w:t>
      </w:r>
      <w:r w:rsidR="002F667D" w:rsidRPr="00617CFF">
        <w:rPr>
          <w:rFonts w:asciiTheme="majorHAnsi" w:hAnsiTheme="majorHAnsi" w:cs="Franklin Gothic Book"/>
          <w:color w:val="000000"/>
          <w:sz w:val="24"/>
          <w:szCs w:val="24"/>
        </w:rPr>
        <w:t xml:space="preserve"> les consultations des principales parties prenantes (l’administration, le secteur privé, la société civile, les communautés de base, les partenaires techniques et financier,…), </w:t>
      </w:r>
      <w:r w:rsidR="00D4180A" w:rsidRPr="00617CFF">
        <w:rPr>
          <w:rFonts w:asciiTheme="majorHAnsi" w:hAnsiTheme="majorHAnsi" w:cs="Franklin Gothic Book"/>
          <w:color w:val="000000"/>
          <w:sz w:val="24"/>
          <w:szCs w:val="24"/>
        </w:rPr>
        <w:t xml:space="preserve">la prise </w:t>
      </w:r>
      <w:r w:rsidR="002F667D" w:rsidRPr="00617CFF">
        <w:rPr>
          <w:rFonts w:asciiTheme="majorHAnsi" w:hAnsiTheme="majorHAnsi" w:cs="Franklin Gothic Book"/>
          <w:color w:val="000000"/>
          <w:sz w:val="24"/>
          <w:szCs w:val="24"/>
        </w:rPr>
        <w:t>en compte les priorités nationales</w:t>
      </w:r>
      <w:r w:rsidR="00D4180A" w:rsidRPr="00617CFF">
        <w:rPr>
          <w:rFonts w:asciiTheme="majorHAnsi" w:hAnsiTheme="majorHAnsi" w:cs="Franklin Gothic Book"/>
          <w:color w:val="000000"/>
          <w:sz w:val="24"/>
          <w:szCs w:val="24"/>
        </w:rPr>
        <w:t> ; il s’agit également de</w:t>
      </w:r>
      <w:r w:rsidR="002F667D" w:rsidRPr="00617CFF">
        <w:rPr>
          <w:rFonts w:asciiTheme="majorHAnsi" w:hAnsiTheme="majorHAnsi" w:cs="Franklin Gothic Book"/>
          <w:color w:val="000000"/>
          <w:sz w:val="24"/>
          <w:szCs w:val="24"/>
        </w:rPr>
        <w:t xml:space="preserve"> traduire le</w:t>
      </w:r>
      <w:r w:rsidR="00A22827" w:rsidRPr="00617CFF">
        <w:rPr>
          <w:rFonts w:asciiTheme="majorHAnsi" w:hAnsiTheme="majorHAnsi" w:cs="Franklin Gothic Book"/>
          <w:color w:val="000000"/>
          <w:sz w:val="24"/>
          <w:szCs w:val="24"/>
        </w:rPr>
        <w:t>s recommandations des différent</w:t>
      </w:r>
      <w:r w:rsidR="002F667D" w:rsidRPr="00617CFF">
        <w:rPr>
          <w:rFonts w:asciiTheme="majorHAnsi" w:hAnsiTheme="majorHAnsi" w:cs="Franklin Gothic Book"/>
          <w:color w:val="000000"/>
          <w:sz w:val="24"/>
          <w:szCs w:val="24"/>
        </w:rPr>
        <w:t xml:space="preserve">s rapports de conciliations et de validation en actions concrètes et activités réalisables et mesurables au regard du contexte national. </w:t>
      </w:r>
    </w:p>
    <w:p w14:paraId="73C7A835" w14:textId="459EFBE3" w:rsidR="00785B93" w:rsidRPr="00617CFF" w:rsidRDefault="002F667D" w:rsidP="00FC1355">
      <w:pPr>
        <w:autoSpaceDE w:val="0"/>
        <w:autoSpaceDN w:val="0"/>
        <w:adjustRightInd w:val="0"/>
        <w:spacing w:before="120" w:after="120" w:line="240" w:lineRule="auto"/>
        <w:jc w:val="both"/>
        <w:rPr>
          <w:rFonts w:asciiTheme="majorHAnsi" w:hAnsiTheme="majorHAnsi" w:cs="Franklin Gothic Book"/>
          <w:color w:val="000000"/>
          <w:sz w:val="24"/>
          <w:szCs w:val="24"/>
        </w:rPr>
      </w:pPr>
      <w:r w:rsidRPr="00617CFF">
        <w:rPr>
          <w:rFonts w:asciiTheme="majorHAnsi" w:hAnsiTheme="majorHAnsi" w:cs="Franklin Gothic Book"/>
          <w:color w:val="000000"/>
          <w:sz w:val="24"/>
          <w:szCs w:val="24"/>
        </w:rPr>
        <w:t xml:space="preserve">Ce plan d’action 2021-2023 a été organisé selon </w:t>
      </w:r>
      <w:r w:rsidR="00785B93" w:rsidRPr="00617CFF">
        <w:rPr>
          <w:rFonts w:asciiTheme="majorHAnsi" w:hAnsiTheme="majorHAnsi" w:cs="Franklin Gothic Book"/>
          <w:color w:val="000000"/>
          <w:sz w:val="24"/>
          <w:szCs w:val="24"/>
        </w:rPr>
        <w:t xml:space="preserve">les objectifs généraux de la nouvelle validation mais surtout </w:t>
      </w:r>
      <w:r w:rsidR="00545728" w:rsidRPr="00617CFF">
        <w:rPr>
          <w:rFonts w:asciiTheme="majorHAnsi" w:hAnsiTheme="majorHAnsi" w:cs="Franklin Gothic Book"/>
          <w:color w:val="000000"/>
          <w:sz w:val="24"/>
          <w:szCs w:val="24"/>
        </w:rPr>
        <w:t xml:space="preserve">autour </w:t>
      </w:r>
      <w:r w:rsidR="00785B93" w:rsidRPr="00617CFF">
        <w:rPr>
          <w:rFonts w:asciiTheme="majorHAnsi" w:hAnsiTheme="majorHAnsi" w:cs="Franklin Gothic Book"/>
          <w:color w:val="000000"/>
          <w:sz w:val="24"/>
          <w:szCs w:val="24"/>
        </w:rPr>
        <w:t xml:space="preserve">des trois (03) composantes générales de la nouvelle validation à savoir : </w:t>
      </w:r>
      <w:r w:rsidR="00785B93" w:rsidRPr="00617CFF">
        <w:rPr>
          <w:rFonts w:asciiTheme="majorHAnsi" w:hAnsiTheme="majorHAnsi" w:cs="Franklin Gothic Book"/>
          <w:b/>
          <w:color w:val="000000"/>
          <w:sz w:val="24"/>
          <w:szCs w:val="24"/>
        </w:rPr>
        <w:t>l’engagement des parties prenantes</w:t>
      </w:r>
      <w:r w:rsidR="00785B93" w:rsidRPr="00617CFF">
        <w:rPr>
          <w:rFonts w:asciiTheme="majorHAnsi" w:hAnsiTheme="majorHAnsi" w:cs="Franklin Gothic Book"/>
          <w:color w:val="000000"/>
          <w:sz w:val="24"/>
          <w:szCs w:val="24"/>
        </w:rPr>
        <w:t xml:space="preserve">, </w:t>
      </w:r>
      <w:r w:rsidR="00785B93" w:rsidRPr="00617CFF">
        <w:rPr>
          <w:rFonts w:asciiTheme="majorHAnsi" w:hAnsiTheme="majorHAnsi" w:cs="Franklin Gothic Book"/>
          <w:b/>
          <w:color w:val="000000"/>
          <w:sz w:val="24"/>
          <w:szCs w:val="24"/>
        </w:rPr>
        <w:t>la Transparence</w:t>
      </w:r>
      <w:r w:rsidR="00785B93" w:rsidRPr="00617CFF">
        <w:rPr>
          <w:rFonts w:asciiTheme="majorHAnsi" w:hAnsiTheme="majorHAnsi" w:cs="Franklin Gothic Book"/>
          <w:color w:val="000000"/>
          <w:sz w:val="24"/>
          <w:szCs w:val="24"/>
        </w:rPr>
        <w:t xml:space="preserve">, </w:t>
      </w:r>
      <w:r w:rsidR="00785B93" w:rsidRPr="00617CFF">
        <w:rPr>
          <w:rFonts w:asciiTheme="majorHAnsi" w:hAnsiTheme="majorHAnsi" w:cs="Franklin Gothic Book"/>
          <w:b/>
          <w:color w:val="000000"/>
          <w:sz w:val="24"/>
          <w:szCs w:val="24"/>
        </w:rPr>
        <w:t>les résultats et l’impact</w:t>
      </w:r>
      <w:r w:rsidR="00785B93" w:rsidRPr="00617CFF">
        <w:rPr>
          <w:rFonts w:asciiTheme="majorHAnsi" w:hAnsiTheme="majorHAnsi" w:cs="Franklin Gothic Book"/>
          <w:color w:val="000000"/>
          <w:sz w:val="24"/>
          <w:szCs w:val="24"/>
        </w:rPr>
        <w:t xml:space="preserve">. </w:t>
      </w:r>
    </w:p>
    <w:p w14:paraId="2A6A399B" w14:textId="3803D270" w:rsidR="007B205F" w:rsidRPr="00617CFF" w:rsidRDefault="00785B93" w:rsidP="0071561A">
      <w:pPr>
        <w:autoSpaceDE w:val="0"/>
        <w:autoSpaceDN w:val="0"/>
        <w:adjustRightInd w:val="0"/>
        <w:spacing w:before="120" w:after="120" w:line="240" w:lineRule="auto"/>
        <w:jc w:val="both"/>
        <w:rPr>
          <w:rFonts w:asciiTheme="majorHAnsi" w:hAnsiTheme="majorHAnsi" w:cs="Franklin Gothic Book"/>
          <w:color w:val="000000"/>
          <w:sz w:val="24"/>
          <w:szCs w:val="24"/>
        </w:rPr>
      </w:pPr>
      <w:r w:rsidRPr="00617CFF">
        <w:rPr>
          <w:rFonts w:asciiTheme="majorHAnsi" w:hAnsiTheme="majorHAnsi" w:cs="Franklin Gothic Book"/>
          <w:color w:val="000000"/>
          <w:sz w:val="24"/>
          <w:szCs w:val="24"/>
        </w:rPr>
        <w:t xml:space="preserve">Le plan de travail 2021-2023 est donc l’outil </w:t>
      </w:r>
      <w:r w:rsidR="009B5F9D" w:rsidRPr="00617CFF">
        <w:rPr>
          <w:rFonts w:asciiTheme="majorHAnsi" w:hAnsiTheme="majorHAnsi" w:cs="Franklin Gothic Book"/>
          <w:color w:val="000000"/>
          <w:sz w:val="24"/>
          <w:szCs w:val="24"/>
        </w:rPr>
        <w:t>qui</w:t>
      </w:r>
      <w:r w:rsidRPr="00617CFF">
        <w:rPr>
          <w:rFonts w:asciiTheme="majorHAnsi" w:hAnsiTheme="majorHAnsi" w:cs="Franklin Gothic Book"/>
          <w:color w:val="000000"/>
          <w:sz w:val="24"/>
          <w:szCs w:val="24"/>
        </w:rPr>
        <w:t xml:space="preserve"> </w:t>
      </w:r>
      <w:r w:rsidR="007B205F" w:rsidRPr="00617CFF">
        <w:rPr>
          <w:rFonts w:asciiTheme="majorHAnsi" w:hAnsiTheme="majorHAnsi" w:cs="Franklin Gothic Book"/>
          <w:color w:val="000000"/>
          <w:sz w:val="24"/>
          <w:szCs w:val="24"/>
        </w:rPr>
        <w:t>retrace l’ensemble de</w:t>
      </w:r>
      <w:r w:rsidR="009B5F9D" w:rsidRPr="00617CFF">
        <w:rPr>
          <w:rFonts w:asciiTheme="majorHAnsi" w:hAnsiTheme="majorHAnsi" w:cs="Franklin Gothic Book"/>
          <w:color w:val="000000"/>
          <w:sz w:val="24"/>
          <w:szCs w:val="24"/>
        </w:rPr>
        <w:t>s axes</w:t>
      </w:r>
      <w:r w:rsidR="00423434" w:rsidRPr="00617CFF">
        <w:rPr>
          <w:rFonts w:asciiTheme="majorHAnsi" w:hAnsiTheme="majorHAnsi" w:cs="Franklin Gothic Book"/>
          <w:color w:val="000000"/>
          <w:sz w:val="24"/>
          <w:szCs w:val="24"/>
        </w:rPr>
        <w:t xml:space="preserve"> d’intervention du </w:t>
      </w:r>
      <w:r w:rsidR="009B5F9D" w:rsidRPr="00617CFF">
        <w:rPr>
          <w:rFonts w:asciiTheme="majorHAnsi" w:hAnsiTheme="majorHAnsi" w:cs="Franklin Gothic Book"/>
          <w:color w:val="000000"/>
          <w:sz w:val="24"/>
          <w:szCs w:val="24"/>
        </w:rPr>
        <w:t>CN-ITIE</w:t>
      </w:r>
      <w:r w:rsidR="007B205F" w:rsidRPr="00617CFF">
        <w:rPr>
          <w:rFonts w:asciiTheme="majorHAnsi" w:hAnsiTheme="majorHAnsi" w:cs="Franklin Gothic Book"/>
          <w:color w:val="000000"/>
          <w:sz w:val="24"/>
          <w:szCs w:val="24"/>
        </w:rPr>
        <w:t xml:space="preserve"> </w:t>
      </w:r>
      <w:r w:rsidR="00423434" w:rsidRPr="00617CFF">
        <w:rPr>
          <w:rFonts w:asciiTheme="majorHAnsi" w:hAnsiTheme="majorHAnsi" w:cs="Franklin Gothic Book"/>
          <w:color w:val="000000"/>
          <w:sz w:val="24"/>
          <w:szCs w:val="24"/>
        </w:rPr>
        <w:t>dans le cadre de l’exécution de sa mission ; ce plan de travail met également en en exergue le</w:t>
      </w:r>
      <w:r w:rsidR="007B205F" w:rsidRPr="00617CFF">
        <w:rPr>
          <w:rFonts w:asciiTheme="majorHAnsi" w:hAnsiTheme="majorHAnsi" w:cs="Franklin Gothic Book"/>
          <w:color w:val="000000"/>
          <w:sz w:val="24"/>
          <w:szCs w:val="24"/>
        </w:rPr>
        <w:t xml:space="preserve"> rôle</w:t>
      </w:r>
      <w:r w:rsidR="009B5F9D" w:rsidRPr="00617CFF">
        <w:rPr>
          <w:rFonts w:asciiTheme="majorHAnsi" w:hAnsiTheme="majorHAnsi" w:cs="Franklin Gothic Book"/>
          <w:color w:val="000000"/>
          <w:sz w:val="24"/>
          <w:szCs w:val="24"/>
        </w:rPr>
        <w:t xml:space="preserve"> </w:t>
      </w:r>
      <w:r w:rsidR="00423434" w:rsidRPr="00617CFF">
        <w:rPr>
          <w:rFonts w:asciiTheme="majorHAnsi" w:hAnsiTheme="majorHAnsi" w:cs="Franklin Gothic Book"/>
          <w:color w:val="000000"/>
          <w:sz w:val="24"/>
          <w:szCs w:val="24"/>
        </w:rPr>
        <w:t xml:space="preserve">et le niveau de collaboration du CN-ITIE </w:t>
      </w:r>
      <w:r w:rsidR="0023027F" w:rsidRPr="00617CFF">
        <w:rPr>
          <w:rFonts w:asciiTheme="majorHAnsi" w:hAnsiTheme="majorHAnsi" w:cs="Franklin Gothic Book"/>
          <w:color w:val="000000"/>
          <w:sz w:val="24"/>
          <w:szCs w:val="24"/>
        </w:rPr>
        <w:t xml:space="preserve">avec les autres parties prenantes dans la mise en œuvre de </w:t>
      </w:r>
      <w:r w:rsidR="009B5F9D" w:rsidRPr="00617CFF">
        <w:rPr>
          <w:rFonts w:asciiTheme="majorHAnsi" w:hAnsiTheme="majorHAnsi" w:cs="Franklin Gothic Book"/>
          <w:color w:val="000000"/>
          <w:sz w:val="24"/>
          <w:szCs w:val="24"/>
        </w:rPr>
        <w:t>certaines réformes</w:t>
      </w:r>
      <w:r w:rsidR="0023027F" w:rsidRPr="00617CFF">
        <w:rPr>
          <w:rFonts w:asciiTheme="majorHAnsi" w:hAnsiTheme="majorHAnsi" w:cs="Franklin Gothic Book"/>
          <w:color w:val="000000"/>
          <w:sz w:val="24"/>
          <w:szCs w:val="24"/>
        </w:rPr>
        <w:t xml:space="preserve"> et initiatives</w:t>
      </w:r>
      <w:r w:rsidR="008371BC" w:rsidRPr="00617CFF">
        <w:rPr>
          <w:rFonts w:asciiTheme="majorHAnsi" w:hAnsiTheme="majorHAnsi" w:cs="Franklin Gothic Book"/>
          <w:color w:val="000000"/>
          <w:sz w:val="24"/>
          <w:szCs w:val="24"/>
        </w:rPr>
        <w:t xml:space="preserve"> dans le cadre de la mise en œuvre des principes, critères et exigences de l’ITIE. Enfin, </w:t>
      </w:r>
      <w:r w:rsidR="009A4457" w:rsidRPr="00617CFF">
        <w:rPr>
          <w:rFonts w:asciiTheme="majorHAnsi" w:hAnsiTheme="majorHAnsi" w:cs="Franklin Gothic Book"/>
          <w:color w:val="000000"/>
          <w:sz w:val="24"/>
          <w:szCs w:val="24"/>
        </w:rPr>
        <w:t>le plan de travail est organisé de sorte à</w:t>
      </w:r>
      <w:r w:rsidR="008371BC" w:rsidRPr="00617CFF">
        <w:rPr>
          <w:rFonts w:asciiTheme="majorHAnsi" w:hAnsiTheme="majorHAnsi" w:cs="Franklin Gothic Book"/>
          <w:color w:val="000000"/>
          <w:sz w:val="24"/>
          <w:szCs w:val="24"/>
        </w:rPr>
        <w:t xml:space="preserve"> faciliter l</w:t>
      </w:r>
      <w:r w:rsidR="009A4457" w:rsidRPr="00617CFF">
        <w:rPr>
          <w:rFonts w:asciiTheme="majorHAnsi" w:hAnsiTheme="majorHAnsi" w:cs="Franklin Gothic Book"/>
          <w:color w:val="000000"/>
          <w:sz w:val="24"/>
          <w:szCs w:val="24"/>
        </w:rPr>
        <w:t>e suivi des activités proposées et l</w:t>
      </w:r>
      <w:r w:rsidR="008371BC" w:rsidRPr="00617CFF">
        <w:rPr>
          <w:rFonts w:asciiTheme="majorHAnsi" w:hAnsiTheme="majorHAnsi" w:cs="Franklin Gothic Book"/>
          <w:color w:val="000000"/>
          <w:sz w:val="24"/>
          <w:szCs w:val="24"/>
        </w:rPr>
        <w:t>’évaluation de l’impac</w:t>
      </w:r>
      <w:r w:rsidR="00672C3D" w:rsidRPr="00617CFF">
        <w:rPr>
          <w:rFonts w:asciiTheme="majorHAnsi" w:hAnsiTheme="majorHAnsi" w:cs="Franklin Gothic Book"/>
          <w:color w:val="000000"/>
          <w:sz w:val="24"/>
          <w:szCs w:val="24"/>
        </w:rPr>
        <w:t>t de l’ITIE</w:t>
      </w:r>
      <w:r w:rsidR="007B205F" w:rsidRPr="00617CFF">
        <w:rPr>
          <w:rFonts w:asciiTheme="majorHAnsi" w:hAnsiTheme="majorHAnsi" w:cs="Franklin Gothic Book"/>
          <w:color w:val="000000"/>
          <w:sz w:val="24"/>
          <w:szCs w:val="24"/>
        </w:rPr>
        <w:t xml:space="preserve">. </w:t>
      </w:r>
    </w:p>
    <w:p w14:paraId="4ABE872C" w14:textId="496038CE" w:rsidR="00506327" w:rsidRPr="00617CFF" w:rsidRDefault="009A4457" w:rsidP="0071561A">
      <w:pPr>
        <w:autoSpaceDE w:val="0"/>
        <w:autoSpaceDN w:val="0"/>
        <w:adjustRightInd w:val="0"/>
        <w:spacing w:before="120" w:after="120" w:line="240" w:lineRule="auto"/>
        <w:jc w:val="both"/>
        <w:rPr>
          <w:rFonts w:asciiTheme="majorHAnsi" w:hAnsiTheme="majorHAnsi" w:cs="Franklin Gothic Book"/>
          <w:color w:val="000000"/>
          <w:sz w:val="24"/>
          <w:szCs w:val="24"/>
        </w:rPr>
      </w:pPr>
      <w:r w:rsidRPr="00617CFF">
        <w:rPr>
          <w:rFonts w:asciiTheme="majorHAnsi" w:hAnsiTheme="majorHAnsi" w:cs="Franklin Gothic Book"/>
          <w:color w:val="000000"/>
          <w:sz w:val="24"/>
          <w:szCs w:val="24"/>
        </w:rPr>
        <w:t>Auss</w:t>
      </w:r>
      <w:r w:rsidR="00411F8C" w:rsidRPr="00617CFF">
        <w:rPr>
          <w:rFonts w:asciiTheme="majorHAnsi" w:hAnsiTheme="majorHAnsi" w:cs="Franklin Gothic Book"/>
          <w:color w:val="000000"/>
          <w:sz w:val="24"/>
          <w:szCs w:val="24"/>
        </w:rPr>
        <w:t xml:space="preserve">i, pour mener à bien sa mission </w:t>
      </w:r>
      <w:r w:rsidR="00506327" w:rsidRPr="00617CFF">
        <w:rPr>
          <w:rFonts w:asciiTheme="majorHAnsi" w:hAnsiTheme="majorHAnsi" w:cs="Franklin Gothic Book"/>
          <w:color w:val="000000"/>
          <w:sz w:val="24"/>
          <w:szCs w:val="24"/>
        </w:rPr>
        <w:t xml:space="preserve">qui vise à consolider les acquis de la mise en œuvre de l’ITIE en Côte d’Ivoire, e CN-ITIE </w:t>
      </w:r>
      <w:r w:rsidRPr="00617CFF">
        <w:rPr>
          <w:rFonts w:asciiTheme="majorHAnsi" w:hAnsiTheme="majorHAnsi" w:cs="Franklin Gothic Book"/>
          <w:color w:val="000000"/>
          <w:sz w:val="24"/>
          <w:szCs w:val="24"/>
        </w:rPr>
        <w:t xml:space="preserve">a-t-il </w:t>
      </w:r>
      <w:r w:rsidR="00506327" w:rsidRPr="00617CFF">
        <w:rPr>
          <w:rFonts w:asciiTheme="majorHAnsi" w:hAnsiTheme="majorHAnsi" w:cs="Franklin Gothic Book"/>
          <w:color w:val="000000"/>
          <w:sz w:val="24"/>
          <w:szCs w:val="24"/>
        </w:rPr>
        <w:t>dégagé cinq (05) axes stratégiques</w:t>
      </w:r>
      <w:r w:rsidR="00411F8C" w:rsidRPr="00617CFF">
        <w:rPr>
          <w:rFonts w:asciiTheme="majorHAnsi" w:hAnsiTheme="majorHAnsi" w:cs="Franklin Gothic Book"/>
          <w:color w:val="000000"/>
          <w:sz w:val="24"/>
          <w:szCs w:val="24"/>
        </w:rPr>
        <w:t xml:space="preserve"> organisés autour des trois (03) nouvelles composantes d’évaluation de l’ITIE </w:t>
      </w:r>
      <w:r w:rsidRPr="00617CFF">
        <w:rPr>
          <w:rFonts w:asciiTheme="majorHAnsi" w:hAnsiTheme="majorHAnsi" w:cs="Franklin Gothic Book"/>
          <w:color w:val="000000"/>
          <w:sz w:val="24"/>
          <w:szCs w:val="24"/>
        </w:rPr>
        <w:t>ayant</w:t>
      </w:r>
      <w:r w:rsidR="00506327" w:rsidRPr="00617CFF">
        <w:rPr>
          <w:rFonts w:asciiTheme="majorHAnsi" w:hAnsiTheme="majorHAnsi" w:cs="Franklin Gothic Book"/>
          <w:color w:val="000000"/>
          <w:sz w:val="24"/>
          <w:szCs w:val="24"/>
        </w:rPr>
        <w:t xml:space="preserve"> </w:t>
      </w:r>
      <w:r w:rsidR="00411F8C" w:rsidRPr="00617CFF">
        <w:rPr>
          <w:rFonts w:asciiTheme="majorHAnsi" w:hAnsiTheme="majorHAnsi" w:cs="Franklin Gothic Book"/>
          <w:color w:val="000000"/>
          <w:sz w:val="24"/>
          <w:szCs w:val="24"/>
        </w:rPr>
        <w:t xml:space="preserve">permis au CN-ITIE de définir </w:t>
      </w:r>
      <w:r w:rsidR="00506327" w:rsidRPr="00617CFF">
        <w:rPr>
          <w:rFonts w:asciiTheme="majorHAnsi" w:hAnsiTheme="majorHAnsi" w:cs="Franklin Gothic Book"/>
          <w:color w:val="000000"/>
          <w:sz w:val="24"/>
          <w:szCs w:val="24"/>
        </w:rPr>
        <w:t xml:space="preserve">seize (16) </w:t>
      </w:r>
      <w:r w:rsidR="00411F8C" w:rsidRPr="00617CFF">
        <w:rPr>
          <w:rFonts w:asciiTheme="majorHAnsi" w:hAnsiTheme="majorHAnsi" w:cs="Franklin Gothic Book"/>
          <w:color w:val="000000"/>
          <w:sz w:val="24"/>
          <w:szCs w:val="24"/>
        </w:rPr>
        <w:t>objectifs prioritaires</w:t>
      </w:r>
      <w:r w:rsidR="00506327" w:rsidRPr="00617CFF">
        <w:rPr>
          <w:rFonts w:asciiTheme="majorHAnsi" w:hAnsiTheme="majorHAnsi" w:cs="Franklin Gothic Book"/>
          <w:color w:val="000000"/>
          <w:sz w:val="24"/>
          <w:szCs w:val="24"/>
        </w:rPr>
        <w:t xml:space="preserve"> comme le présente le plan de travail 2021-2023.</w:t>
      </w:r>
    </w:p>
    <w:p w14:paraId="2B1F7276" w14:textId="0924899E" w:rsidR="00411F8C" w:rsidRPr="00617CFF" w:rsidRDefault="00506327" w:rsidP="00617CFF">
      <w:pPr>
        <w:autoSpaceDE w:val="0"/>
        <w:autoSpaceDN w:val="0"/>
        <w:adjustRightInd w:val="0"/>
        <w:spacing w:before="120" w:after="120" w:line="240" w:lineRule="auto"/>
        <w:jc w:val="both"/>
        <w:rPr>
          <w:rFonts w:asciiTheme="majorHAnsi" w:hAnsiTheme="majorHAnsi" w:cs="Franklin Gothic Book"/>
          <w:color w:val="000000"/>
          <w:sz w:val="24"/>
          <w:szCs w:val="24"/>
        </w:rPr>
      </w:pPr>
      <w:r w:rsidRPr="00617CFF">
        <w:rPr>
          <w:rFonts w:asciiTheme="majorHAnsi" w:hAnsiTheme="majorHAnsi" w:cs="Franklin Gothic Book"/>
          <w:color w:val="000000"/>
          <w:sz w:val="24"/>
          <w:szCs w:val="24"/>
        </w:rPr>
        <w:t xml:space="preserve">Les axes stratégiques sont les suivants : </w:t>
      </w:r>
      <w:r w:rsidR="00411F8C" w:rsidRPr="00617CFF">
        <w:rPr>
          <w:rFonts w:asciiTheme="majorHAnsi" w:hAnsiTheme="majorHAnsi" w:cs="Franklin Gothic Book"/>
          <w:color w:val="000000"/>
          <w:sz w:val="24"/>
          <w:szCs w:val="24"/>
        </w:rPr>
        <w:t xml:space="preserve"> </w:t>
      </w:r>
    </w:p>
    <w:p w14:paraId="616A2086" w14:textId="77777777" w:rsidR="001276ED" w:rsidRPr="00617CFF" w:rsidRDefault="001276ED" w:rsidP="0071561A">
      <w:pPr>
        <w:pStyle w:val="Paragraphedeliste"/>
        <w:numPr>
          <w:ilvl w:val="0"/>
          <w:numId w:val="11"/>
        </w:numPr>
        <w:autoSpaceDE w:val="0"/>
        <w:autoSpaceDN w:val="0"/>
        <w:adjustRightInd w:val="0"/>
        <w:spacing w:before="120" w:after="120" w:line="240" w:lineRule="auto"/>
        <w:jc w:val="both"/>
        <w:rPr>
          <w:rFonts w:asciiTheme="majorHAnsi" w:hAnsiTheme="majorHAnsi" w:cs="Franklin Gothic Book"/>
          <w:color w:val="000000"/>
          <w:sz w:val="24"/>
          <w:szCs w:val="24"/>
        </w:rPr>
      </w:pPr>
      <w:r w:rsidRPr="00617CFF">
        <w:rPr>
          <w:rFonts w:asciiTheme="majorHAnsi" w:hAnsiTheme="majorHAnsi" w:cs="Franklin Gothic Book"/>
          <w:color w:val="000000"/>
          <w:sz w:val="24"/>
          <w:szCs w:val="24"/>
        </w:rPr>
        <w:t>Renforcement institutionnel et technique du Conseil National ITIE en Côte d'Ivoire</w:t>
      </w:r>
    </w:p>
    <w:p w14:paraId="03FFFFB7" w14:textId="59FF427F" w:rsidR="001276ED" w:rsidRPr="00617CFF" w:rsidRDefault="001276ED" w:rsidP="0071561A">
      <w:pPr>
        <w:pStyle w:val="Paragraphedeliste"/>
        <w:numPr>
          <w:ilvl w:val="0"/>
          <w:numId w:val="11"/>
        </w:numPr>
        <w:autoSpaceDE w:val="0"/>
        <w:autoSpaceDN w:val="0"/>
        <w:adjustRightInd w:val="0"/>
        <w:spacing w:before="120" w:after="120" w:line="240" w:lineRule="auto"/>
        <w:jc w:val="both"/>
        <w:rPr>
          <w:rFonts w:asciiTheme="majorHAnsi" w:hAnsiTheme="majorHAnsi" w:cs="Franklin Gothic Book"/>
          <w:color w:val="000000"/>
          <w:sz w:val="24"/>
          <w:szCs w:val="24"/>
        </w:rPr>
      </w:pPr>
      <w:r w:rsidRPr="00617CFF">
        <w:rPr>
          <w:rFonts w:asciiTheme="majorHAnsi" w:hAnsiTheme="majorHAnsi" w:cs="Franklin Gothic Book"/>
          <w:color w:val="000000"/>
          <w:sz w:val="24"/>
          <w:szCs w:val="24"/>
        </w:rPr>
        <w:t>Renforcement du mécanisme de communication, de dissémination des données et du débat public ;</w:t>
      </w:r>
    </w:p>
    <w:p w14:paraId="30A6DC0D" w14:textId="02C124FF" w:rsidR="001276ED" w:rsidRPr="00617CFF" w:rsidRDefault="001276ED" w:rsidP="0071561A">
      <w:pPr>
        <w:pStyle w:val="Paragraphedeliste"/>
        <w:numPr>
          <w:ilvl w:val="0"/>
          <w:numId w:val="11"/>
        </w:numPr>
        <w:autoSpaceDE w:val="0"/>
        <w:autoSpaceDN w:val="0"/>
        <w:adjustRightInd w:val="0"/>
        <w:spacing w:before="120" w:after="120" w:line="240" w:lineRule="auto"/>
        <w:jc w:val="both"/>
        <w:rPr>
          <w:rFonts w:asciiTheme="majorHAnsi" w:hAnsiTheme="majorHAnsi" w:cs="Franklin Gothic Book"/>
          <w:color w:val="000000"/>
          <w:sz w:val="24"/>
          <w:szCs w:val="24"/>
        </w:rPr>
      </w:pPr>
      <w:r w:rsidRPr="00617CFF">
        <w:rPr>
          <w:rFonts w:asciiTheme="majorHAnsi" w:hAnsiTheme="majorHAnsi" w:cs="Franklin Gothic Book"/>
          <w:color w:val="000000"/>
          <w:sz w:val="24"/>
          <w:szCs w:val="24"/>
        </w:rPr>
        <w:t xml:space="preserve">Renforcement de la mise en œuvre des exigences en matière de </w:t>
      </w:r>
      <w:r w:rsidR="00411F8C" w:rsidRPr="00617CFF">
        <w:rPr>
          <w:rFonts w:asciiTheme="majorHAnsi" w:hAnsiTheme="majorHAnsi" w:cs="Franklin Gothic Book"/>
          <w:color w:val="000000"/>
          <w:sz w:val="24"/>
          <w:szCs w:val="24"/>
        </w:rPr>
        <w:t>redevabilité</w:t>
      </w:r>
      <w:r w:rsidRPr="00617CFF">
        <w:rPr>
          <w:rFonts w:asciiTheme="majorHAnsi" w:hAnsiTheme="majorHAnsi" w:cs="Franklin Gothic Book"/>
          <w:color w:val="000000"/>
          <w:sz w:val="24"/>
          <w:szCs w:val="24"/>
        </w:rPr>
        <w:t>, de transparence et de gouvernance dans le secteur extractif ;</w:t>
      </w:r>
    </w:p>
    <w:p w14:paraId="2794EBB6" w14:textId="748C8B08" w:rsidR="001276ED" w:rsidRPr="00617CFF" w:rsidRDefault="002D6BC1" w:rsidP="0071561A">
      <w:pPr>
        <w:pStyle w:val="Paragraphedeliste"/>
        <w:numPr>
          <w:ilvl w:val="0"/>
          <w:numId w:val="11"/>
        </w:numPr>
        <w:autoSpaceDE w:val="0"/>
        <w:autoSpaceDN w:val="0"/>
        <w:adjustRightInd w:val="0"/>
        <w:spacing w:before="120" w:after="120" w:line="240" w:lineRule="auto"/>
        <w:jc w:val="both"/>
        <w:rPr>
          <w:rFonts w:asciiTheme="majorHAnsi" w:hAnsiTheme="majorHAnsi" w:cs="Franklin Gothic Book"/>
          <w:color w:val="000000"/>
          <w:sz w:val="24"/>
          <w:szCs w:val="24"/>
        </w:rPr>
      </w:pPr>
      <w:r w:rsidRPr="00617CFF">
        <w:rPr>
          <w:rFonts w:asciiTheme="majorHAnsi" w:hAnsiTheme="majorHAnsi" w:cs="Franklin Gothic Book"/>
          <w:color w:val="000000"/>
          <w:sz w:val="24"/>
          <w:szCs w:val="24"/>
        </w:rPr>
        <w:t xml:space="preserve">Suivi de la mise en œuvre des recommandations de la validation et des rapports de </w:t>
      </w:r>
      <w:r w:rsidR="00411F8C" w:rsidRPr="00617CFF">
        <w:rPr>
          <w:rFonts w:asciiTheme="majorHAnsi" w:hAnsiTheme="majorHAnsi" w:cs="Franklin Gothic Book"/>
          <w:color w:val="000000"/>
          <w:sz w:val="24"/>
          <w:szCs w:val="24"/>
        </w:rPr>
        <w:t>réconciliation</w:t>
      </w:r>
      <w:r w:rsidRPr="00617CFF">
        <w:rPr>
          <w:rFonts w:asciiTheme="majorHAnsi" w:hAnsiTheme="majorHAnsi" w:cs="Franklin Gothic Book"/>
          <w:color w:val="000000"/>
          <w:sz w:val="24"/>
          <w:szCs w:val="24"/>
        </w:rPr>
        <w:t> ;</w:t>
      </w:r>
    </w:p>
    <w:p w14:paraId="0F0DB3A0" w14:textId="4D1D0910" w:rsidR="002D6BC1" w:rsidRPr="00617CFF" w:rsidRDefault="002D6BC1" w:rsidP="0071561A">
      <w:pPr>
        <w:pStyle w:val="Paragraphedeliste"/>
        <w:numPr>
          <w:ilvl w:val="0"/>
          <w:numId w:val="11"/>
        </w:numPr>
        <w:autoSpaceDE w:val="0"/>
        <w:autoSpaceDN w:val="0"/>
        <w:adjustRightInd w:val="0"/>
        <w:spacing w:before="120" w:after="120" w:line="240" w:lineRule="auto"/>
        <w:jc w:val="both"/>
        <w:rPr>
          <w:rFonts w:asciiTheme="majorHAnsi" w:hAnsiTheme="majorHAnsi" w:cs="Franklin Gothic Book"/>
          <w:color w:val="000000"/>
          <w:sz w:val="24"/>
          <w:szCs w:val="24"/>
        </w:rPr>
      </w:pPr>
      <w:r w:rsidRPr="00617CFF">
        <w:rPr>
          <w:rFonts w:asciiTheme="majorHAnsi" w:hAnsiTheme="majorHAnsi" w:cs="Franklin Gothic Book"/>
          <w:color w:val="000000"/>
          <w:sz w:val="24"/>
          <w:szCs w:val="24"/>
        </w:rPr>
        <w:t xml:space="preserve">Examen des résultats et de l’impact de la mise en </w:t>
      </w:r>
      <w:r w:rsidR="00411F8C" w:rsidRPr="00617CFF">
        <w:rPr>
          <w:rFonts w:asciiTheme="majorHAnsi" w:hAnsiTheme="majorHAnsi" w:cs="Franklin Gothic Book"/>
          <w:color w:val="000000"/>
          <w:sz w:val="24"/>
          <w:szCs w:val="24"/>
        </w:rPr>
        <w:t>œuvre</w:t>
      </w:r>
      <w:r w:rsidRPr="00617CFF">
        <w:rPr>
          <w:rFonts w:asciiTheme="majorHAnsi" w:hAnsiTheme="majorHAnsi" w:cs="Franklin Gothic Book"/>
          <w:color w:val="000000"/>
          <w:sz w:val="24"/>
          <w:szCs w:val="24"/>
        </w:rPr>
        <w:t xml:space="preserve"> de l’ITIE</w:t>
      </w:r>
      <w:r w:rsidR="00506327" w:rsidRPr="00617CFF">
        <w:rPr>
          <w:rFonts w:asciiTheme="majorHAnsi" w:hAnsiTheme="majorHAnsi" w:cs="Franklin Gothic Book"/>
          <w:color w:val="000000"/>
          <w:sz w:val="24"/>
          <w:szCs w:val="24"/>
        </w:rPr>
        <w:t>.</w:t>
      </w:r>
    </w:p>
    <w:p w14:paraId="66F015A4" w14:textId="50C0942F" w:rsidR="007B205F" w:rsidRPr="00617CFF" w:rsidRDefault="00506327" w:rsidP="00FC1355">
      <w:pPr>
        <w:spacing w:after="0" w:line="240" w:lineRule="auto"/>
        <w:jc w:val="both"/>
        <w:outlineLvl w:val="0"/>
        <w:rPr>
          <w:rFonts w:asciiTheme="majorHAnsi" w:hAnsiTheme="majorHAnsi"/>
          <w:b/>
          <w:color w:val="000000"/>
          <w:sz w:val="24"/>
          <w:szCs w:val="24"/>
        </w:rPr>
      </w:pPr>
      <w:r w:rsidRPr="00617CFF">
        <w:rPr>
          <w:rFonts w:asciiTheme="majorHAnsi" w:hAnsiTheme="majorHAnsi" w:cs="Franklin Gothic Book"/>
          <w:color w:val="000000"/>
          <w:sz w:val="24"/>
          <w:szCs w:val="24"/>
        </w:rPr>
        <w:t xml:space="preserve">Il s’agit donc à travers ce plan 2021-2023, </w:t>
      </w:r>
      <w:r w:rsidR="004A3491" w:rsidRPr="00617CFF">
        <w:rPr>
          <w:rFonts w:asciiTheme="majorHAnsi" w:hAnsiTheme="majorHAnsi" w:cs="Franklin Gothic Book"/>
          <w:color w:val="000000"/>
          <w:sz w:val="24"/>
          <w:szCs w:val="24"/>
        </w:rPr>
        <w:t>de préparer la prochaine validation de la Côte d’Ivoire prévue en avril 2022, mais aussi et surtout de renforcer la position et l’impact d</w:t>
      </w:r>
      <w:r w:rsidR="007B205F" w:rsidRPr="00617CFF">
        <w:rPr>
          <w:rFonts w:asciiTheme="majorHAnsi" w:hAnsiTheme="majorHAnsi" w:cs="Franklin Gothic Book"/>
          <w:color w:val="000000"/>
          <w:sz w:val="24"/>
          <w:szCs w:val="24"/>
        </w:rPr>
        <w:t xml:space="preserve">es activités </w:t>
      </w:r>
      <w:r w:rsidR="004A3491" w:rsidRPr="00617CFF">
        <w:rPr>
          <w:rFonts w:asciiTheme="majorHAnsi" w:hAnsiTheme="majorHAnsi" w:cs="Franklin Gothic Book"/>
          <w:color w:val="000000"/>
          <w:sz w:val="24"/>
          <w:szCs w:val="24"/>
        </w:rPr>
        <w:t xml:space="preserve">du CN-ITIE </w:t>
      </w:r>
      <w:r w:rsidR="007B205F" w:rsidRPr="00617CFF">
        <w:rPr>
          <w:rFonts w:asciiTheme="majorHAnsi" w:hAnsiTheme="majorHAnsi" w:cs="Franklin Gothic Book"/>
          <w:color w:val="000000"/>
          <w:sz w:val="24"/>
          <w:szCs w:val="24"/>
        </w:rPr>
        <w:t xml:space="preserve">pour une bonne gouvernance du secteur extractif et un effet sur le développement durable </w:t>
      </w:r>
      <w:r w:rsidR="004A3491" w:rsidRPr="00617CFF">
        <w:rPr>
          <w:rFonts w:asciiTheme="majorHAnsi" w:hAnsiTheme="majorHAnsi" w:cs="Franklin Gothic Book"/>
          <w:color w:val="000000"/>
          <w:sz w:val="24"/>
          <w:szCs w:val="24"/>
        </w:rPr>
        <w:t>de la Côte d’Ivoire.</w:t>
      </w:r>
    </w:p>
    <w:p w14:paraId="235A1659" w14:textId="77777777" w:rsidR="00D5769D" w:rsidRDefault="00D5769D" w:rsidP="00617CFF">
      <w:pPr>
        <w:spacing w:before="120" w:after="120" w:line="240" w:lineRule="auto"/>
        <w:jc w:val="both"/>
        <w:outlineLvl w:val="0"/>
        <w:rPr>
          <w:rFonts w:asciiTheme="majorHAnsi" w:hAnsiTheme="majorHAnsi"/>
          <w:b/>
          <w:color w:val="000000"/>
          <w:sz w:val="26"/>
          <w:szCs w:val="26"/>
        </w:rPr>
      </w:pPr>
    </w:p>
    <w:p w14:paraId="7EDF22A5" w14:textId="77777777" w:rsidR="00D5769D" w:rsidRDefault="00D5769D" w:rsidP="00617CFF">
      <w:pPr>
        <w:spacing w:before="120" w:after="120" w:line="240" w:lineRule="auto"/>
        <w:jc w:val="both"/>
        <w:outlineLvl w:val="0"/>
        <w:rPr>
          <w:rFonts w:asciiTheme="majorHAnsi" w:hAnsiTheme="majorHAnsi"/>
          <w:b/>
          <w:color w:val="000000"/>
          <w:sz w:val="26"/>
          <w:szCs w:val="26"/>
        </w:rPr>
      </w:pPr>
    </w:p>
    <w:p w14:paraId="67D44845" w14:textId="5218075C" w:rsidR="00021945" w:rsidRPr="0071561A" w:rsidRDefault="00021945" w:rsidP="00617CFF">
      <w:pPr>
        <w:spacing w:before="120" w:after="120" w:line="240" w:lineRule="auto"/>
        <w:jc w:val="both"/>
        <w:outlineLvl w:val="0"/>
        <w:rPr>
          <w:rFonts w:asciiTheme="majorHAnsi" w:hAnsiTheme="majorHAnsi"/>
          <w:b/>
          <w:sz w:val="26"/>
          <w:szCs w:val="26"/>
        </w:rPr>
      </w:pPr>
      <w:r w:rsidRPr="0071561A">
        <w:rPr>
          <w:rFonts w:asciiTheme="majorHAnsi" w:hAnsiTheme="majorHAnsi"/>
          <w:b/>
          <w:color w:val="000000"/>
          <w:sz w:val="26"/>
          <w:szCs w:val="26"/>
        </w:rPr>
        <w:t>CONTEXTE GENERAL</w:t>
      </w:r>
      <w:r w:rsidR="00260925" w:rsidRPr="0071561A">
        <w:rPr>
          <w:rFonts w:asciiTheme="majorHAnsi" w:hAnsiTheme="majorHAnsi"/>
          <w:b/>
          <w:color w:val="000000"/>
          <w:sz w:val="26"/>
          <w:szCs w:val="26"/>
        </w:rPr>
        <w:t xml:space="preserve"> </w:t>
      </w:r>
      <w:r w:rsidR="00F84298" w:rsidRPr="0071561A">
        <w:rPr>
          <w:rFonts w:asciiTheme="majorHAnsi" w:hAnsiTheme="majorHAnsi"/>
          <w:b/>
          <w:color w:val="000000"/>
          <w:sz w:val="26"/>
          <w:szCs w:val="26"/>
        </w:rPr>
        <w:t>ET PRIORITES NATIONALES</w:t>
      </w:r>
    </w:p>
    <w:p w14:paraId="55E565DE" w14:textId="52CADD85" w:rsidR="00021945" w:rsidRPr="00617CFF" w:rsidRDefault="00021945" w:rsidP="00FC1355">
      <w:pPr>
        <w:spacing w:after="0" w:line="240" w:lineRule="auto"/>
        <w:jc w:val="both"/>
        <w:rPr>
          <w:rFonts w:asciiTheme="majorHAnsi" w:hAnsiTheme="majorHAnsi"/>
          <w:sz w:val="24"/>
          <w:szCs w:val="24"/>
        </w:rPr>
      </w:pPr>
      <w:r w:rsidRPr="00617CFF">
        <w:rPr>
          <w:rFonts w:asciiTheme="majorHAnsi" w:hAnsiTheme="majorHAnsi"/>
          <w:sz w:val="24"/>
          <w:szCs w:val="24"/>
        </w:rPr>
        <w:lastRenderedPageBreak/>
        <w:t xml:space="preserve">Déclaré pays candidat en 2008, la Côte d’Ivoire a satisfait aux exigences de l’ITIE et est devenue pays conforme ITIE en Mai 2013 à Sydney - Australie.  </w:t>
      </w:r>
    </w:p>
    <w:p w14:paraId="46C228A3" w14:textId="70CD15B6" w:rsidR="006C3FEA" w:rsidRPr="00617CFF" w:rsidRDefault="005E25B5" w:rsidP="003B324F">
      <w:pPr>
        <w:spacing w:before="120" w:after="120" w:line="240" w:lineRule="auto"/>
        <w:jc w:val="both"/>
        <w:rPr>
          <w:rFonts w:asciiTheme="majorHAnsi" w:hAnsiTheme="majorHAnsi" w:cs="Times New Roman"/>
          <w:color w:val="000000"/>
          <w:sz w:val="24"/>
          <w:szCs w:val="24"/>
        </w:rPr>
      </w:pPr>
      <w:r w:rsidRPr="00617CFF">
        <w:rPr>
          <w:rFonts w:asciiTheme="majorHAnsi" w:hAnsiTheme="majorHAnsi"/>
          <w:sz w:val="24"/>
          <w:szCs w:val="24"/>
        </w:rPr>
        <w:t>Faisant suite à cette 1</w:t>
      </w:r>
      <w:r w:rsidRPr="00617CFF">
        <w:rPr>
          <w:rFonts w:asciiTheme="majorHAnsi" w:hAnsiTheme="majorHAnsi"/>
          <w:sz w:val="24"/>
          <w:szCs w:val="24"/>
          <w:vertAlign w:val="superscript"/>
        </w:rPr>
        <w:t>ère</w:t>
      </w:r>
      <w:r w:rsidRPr="00617CFF">
        <w:rPr>
          <w:rFonts w:asciiTheme="majorHAnsi" w:hAnsiTheme="majorHAnsi"/>
          <w:sz w:val="24"/>
          <w:szCs w:val="24"/>
        </w:rPr>
        <w:t xml:space="preserve"> validation et à la révision de la Norme ITIE</w:t>
      </w:r>
      <w:r w:rsidR="00773B4B" w:rsidRPr="00617CFF">
        <w:rPr>
          <w:rFonts w:asciiTheme="majorHAnsi" w:hAnsiTheme="majorHAnsi"/>
          <w:sz w:val="24"/>
          <w:szCs w:val="24"/>
        </w:rPr>
        <w:t xml:space="preserve"> en 2016, la Côte d’Ivoire</w:t>
      </w:r>
      <w:r w:rsidRPr="00617CFF">
        <w:rPr>
          <w:rFonts w:asciiTheme="majorHAnsi" w:hAnsiTheme="majorHAnsi"/>
          <w:sz w:val="24"/>
          <w:szCs w:val="24"/>
        </w:rPr>
        <w:t xml:space="preserve"> a été réévaluée</w:t>
      </w:r>
      <w:r w:rsidR="00021945" w:rsidRPr="00617CFF">
        <w:rPr>
          <w:rFonts w:asciiTheme="majorHAnsi" w:hAnsiTheme="majorHAnsi"/>
          <w:sz w:val="24"/>
          <w:szCs w:val="24"/>
        </w:rPr>
        <w:t xml:space="preserve"> </w:t>
      </w:r>
      <w:r w:rsidR="00773B4B" w:rsidRPr="00617CFF">
        <w:rPr>
          <w:rFonts w:asciiTheme="majorHAnsi" w:hAnsiTheme="majorHAnsi"/>
          <w:sz w:val="24"/>
          <w:szCs w:val="24"/>
        </w:rPr>
        <w:t xml:space="preserve">en 2018 </w:t>
      </w:r>
      <w:r w:rsidR="00021945" w:rsidRPr="00617CFF">
        <w:rPr>
          <w:rFonts w:asciiTheme="majorHAnsi" w:hAnsiTheme="majorHAnsi"/>
          <w:sz w:val="24"/>
          <w:szCs w:val="24"/>
        </w:rPr>
        <w:t xml:space="preserve">sur la base de </w:t>
      </w:r>
      <w:r w:rsidR="003C7D36" w:rsidRPr="00617CFF">
        <w:rPr>
          <w:rFonts w:asciiTheme="majorHAnsi" w:hAnsiTheme="majorHAnsi"/>
          <w:sz w:val="24"/>
          <w:szCs w:val="24"/>
        </w:rPr>
        <w:t xml:space="preserve">la </w:t>
      </w:r>
      <w:r w:rsidR="00021945" w:rsidRPr="00617CFF">
        <w:rPr>
          <w:rFonts w:asciiTheme="majorHAnsi" w:hAnsiTheme="majorHAnsi"/>
          <w:sz w:val="24"/>
          <w:szCs w:val="24"/>
        </w:rPr>
        <w:t xml:space="preserve">norme ITIE 2016. Le Conseil d’Administration </w:t>
      </w:r>
      <w:r w:rsidR="003C7D36" w:rsidRPr="00617CFF">
        <w:rPr>
          <w:rFonts w:asciiTheme="majorHAnsi" w:hAnsiTheme="majorHAnsi"/>
          <w:sz w:val="24"/>
          <w:szCs w:val="24"/>
        </w:rPr>
        <w:t xml:space="preserve">de l’ITIE International </w:t>
      </w:r>
      <w:r w:rsidR="00021945" w:rsidRPr="00617CFF">
        <w:rPr>
          <w:rFonts w:asciiTheme="majorHAnsi" w:hAnsiTheme="majorHAnsi"/>
          <w:sz w:val="24"/>
          <w:szCs w:val="24"/>
        </w:rPr>
        <w:t>a conclu</w:t>
      </w:r>
      <w:r w:rsidR="003C7D36" w:rsidRPr="00617CFF">
        <w:rPr>
          <w:rFonts w:asciiTheme="majorHAnsi" w:hAnsiTheme="majorHAnsi"/>
          <w:sz w:val="24"/>
          <w:szCs w:val="24"/>
        </w:rPr>
        <w:t>,</w:t>
      </w:r>
      <w:r w:rsidR="00021945" w:rsidRPr="00617CFF">
        <w:rPr>
          <w:rFonts w:asciiTheme="majorHAnsi" w:hAnsiTheme="majorHAnsi"/>
          <w:sz w:val="24"/>
          <w:szCs w:val="24"/>
        </w:rPr>
        <w:t xml:space="preserve"> suite à sa décision du 8 mai 2018, que la Côte d’Ivoire a accompli des ‘’Progrès Significatifs’’ dans la mise en œuvre globale de la Norme ITIE 2016</w:t>
      </w:r>
      <w:r w:rsidR="006C3FEA" w:rsidRPr="00617CFF">
        <w:rPr>
          <w:rFonts w:asciiTheme="majorHAnsi" w:hAnsiTheme="majorHAnsi"/>
          <w:sz w:val="24"/>
          <w:szCs w:val="24"/>
        </w:rPr>
        <w:t xml:space="preserve"> avec des recommandations portant sur douze (12) mesures correctives</w:t>
      </w:r>
      <w:r w:rsidR="004A3491" w:rsidRPr="00617CFF">
        <w:rPr>
          <w:rFonts w:asciiTheme="majorHAnsi" w:hAnsiTheme="majorHAnsi"/>
          <w:sz w:val="24"/>
          <w:szCs w:val="24"/>
        </w:rPr>
        <w:t>.</w:t>
      </w:r>
      <w:r w:rsidR="00021945" w:rsidRPr="00617CFF">
        <w:rPr>
          <w:rFonts w:asciiTheme="majorHAnsi" w:hAnsiTheme="majorHAnsi"/>
          <w:sz w:val="24"/>
          <w:szCs w:val="24"/>
        </w:rPr>
        <w:t xml:space="preserve"> </w:t>
      </w:r>
      <w:r w:rsidR="006C3FEA" w:rsidRPr="00617CFF">
        <w:rPr>
          <w:rFonts w:asciiTheme="majorHAnsi" w:hAnsiTheme="majorHAnsi"/>
          <w:sz w:val="24"/>
          <w:szCs w:val="24"/>
        </w:rPr>
        <w:t xml:space="preserve">Une seconde </w:t>
      </w:r>
      <w:r w:rsidR="006C3FEA" w:rsidRPr="00617CFF">
        <w:rPr>
          <w:rFonts w:asciiTheme="majorHAnsi" w:hAnsiTheme="majorHAnsi" w:cs="Times New Roman"/>
          <w:sz w:val="24"/>
          <w:szCs w:val="24"/>
        </w:rPr>
        <w:t>validation basée sur la Norme 2016 a été organisée en 2019. Le Conseil d’administration de l’ITIE tenu en avril 2020</w:t>
      </w:r>
      <w:r w:rsidR="006C3FEA" w:rsidRPr="00617CFF">
        <w:rPr>
          <w:rFonts w:asciiTheme="majorHAnsi" w:hAnsiTheme="majorHAnsi" w:cs="DejaVuSerifCondensed"/>
          <w:sz w:val="24"/>
          <w:szCs w:val="24"/>
        </w:rPr>
        <w:t xml:space="preserve"> </w:t>
      </w:r>
      <w:r w:rsidR="006C3FEA" w:rsidRPr="00617CFF">
        <w:rPr>
          <w:rFonts w:asciiTheme="majorHAnsi" w:hAnsiTheme="majorHAnsi" w:cs="Times New Roman"/>
          <w:sz w:val="24"/>
          <w:szCs w:val="24"/>
        </w:rPr>
        <w:t xml:space="preserve">a retenu par la décision référencée n° 2020-25/BC-288, que la Côte d’Ivoire </w:t>
      </w:r>
      <w:r w:rsidR="006C3FEA" w:rsidRPr="00617CFF">
        <w:rPr>
          <w:rFonts w:asciiTheme="majorHAnsi" w:hAnsiTheme="majorHAnsi" w:cs="Times New Roman"/>
          <w:color w:val="000000"/>
          <w:sz w:val="24"/>
          <w:szCs w:val="24"/>
        </w:rPr>
        <w:t>avait entièrement mis en œuvre</w:t>
      </w:r>
      <w:r w:rsidR="006C3FEA" w:rsidRPr="00617CFF">
        <w:rPr>
          <w:rFonts w:asciiTheme="majorHAnsi" w:hAnsiTheme="majorHAnsi" w:cs="Times New Roman"/>
          <w:sz w:val="24"/>
          <w:szCs w:val="24"/>
        </w:rPr>
        <w:t xml:space="preserve"> trois (03) des douze (12) mesures correctives arrêtées lors de la </w:t>
      </w:r>
      <w:r w:rsidR="007B205F" w:rsidRPr="00617CFF">
        <w:rPr>
          <w:rFonts w:asciiTheme="majorHAnsi" w:hAnsiTheme="majorHAnsi" w:cs="Times New Roman"/>
          <w:sz w:val="24"/>
          <w:szCs w:val="24"/>
        </w:rPr>
        <w:t xml:space="preserve">validation </w:t>
      </w:r>
      <w:r w:rsidR="006C3FEA" w:rsidRPr="00617CFF">
        <w:rPr>
          <w:rFonts w:asciiTheme="majorHAnsi" w:hAnsiTheme="majorHAnsi" w:cs="Times New Roman"/>
          <w:sz w:val="24"/>
          <w:szCs w:val="24"/>
        </w:rPr>
        <w:t xml:space="preserve">de 2018. </w:t>
      </w:r>
      <w:r w:rsidR="006C3FEA" w:rsidRPr="00617CFF">
        <w:rPr>
          <w:rFonts w:asciiTheme="majorHAnsi" w:hAnsiTheme="majorHAnsi" w:cs="Times New Roman"/>
          <w:color w:val="000000"/>
          <w:sz w:val="24"/>
          <w:szCs w:val="24"/>
        </w:rPr>
        <w:t>Par conséquent, la Côte d’Ivoire avait réalisé des progrès globalement significatifs dans la mise en œuvre de la Norme ITIE 2016, assortis d’améliorations subst</w:t>
      </w:r>
      <w:r w:rsidR="003C7D36" w:rsidRPr="00617CFF">
        <w:rPr>
          <w:rFonts w:asciiTheme="majorHAnsi" w:hAnsiTheme="majorHAnsi" w:cs="Times New Roman"/>
          <w:color w:val="000000"/>
          <w:sz w:val="24"/>
          <w:szCs w:val="24"/>
        </w:rPr>
        <w:t>antielles concernant plusieurs e</w:t>
      </w:r>
      <w:r w:rsidR="006C3FEA" w:rsidRPr="00617CFF">
        <w:rPr>
          <w:rFonts w:asciiTheme="majorHAnsi" w:hAnsiTheme="majorHAnsi" w:cs="Times New Roman"/>
          <w:color w:val="000000"/>
          <w:sz w:val="24"/>
          <w:szCs w:val="24"/>
        </w:rPr>
        <w:t>xigences.</w:t>
      </w:r>
      <w:r w:rsidR="007B205F" w:rsidRPr="00617CFF">
        <w:rPr>
          <w:rFonts w:asciiTheme="majorHAnsi" w:hAnsiTheme="majorHAnsi" w:cs="Times New Roman"/>
          <w:color w:val="000000"/>
          <w:sz w:val="24"/>
          <w:szCs w:val="24"/>
        </w:rPr>
        <w:t xml:space="preserve"> </w:t>
      </w:r>
    </w:p>
    <w:p w14:paraId="10F05C6C" w14:textId="34AB6408" w:rsidR="00A25AC2" w:rsidRPr="00617CFF" w:rsidRDefault="007B205F" w:rsidP="003B324F">
      <w:pPr>
        <w:spacing w:before="120" w:after="120" w:line="240" w:lineRule="auto"/>
        <w:jc w:val="both"/>
        <w:rPr>
          <w:rFonts w:asciiTheme="majorHAnsi" w:hAnsiTheme="majorHAnsi"/>
          <w:sz w:val="24"/>
          <w:szCs w:val="24"/>
        </w:rPr>
      </w:pPr>
      <w:r w:rsidRPr="00617CFF">
        <w:rPr>
          <w:rFonts w:asciiTheme="majorHAnsi" w:hAnsiTheme="majorHAnsi" w:cs="Times New Roman"/>
          <w:color w:val="000000"/>
          <w:sz w:val="24"/>
          <w:szCs w:val="24"/>
        </w:rPr>
        <w:t xml:space="preserve">Cependant, dix (10) mesures correctives portant sur plusieurs sous exigences ont été recommandées. </w:t>
      </w:r>
      <w:r w:rsidR="00A25AC2" w:rsidRPr="00617CFF">
        <w:rPr>
          <w:rFonts w:asciiTheme="majorHAnsi" w:hAnsiTheme="majorHAnsi" w:cs="Times New Roman"/>
          <w:color w:val="000000"/>
          <w:sz w:val="24"/>
          <w:szCs w:val="24"/>
        </w:rPr>
        <w:t>Ainsi, u</w:t>
      </w:r>
      <w:r w:rsidR="004A3491" w:rsidRPr="00617CFF">
        <w:rPr>
          <w:rFonts w:asciiTheme="majorHAnsi" w:hAnsiTheme="majorHAnsi"/>
          <w:sz w:val="24"/>
          <w:szCs w:val="24"/>
        </w:rPr>
        <w:t>ne nouvelle validation de la Côte d’Ivoire est prévue à partir du 1</w:t>
      </w:r>
      <w:r w:rsidR="004A3491" w:rsidRPr="00617CFF">
        <w:rPr>
          <w:rFonts w:asciiTheme="majorHAnsi" w:hAnsiTheme="majorHAnsi"/>
          <w:sz w:val="24"/>
          <w:szCs w:val="24"/>
          <w:vertAlign w:val="superscript"/>
        </w:rPr>
        <w:t>er</w:t>
      </w:r>
      <w:r w:rsidR="004A3491" w:rsidRPr="00617CFF">
        <w:rPr>
          <w:rFonts w:asciiTheme="majorHAnsi" w:hAnsiTheme="majorHAnsi"/>
          <w:sz w:val="24"/>
          <w:szCs w:val="24"/>
        </w:rPr>
        <w:t xml:space="preserve"> avril 2022 sur la base de la Norme ITIE 2019, entrée en vigueur </w:t>
      </w:r>
      <w:r w:rsidR="001A350A" w:rsidRPr="00617CFF">
        <w:rPr>
          <w:rFonts w:asciiTheme="majorHAnsi" w:hAnsiTheme="majorHAnsi"/>
          <w:sz w:val="24"/>
          <w:szCs w:val="24"/>
        </w:rPr>
        <w:t>en février 2019.</w:t>
      </w:r>
      <w:r w:rsidR="004A3491" w:rsidRPr="00617CFF">
        <w:rPr>
          <w:rFonts w:asciiTheme="majorHAnsi" w:hAnsiTheme="majorHAnsi"/>
          <w:sz w:val="24"/>
          <w:szCs w:val="24"/>
        </w:rPr>
        <w:t xml:space="preserve"> </w:t>
      </w:r>
      <w:r w:rsidR="00A25AC2" w:rsidRPr="00617CFF">
        <w:rPr>
          <w:rFonts w:asciiTheme="majorHAnsi" w:hAnsiTheme="majorHAnsi"/>
          <w:sz w:val="24"/>
          <w:szCs w:val="24"/>
        </w:rPr>
        <w:t>Au cours de cette validation, l</w:t>
      </w:r>
      <w:r w:rsidR="003C7D36" w:rsidRPr="00617CFF">
        <w:rPr>
          <w:rFonts w:asciiTheme="majorHAnsi" w:hAnsiTheme="majorHAnsi"/>
          <w:sz w:val="24"/>
          <w:szCs w:val="24"/>
        </w:rPr>
        <w:t>e niveau de l</w:t>
      </w:r>
      <w:r w:rsidR="00A25AC2" w:rsidRPr="00617CFF">
        <w:rPr>
          <w:rFonts w:asciiTheme="majorHAnsi" w:hAnsiTheme="majorHAnsi"/>
          <w:sz w:val="24"/>
          <w:szCs w:val="24"/>
        </w:rPr>
        <w:t xml:space="preserve">a mise en œuvre des mesures correctives sera évaluée. </w:t>
      </w:r>
    </w:p>
    <w:p w14:paraId="0376247C" w14:textId="77B64E6C" w:rsidR="006F618F" w:rsidRPr="00617CFF" w:rsidRDefault="00773B4B" w:rsidP="003B324F">
      <w:pPr>
        <w:spacing w:before="120" w:after="120" w:line="240" w:lineRule="auto"/>
        <w:jc w:val="both"/>
        <w:rPr>
          <w:rFonts w:asciiTheme="majorHAnsi" w:hAnsiTheme="majorHAnsi" w:cs="Times New Roman"/>
          <w:color w:val="000000"/>
          <w:sz w:val="24"/>
          <w:szCs w:val="24"/>
        </w:rPr>
      </w:pPr>
      <w:r w:rsidRPr="00617CFF">
        <w:rPr>
          <w:rFonts w:asciiTheme="majorHAnsi" w:hAnsiTheme="majorHAnsi" w:cs="Corbel"/>
          <w:color w:val="000000"/>
          <w:sz w:val="24"/>
          <w:szCs w:val="24"/>
        </w:rPr>
        <w:t xml:space="preserve">Comme on </w:t>
      </w:r>
      <w:r w:rsidR="001A350A" w:rsidRPr="00617CFF">
        <w:rPr>
          <w:rFonts w:asciiTheme="majorHAnsi" w:hAnsiTheme="majorHAnsi" w:cs="Corbel"/>
          <w:color w:val="000000"/>
          <w:sz w:val="24"/>
          <w:szCs w:val="24"/>
        </w:rPr>
        <w:t xml:space="preserve">peut le </w:t>
      </w:r>
      <w:r w:rsidRPr="00617CFF">
        <w:rPr>
          <w:rFonts w:asciiTheme="majorHAnsi" w:hAnsiTheme="majorHAnsi" w:cs="Corbel"/>
          <w:color w:val="000000"/>
          <w:sz w:val="24"/>
          <w:szCs w:val="24"/>
        </w:rPr>
        <w:t>constate</w:t>
      </w:r>
      <w:r w:rsidR="00C72EBC" w:rsidRPr="00617CFF">
        <w:rPr>
          <w:rFonts w:asciiTheme="majorHAnsi" w:hAnsiTheme="majorHAnsi" w:cs="Corbel"/>
          <w:color w:val="000000"/>
          <w:sz w:val="24"/>
          <w:szCs w:val="24"/>
        </w:rPr>
        <w:t>r</w:t>
      </w:r>
      <w:r w:rsidR="001A350A" w:rsidRPr="00617CFF">
        <w:rPr>
          <w:rFonts w:asciiTheme="majorHAnsi" w:hAnsiTheme="majorHAnsi" w:cs="Corbel"/>
          <w:color w:val="000000"/>
          <w:sz w:val="24"/>
          <w:szCs w:val="24"/>
        </w:rPr>
        <w:t>, d</w:t>
      </w:r>
      <w:r w:rsidR="006F618F" w:rsidRPr="00617CFF">
        <w:rPr>
          <w:rFonts w:asciiTheme="majorHAnsi" w:hAnsiTheme="majorHAnsi" w:cs="Corbel"/>
          <w:color w:val="000000"/>
          <w:sz w:val="24"/>
          <w:szCs w:val="24"/>
        </w:rPr>
        <w:t xml:space="preserve">epuis 2003, la Norme </w:t>
      </w:r>
      <w:r w:rsidR="00C72EBC" w:rsidRPr="00617CFF">
        <w:rPr>
          <w:rFonts w:asciiTheme="majorHAnsi" w:hAnsiTheme="majorHAnsi" w:cs="Corbel"/>
          <w:color w:val="000000"/>
          <w:sz w:val="24"/>
          <w:szCs w:val="24"/>
        </w:rPr>
        <w:t xml:space="preserve">ITIE </w:t>
      </w:r>
      <w:r w:rsidR="006F618F" w:rsidRPr="00617CFF">
        <w:rPr>
          <w:rFonts w:asciiTheme="majorHAnsi" w:hAnsiTheme="majorHAnsi" w:cs="Corbel"/>
          <w:color w:val="000000"/>
          <w:sz w:val="24"/>
          <w:szCs w:val="24"/>
        </w:rPr>
        <w:t>a connu plusieurs aménagements successifs dont le dernier est intervenu en 2019. Ces aménagements ont introduit d’importantes modifications et ori</w:t>
      </w:r>
      <w:r w:rsidR="001A350A" w:rsidRPr="00617CFF">
        <w:rPr>
          <w:rFonts w:asciiTheme="majorHAnsi" w:hAnsiTheme="majorHAnsi" w:cs="Corbel"/>
          <w:color w:val="000000"/>
          <w:sz w:val="24"/>
          <w:szCs w:val="24"/>
        </w:rPr>
        <w:t>entations dans la Norme ITIE qu’</w:t>
      </w:r>
      <w:r w:rsidR="006F618F" w:rsidRPr="00617CFF">
        <w:rPr>
          <w:rFonts w:asciiTheme="majorHAnsi" w:hAnsiTheme="majorHAnsi" w:cs="Corbel"/>
          <w:color w:val="000000"/>
          <w:sz w:val="24"/>
          <w:szCs w:val="24"/>
        </w:rPr>
        <w:t xml:space="preserve">il est nécessaire de </w:t>
      </w:r>
      <w:r w:rsidR="001A350A" w:rsidRPr="00617CFF">
        <w:rPr>
          <w:rFonts w:asciiTheme="majorHAnsi" w:hAnsiTheme="majorHAnsi" w:cs="Corbel"/>
          <w:color w:val="000000"/>
          <w:sz w:val="24"/>
          <w:szCs w:val="24"/>
        </w:rPr>
        <w:t>prendre en compte dans les plans d’actions</w:t>
      </w:r>
      <w:r w:rsidR="00C72EBC" w:rsidRPr="00617CFF">
        <w:rPr>
          <w:rFonts w:asciiTheme="majorHAnsi" w:hAnsiTheme="majorHAnsi" w:cs="Corbel"/>
          <w:color w:val="000000"/>
          <w:sz w:val="24"/>
          <w:szCs w:val="24"/>
        </w:rPr>
        <w:t xml:space="preserve"> annuels</w:t>
      </w:r>
      <w:r w:rsidR="001A350A" w:rsidRPr="00617CFF">
        <w:rPr>
          <w:rFonts w:asciiTheme="majorHAnsi" w:hAnsiTheme="majorHAnsi" w:cs="Corbel"/>
          <w:color w:val="000000"/>
          <w:sz w:val="24"/>
          <w:szCs w:val="24"/>
        </w:rPr>
        <w:t xml:space="preserve">. </w:t>
      </w:r>
    </w:p>
    <w:p w14:paraId="78D05CD2" w14:textId="5BB21743" w:rsidR="00A25AC2" w:rsidRPr="00617CFF" w:rsidRDefault="00A25AC2" w:rsidP="00617CFF">
      <w:pPr>
        <w:widowControl w:val="0"/>
        <w:shd w:val="clear" w:color="auto" w:fill="FFFFFF"/>
        <w:suppressAutoHyphens/>
        <w:autoSpaceDE w:val="0"/>
        <w:autoSpaceDN w:val="0"/>
        <w:adjustRightInd w:val="0"/>
        <w:spacing w:before="120" w:after="120" w:line="240" w:lineRule="auto"/>
        <w:jc w:val="both"/>
        <w:rPr>
          <w:rFonts w:asciiTheme="majorHAnsi" w:hAnsiTheme="majorHAnsi" w:cs="Corbel"/>
          <w:color w:val="000000"/>
          <w:sz w:val="24"/>
          <w:szCs w:val="24"/>
        </w:rPr>
      </w:pPr>
      <w:r w:rsidRPr="00617CFF">
        <w:rPr>
          <w:rFonts w:asciiTheme="majorHAnsi" w:hAnsiTheme="majorHAnsi" w:cs="Corbel"/>
          <w:color w:val="000000"/>
          <w:sz w:val="24"/>
          <w:szCs w:val="24"/>
        </w:rPr>
        <w:t>Aussi, a</w:t>
      </w:r>
      <w:r w:rsidR="001A350A" w:rsidRPr="00617CFF">
        <w:rPr>
          <w:rFonts w:asciiTheme="majorHAnsi" w:hAnsiTheme="majorHAnsi" w:cs="Corbel"/>
          <w:color w:val="000000"/>
          <w:sz w:val="24"/>
          <w:szCs w:val="24"/>
        </w:rPr>
        <w:t xml:space="preserve">u cours de la même année </w:t>
      </w:r>
      <w:r w:rsidR="006F618F" w:rsidRPr="00617CFF">
        <w:rPr>
          <w:rFonts w:asciiTheme="majorHAnsi" w:hAnsiTheme="majorHAnsi" w:cs="Corbel"/>
          <w:color w:val="000000"/>
          <w:sz w:val="24"/>
          <w:szCs w:val="24"/>
        </w:rPr>
        <w:t>2019, plus de 70% des membres du</w:t>
      </w:r>
      <w:r w:rsidR="00547426" w:rsidRPr="00617CFF">
        <w:rPr>
          <w:rFonts w:asciiTheme="majorHAnsi" w:hAnsiTheme="majorHAnsi" w:cs="Corbel"/>
          <w:color w:val="000000"/>
          <w:sz w:val="24"/>
          <w:szCs w:val="24"/>
        </w:rPr>
        <w:t xml:space="preserve"> Conseil National de l’ITIE ont</w:t>
      </w:r>
      <w:r w:rsidRPr="00617CFF">
        <w:rPr>
          <w:rFonts w:asciiTheme="majorHAnsi" w:hAnsiTheme="majorHAnsi" w:cs="Corbel"/>
          <w:color w:val="000000"/>
          <w:sz w:val="24"/>
          <w:szCs w:val="24"/>
        </w:rPr>
        <w:t>-il</w:t>
      </w:r>
      <w:r w:rsidR="00C72EBC" w:rsidRPr="00617CFF">
        <w:rPr>
          <w:rFonts w:asciiTheme="majorHAnsi" w:hAnsiTheme="majorHAnsi" w:cs="Corbel"/>
          <w:color w:val="000000"/>
          <w:sz w:val="24"/>
          <w:szCs w:val="24"/>
        </w:rPr>
        <w:t>s</w:t>
      </w:r>
      <w:r w:rsidRPr="00617CFF">
        <w:rPr>
          <w:rFonts w:asciiTheme="majorHAnsi" w:hAnsiTheme="majorHAnsi" w:cs="Corbel"/>
          <w:color w:val="000000"/>
          <w:sz w:val="24"/>
          <w:szCs w:val="24"/>
        </w:rPr>
        <w:t xml:space="preserve"> </w:t>
      </w:r>
      <w:r w:rsidR="006F618F" w:rsidRPr="00617CFF">
        <w:rPr>
          <w:rFonts w:asciiTheme="majorHAnsi" w:hAnsiTheme="majorHAnsi" w:cs="Corbel"/>
          <w:color w:val="000000"/>
          <w:sz w:val="24"/>
          <w:szCs w:val="24"/>
        </w:rPr>
        <w:t>été renouvelés par l’arrêté interministériel n°0345/MEF/MMG/MPEER/SEPMBPE du 06 août 2019</w:t>
      </w:r>
      <w:r w:rsidR="00547426" w:rsidRPr="00617CFF">
        <w:rPr>
          <w:rFonts w:asciiTheme="majorHAnsi" w:hAnsiTheme="majorHAnsi" w:cs="Corbel"/>
          <w:color w:val="000000"/>
          <w:sz w:val="24"/>
          <w:szCs w:val="24"/>
        </w:rPr>
        <w:t xml:space="preserve"> (</w:t>
      </w:r>
      <w:hyperlink r:id="rId9" w:history="1">
        <w:r w:rsidR="00547426" w:rsidRPr="00617CFF">
          <w:rPr>
            <w:rStyle w:val="Lienhypertexte"/>
            <w:rFonts w:asciiTheme="majorHAnsi" w:hAnsiTheme="majorHAnsi" w:cs="Corbel"/>
            <w:sz w:val="24"/>
            <w:szCs w:val="24"/>
          </w:rPr>
          <w:t>http://www.cn-itie.ci/wp-content/uploads/2019/09/Arr%C3%AAt%C3%A9-du-CN-ITIE-2019.pdf</w:t>
        </w:r>
      </w:hyperlink>
      <w:r w:rsidR="00547426" w:rsidRPr="00617CFF">
        <w:rPr>
          <w:rFonts w:asciiTheme="majorHAnsi" w:hAnsiTheme="majorHAnsi" w:cs="Corbel"/>
          <w:color w:val="000000"/>
          <w:sz w:val="24"/>
          <w:szCs w:val="24"/>
        </w:rPr>
        <w:t>).</w:t>
      </w:r>
      <w:r w:rsidR="006F618F" w:rsidRPr="00617CFF">
        <w:rPr>
          <w:rFonts w:asciiTheme="majorHAnsi" w:hAnsiTheme="majorHAnsi" w:cs="Corbel"/>
          <w:color w:val="000000"/>
          <w:sz w:val="24"/>
          <w:szCs w:val="24"/>
        </w:rPr>
        <w:t xml:space="preserve"> Au regard de ces aménagements, il est apparu opportun de procéder au renforcement des capacités des parties prenantes</w:t>
      </w:r>
      <w:r w:rsidR="001A350A" w:rsidRPr="00617CFF">
        <w:rPr>
          <w:rFonts w:asciiTheme="majorHAnsi" w:hAnsiTheme="majorHAnsi" w:cs="Corbel"/>
          <w:color w:val="000000"/>
          <w:sz w:val="24"/>
          <w:szCs w:val="24"/>
        </w:rPr>
        <w:t xml:space="preserve"> afin de leur permettre</w:t>
      </w:r>
      <w:r w:rsidR="00C72EBC" w:rsidRPr="00617CFF">
        <w:rPr>
          <w:rFonts w:asciiTheme="majorHAnsi" w:hAnsiTheme="majorHAnsi" w:cs="Corbel"/>
          <w:color w:val="000000"/>
          <w:sz w:val="24"/>
          <w:szCs w:val="24"/>
        </w:rPr>
        <w:t xml:space="preserve"> de participer efficacement à</w:t>
      </w:r>
      <w:r w:rsidR="001A350A" w:rsidRPr="00617CFF">
        <w:rPr>
          <w:rFonts w:asciiTheme="majorHAnsi" w:hAnsiTheme="majorHAnsi" w:cs="Corbel"/>
          <w:color w:val="000000"/>
          <w:sz w:val="24"/>
          <w:szCs w:val="24"/>
        </w:rPr>
        <w:t xml:space="preserve"> </w:t>
      </w:r>
      <w:r w:rsidRPr="00617CFF">
        <w:rPr>
          <w:rFonts w:asciiTheme="majorHAnsi" w:hAnsiTheme="majorHAnsi" w:cs="Corbel"/>
          <w:color w:val="000000"/>
          <w:sz w:val="24"/>
          <w:szCs w:val="24"/>
        </w:rPr>
        <w:t>la mise en œu</w:t>
      </w:r>
      <w:r w:rsidR="00C72EBC" w:rsidRPr="00617CFF">
        <w:rPr>
          <w:rFonts w:asciiTheme="majorHAnsi" w:hAnsiTheme="majorHAnsi" w:cs="Corbel"/>
          <w:color w:val="000000"/>
          <w:sz w:val="24"/>
          <w:szCs w:val="24"/>
        </w:rPr>
        <w:t>vre de l’ITIE en général et à</w:t>
      </w:r>
      <w:r w:rsidRPr="00617CFF">
        <w:rPr>
          <w:rFonts w:asciiTheme="majorHAnsi" w:hAnsiTheme="majorHAnsi" w:cs="Corbel"/>
          <w:color w:val="000000"/>
          <w:sz w:val="24"/>
          <w:szCs w:val="24"/>
        </w:rPr>
        <w:t xml:space="preserve"> </w:t>
      </w:r>
      <w:r w:rsidR="001A350A" w:rsidRPr="00617CFF">
        <w:rPr>
          <w:rFonts w:asciiTheme="majorHAnsi" w:hAnsiTheme="majorHAnsi" w:cs="Corbel"/>
          <w:color w:val="000000"/>
          <w:sz w:val="24"/>
          <w:szCs w:val="24"/>
        </w:rPr>
        <w:t>l’élaboration du plan de travail 2021-2023</w:t>
      </w:r>
      <w:r w:rsidRPr="00617CFF">
        <w:rPr>
          <w:rFonts w:asciiTheme="majorHAnsi" w:hAnsiTheme="majorHAnsi" w:cs="Corbel"/>
          <w:color w:val="000000"/>
          <w:sz w:val="24"/>
          <w:szCs w:val="24"/>
        </w:rPr>
        <w:t xml:space="preserve"> en particulier</w:t>
      </w:r>
      <w:r w:rsidR="001A350A" w:rsidRPr="00617CFF">
        <w:rPr>
          <w:rFonts w:asciiTheme="majorHAnsi" w:hAnsiTheme="majorHAnsi" w:cs="Corbel"/>
          <w:color w:val="000000"/>
          <w:sz w:val="24"/>
          <w:szCs w:val="24"/>
        </w:rPr>
        <w:t xml:space="preserve">.  </w:t>
      </w:r>
    </w:p>
    <w:p w14:paraId="646ACA89" w14:textId="0FC693C1" w:rsidR="006F618F" w:rsidRPr="00617CFF" w:rsidRDefault="006F618F" w:rsidP="00617CFF">
      <w:pPr>
        <w:widowControl w:val="0"/>
        <w:shd w:val="clear" w:color="auto" w:fill="FFFFFF"/>
        <w:suppressAutoHyphens/>
        <w:autoSpaceDE w:val="0"/>
        <w:autoSpaceDN w:val="0"/>
        <w:adjustRightInd w:val="0"/>
        <w:spacing w:before="120" w:after="120" w:line="240" w:lineRule="auto"/>
        <w:jc w:val="both"/>
        <w:rPr>
          <w:rFonts w:asciiTheme="majorHAnsi" w:hAnsiTheme="majorHAnsi" w:cs="Corbel"/>
          <w:color w:val="000000"/>
          <w:sz w:val="24"/>
          <w:szCs w:val="24"/>
        </w:rPr>
      </w:pPr>
      <w:r w:rsidRPr="00617CFF">
        <w:rPr>
          <w:rFonts w:asciiTheme="majorHAnsi" w:hAnsiTheme="majorHAnsi" w:cs="Corbel"/>
          <w:color w:val="000000"/>
          <w:sz w:val="24"/>
          <w:szCs w:val="24"/>
        </w:rPr>
        <w:t>Ainsi, le Conseil National ITIE a organisé du 23 au 27 mars 2020, à N’Sa</w:t>
      </w:r>
      <w:r w:rsidR="00547426" w:rsidRPr="00617CFF">
        <w:rPr>
          <w:rFonts w:asciiTheme="majorHAnsi" w:hAnsiTheme="majorHAnsi" w:cs="Corbel"/>
          <w:color w:val="000000"/>
          <w:sz w:val="24"/>
          <w:szCs w:val="24"/>
        </w:rPr>
        <w:t>h H</w:t>
      </w:r>
      <w:r w:rsidRPr="00617CFF">
        <w:rPr>
          <w:rFonts w:asciiTheme="majorHAnsi" w:hAnsiTheme="majorHAnsi" w:cs="Corbel"/>
          <w:color w:val="000000"/>
          <w:sz w:val="24"/>
          <w:szCs w:val="24"/>
        </w:rPr>
        <w:t xml:space="preserve">ôtel de Grand Bassam, un atelier de renforcement de capacités des </w:t>
      </w:r>
      <w:r w:rsidR="00C72EBC" w:rsidRPr="00617CFF">
        <w:rPr>
          <w:rFonts w:asciiTheme="majorHAnsi" w:hAnsiTheme="majorHAnsi" w:cs="Corbel"/>
          <w:color w:val="000000"/>
          <w:sz w:val="24"/>
          <w:szCs w:val="24"/>
        </w:rPr>
        <w:t xml:space="preserve">membres du CN-ITIE et des </w:t>
      </w:r>
      <w:r w:rsidRPr="00617CFF">
        <w:rPr>
          <w:rFonts w:asciiTheme="majorHAnsi" w:hAnsiTheme="majorHAnsi" w:cs="Corbel"/>
          <w:color w:val="000000"/>
          <w:sz w:val="24"/>
          <w:szCs w:val="24"/>
        </w:rPr>
        <w:t xml:space="preserve">parties prenantes </w:t>
      </w:r>
      <w:r w:rsidR="001A350A" w:rsidRPr="00617CFF">
        <w:rPr>
          <w:rFonts w:asciiTheme="majorHAnsi" w:hAnsiTheme="majorHAnsi" w:cs="Corbel"/>
          <w:color w:val="000000"/>
          <w:sz w:val="24"/>
          <w:szCs w:val="24"/>
        </w:rPr>
        <w:t>sur la norme 2019, les nouvelles orientations</w:t>
      </w:r>
      <w:r w:rsidR="00547426" w:rsidRPr="00617CFF">
        <w:rPr>
          <w:rFonts w:asciiTheme="majorHAnsi" w:hAnsiTheme="majorHAnsi" w:cs="Corbel"/>
          <w:color w:val="000000"/>
          <w:sz w:val="24"/>
          <w:szCs w:val="24"/>
        </w:rPr>
        <w:t xml:space="preserve"> de l’ITIE</w:t>
      </w:r>
      <w:r w:rsidR="001A350A" w:rsidRPr="00617CFF">
        <w:rPr>
          <w:rFonts w:asciiTheme="majorHAnsi" w:hAnsiTheme="majorHAnsi" w:cs="Corbel"/>
          <w:color w:val="000000"/>
          <w:sz w:val="24"/>
          <w:szCs w:val="24"/>
        </w:rPr>
        <w:t xml:space="preserve"> et surtout sur les défis et </w:t>
      </w:r>
      <w:r w:rsidR="00A25AC2" w:rsidRPr="00617CFF">
        <w:rPr>
          <w:rFonts w:asciiTheme="majorHAnsi" w:hAnsiTheme="majorHAnsi" w:cs="Corbel"/>
          <w:color w:val="000000"/>
          <w:sz w:val="24"/>
          <w:szCs w:val="24"/>
        </w:rPr>
        <w:t>recommandations</w:t>
      </w:r>
      <w:r w:rsidR="001A350A" w:rsidRPr="00617CFF">
        <w:rPr>
          <w:rFonts w:asciiTheme="majorHAnsi" w:hAnsiTheme="majorHAnsi" w:cs="Corbel"/>
          <w:color w:val="000000"/>
          <w:sz w:val="24"/>
          <w:szCs w:val="24"/>
        </w:rPr>
        <w:t xml:space="preserve"> nécessaire</w:t>
      </w:r>
      <w:r w:rsidR="00A25AC2" w:rsidRPr="00617CFF">
        <w:rPr>
          <w:rFonts w:asciiTheme="majorHAnsi" w:hAnsiTheme="majorHAnsi" w:cs="Corbel"/>
          <w:color w:val="000000"/>
          <w:sz w:val="24"/>
          <w:szCs w:val="24"/>
        </w:rPr>
        <w:t>s</w:t>
      </w:r>
      <w:r w:rsidR="001A350A" w:rsidRPr="00617CFF">
        <w:rPr>
          <w:rFonts w:asciiTheme="majorHAnsi" w:hAnsiTheme="majorHAnsi" w:cs="Corbel"/>
          <w:color w:val="000000"/>
          <w:sz w:val="24"/>
          <w:szCs w:val="24"/>
        </w:rPr>
        <w:t xml:space="preserve"> à l’élaboration </w:t>
      </w:r>
      <w:r w:rsidRPr="00617CFF">
        <w:rPr>
          <w:rFonts w:asciiTheme="majorHAnsi" w:hAnsiTheme="majorHAnsi" w:cs="Corbel"/>
          <w:color w:val="000000"/>
          <w:sz w:val="24"/>
          <w:szCs w:val="24"/>
        </w:rPr>
        <w:t>du</w:t>
      </w:r>
      <w:r w:rsidR="001A350A" w:rsidRPr="00617CFF">
        <w:rPr>
          <w:rFonts w:asciiTheme="majorHAnsi" w:hAnsiTheme="majorHAnsi" w:cs="Corbel"/>
          <w:color w:val="000000"/>
          <w:sz w:val="24"/>
          <w:szCs w:val="24"/>
        </w:rPr>
        <w:t xml:space="preserve"> projet de plan de travail 2021-2023. </w:t>
      </w:r>
    </w:p>
    <w:p w14:paraId="214D5778" w14:textId="6A298164" w:rsidR="00105119" w:rsidRPr="00617CFF" w:rsidRDefault="001A350A" w:rsidP="008B4FDF">
      <w:pPr>
        <w:widowControl w:val="0"/>
        <w:shd w:val="clear" w:color="auto" w:fill="FFFFFF"/>
        <w:suppressAutoHyphens/>
        <w:autoSpaceDE w:val="0"/>
        <w:autoSpaceDN w:val="0"/>
        <w:adjustRightInd w:val="0"/>
        <w:spacing w:before="120" w:after="120" w:line="240" w:lineRule="auto"/>
        <w:jc w:val="both"/>
        <w:rPr>
          <w:rFonts w:asciiTheme="majorHAnsi" w:hAnsiTheme="majorHAnsi" w:cs="Corbel"/>
          <w:sz w:val="24"/>
          <w:szCs w:val="24"/>
        </w:rPr>
      </w:pPr>
      <w:r w:rsidRPr="00617CFF">
        <w:rPr>
          <w:rFonts w:asciiTheme="majorHAnsi" w:hAnsiTheme="majorHAnsi" w:cs="Corbel"/>
          <w:color w:val="000000"/>
          <w:sz w:val="24"/>
          <w:szCs w:val="24"/>
        </w:rPr>
        <w:t xml:space="preserve">Au cours de cet atelier, les parties prenantes </w:t>
      </w:r>
      <w:r w:rsidR="00547426" w:rsidRPr="00617CFF">
        <w:rPr>
          <w:rFonts w:asciiTheme="majorHAnsi" w:hAnsiTheme="majorHAnsi" w:cs="Corbel"/>
          <w:color w:val="000000"/>
          <w:sz w:val="24"/>
          <w:szCs w:val="24"/>
        </w:rPr>
        <w:t>(m</w:t>
      </w:r>
      <w:r w:rsidR="00ED39F3" w:rsidRPr="00617CFF">
        <w:rPr>
          <w:rFonts w:asciiTheme="majorHAnsi" w:hAnsiTheme="majorHAnsi" w:cs="Corbel"/>
          <w:color w:val="000000"/>
          <w:sz w:val="24"/>
          <w:szCs w:val="24"/>
        </w:rPr>
        <w:t xml:space="preserve">embres du CN-ITIE et non membres du CN-ITIE) </w:t>
      </w:r>
      <w:r w:rsidRPr="00617CFF">
        <w:rPr>
          <w:rFonts w:asciiTheme="majorHAnsi" w:hAnsiTheme="majorHAnsi" w:cs="Corbel"/>
          <w:color w:val="000000"/>
          <w:sz w:val="24"/>
          <w:szCs w:val="24"/>
        </w:rPr>
        <w:t xml:space="preserve">ont </w:t>
      </w:r>
      <w:r w:rsidR="00ED39F3" w:rsidRPr="00617CFF">
        <w:rPr>
          <w:rFonts w:asciiTheme="majorHAnsi" w:hAnsiTheme="majorHAnsi" w:cs="Corbel"/>
          <w:color w:val="000000"/>
          <w:sz w:val="24"/>
          <w:szCs w:val="24"/>
        </w:rPr>
        <w:t>échangé</w:t>
      </w:r>
      <w:r w:rsidR="006F618F" w:rsidRPr="00617CFF">
        <w:rPr>
          <w:rFonts w:asciiTheme="majorHAnsi" w:hAnsiTheme="majorHAnsi" w:cs="Corbel"/>
          <w:color w:val="000000"/>
          <w:sz w:val="24"/>
          <w:szCs w:val="24"/>
        </w:rPr>
        <w:t xml:space="preserve"> sur les défis et enjeux de la prochaine validation prévue en Avril 2022</w:t>
      </w:r>
      <w:r w:rsidR="00ED39F3" w:rsidRPr="00617CFF">
        <w:rPr>
          <w:rFonts w:asciiTheme="majorHAnsi" w:hAnsiTheme="majorHAnsi" w:cs="Corbel"/>
          <w:color w:val="000000"/>
          <w:sz w:val="24"/>
          <w:szCs w:val="24"/>
        </w:rPr>
        <w:t>. A cette occasion, le</w:t>
      </w:r>
      <w:r w:rsidR="006F618F" w:rsidRPr="00617CFF">
        <w:rPr>
          <w:rFonts w:asciiTheme="majorHAnsi" w:hAnsiTheme="majorHAnsi" w:cs="Corbel"/>
          <w:sz w:val="24"/>
          <w:szCs w:val="24"/>
        </w:rPr>
        <w:t xml:space="preserve">s recommandations </w:t>
      </w:r>
      <w:r w:rsidR="00ED39F3" w:rsidRPr="00617CFF">
        <w:rPr>
          <w:rFonts w:asciiTheme="majorHAnsi" w:hAnsiTheme="majorHAnsi" w:cs="Corbel"/>
          <w:sz w:val="24"/>
          <w:szCs w:val="24"/>
        </w:rPr>
        <w:t>du rapport de va</w:t>
      </w:r>
      <w:r w:rsidR="00547426" w:rsidRPr="00617CFF">
        <w:rPr>
          <w:rFonts w:asciiTheme="majorHAnsi" w:hAnsiTheme="majorHAnsi" w:cs="Corbel"/>
          <w:sz w:val="24"/>
          <w:szCs w:val="24"/>
        </w:rPr>
        <w:t>lidation 2020 et celles relatives au</w:t>
      </w:r>
      <w:r w:rsidR="006F618F" w:rsidRPr="00617CFF">
        <w:rPr>
          <w:rFonts w:asciiTheme="majorHAnsi" w:hAnsiTheme="majorHAnsi" w:cs="Corbel"/>
          <w:sz w:val="24"/>
          <w:szCs w:val="24"/>
        </w:rPr>
        <w:t xml:space="preserve"> rapport </w:t>
      </w:r>
      <w:r w:rsidR="00547426" w:rsidRPr="00617CFF">
        <w:rPr>
          <w:rFonts w:asciiTheme="majorHAnsi" w:hAnsiTheme="majorHAnsi" w:cs="Corbel"/>
          <w:sz w:val="24"/>
          <w:szCs w:val="24"/>
        </w:rPr>
        <w:t xml:space="preserve">de conciliation </w:t>
      </w:r>
      <w:r w:rsidR="006F618F" w:rsidRPr="00617CFF">
        <w:rPr>
          <w:rFonts w:asciiTheme="majorHAnsi" w:hAnsiTheme="majorHAnsi" w:cs="Corbel"/>
          <w:sz w:val="24"/>
          <w:szCs w:val="24"/>
        </w:rPr>
        <w:t>ITIE 2018 </w:t>
      </w:r>
      <w:r w:rsidR="00ED39F3" w:rsidRPr="00617CFF">
        <w:rPr>
          <w:rFonts w:asciiTheme="majorHAnsi" w:hAnsiTheme="majorHAnsi" w:cs="Corbel"/>
          <w:sz w:val="24"/>
          <w:szCs w:val="24"/>
        </w:rPr>
        <w:t>ont fait l’obj</w:t>
      </w:r>
      <w:r w:rsidR="00C72EBC" w:rsidRPr="00617CFF">
        <w:rPr>
          <w:rFonts w:asciiTheme="majorHAnsi" w:hAnsiTheme="majorHAnsi" w:cs="Corbel"/>
          <w:sz w:val="24"/>
          <w:szCs w:val="24"/>
        </w:rPr>
        <w:t>et de discussion afin d’identifier</w:t>
      </w:r>
      <w:r w:rsidR="00ED39F3" w:rsidRPr="00617CFF">
        <w:rPr>
          <w:rFonts w:asciiTheme="majorHAnsi" w:hAnsiTheme="majorHAnsi" w:cs="Corbel"/>
          <w:sz w:val="24"/>
          <w:szCs w:val="24"/>
        </w:rPr>
        <w:t xml:space="preserve"> l</w:t>
      </w:r>
      <w:r w:rsidR="006F618F" w:rsidRPr="00617CFF">
        <w:rPr>
          <w:rFonts w:asciiTheme="majorHAnsi" w:hAnsiTheme="majorHAnsi" w:cs="Corbel"/>
          <w:sz w:val="24"/>
          <w:szCs w:val="24"/>
        </w:rPr>
        <w:t>es action</w:t>
      </w:r>
      <w:r w:rsidR="00547426" w:rsidRPr="00617CFF">
        <w:rPr>
          <w:rFonts w:asciiTheme="majorHAnsi" w:hAnsiTheme="majorHAnsi" w:cs="Corbel"/>
          <w:sz w:val="24"/>
          <w:szCs w:val="24"/>
        </w:rPr>
        <w:t>s et activités nécessaires à la mise en œuvre desdites recommandations</w:t>
      </w:r>
      <w:r w:rsidR="00C72EBC" w:rsidRPr="00617CFF">
        <w:rPr>
          <w:rFonts w:asciiTheme="majorHAnsi" w:hAnsiTheme="majorHAnsi" w:cs="Corbel"/>
          <w:sz w:val="24"/>
          <w:szCs w:val="24"/>
        </w:rPr>
        <w:t>.</w:t>
      </w:r>
      <w:r w:rsidR="00B30989" w:rsidRPr="00617CFF">
        <w:rPr>
          <w:rFonts w:asciiTheme="majorHAnsi" w:hAnsiTheme="majorHAnsi" w:cs="Corbel"/>
          <w:sz w:val="24"/>
          <w:szCs w:val="24"/>
        </w:rPr>
        <w:t xml:space="preserve"> Le rapport d’avancement et de l’étude d’impact réalisé </w:t>
      </w:r>
      <w:r w:rsidR="00C72EBC" w:rsidRPr="00617CFF">
        <w:rPr>
          <w:rFonts w:asciiTheme="majorHAnsi" w:hAnsiTheme="majorHAnsi" w:cs="Corbel"/>
          <w:sz w:val="24"/>
          <w:szCs w:val="24"/>
        </w:rPr>
        <w:t xml:space="preserve">avec l’appui </w:t>
      </w:r>
      <w:r w:rsidR="00547426" w:rsidRPr="00617CFF">
        <w:rPr>
          <w:rFonts w:asciiTheme="majorHAnsi" w:hAnsiTheme="majorHAnsi" w:cs="Corbel"/>
          <w:sz w:val="24"/>
          <w:szCs w:val="24"/>
        </w:rPr>
        <w:t xml:space="preserve">financier et technique </w:t>
      </w:r>
      <w:r w:rsidR="00C72EBC" w:rsidRPr="00617CFF">
        <w:rPr>
          <w:rFonts w:asciiTheme="majorHAnsi" w:hAnsiTheme="majorHAnsi" w:cs="Corbel"/>
          <w:sz w:val="24"/>
          <w:szCs w:val="24"/>
        </w:rPr>
        <w:t xml:space="preserve">du CN-ITIE </w:t>
      </w:r>
      <w:r w:rsidR="00B30989" w:rsidRPr="00617CFF">
        <w:rPr>
          <w:rFonts w:asciiTheme="majorHAnsi" w:hAnsiTheme="majorHAnsi" w:cs="Corbel"/>
          <w:sz w:val="24"/>
          <w:szCs w:val="24"/>
        </w:rPr>
        <w:t xml:space="preserve">par </w:t>
      </w:r>
      <w:r w:rsidR="007D4AED" w:rsidRPr="00617CFF">
        <w:rPr>
          <w:rFonts w:asciiTheme="majorHAnsi" w:hAnsiTheme="majorHAnsi" w:cs="Corbel"/>
          <w:sz w:val="24"/>
          <w:szCs w:val="24"/>
        </w:rPr>
        <w:t xml:space="preserve">l’ONG </w:t>
      </w:r>
      <w:r w:rsidR="00547426" w:rsidRPr="00617CFF">
        <w:rPr>
          <w:rFonts w:asciiTheme="majorHAnsi" w:hAnsiTheme="majorHAnsi" w:cs="Corbel"/>
          <w:sz w:val="24"/>
          <w:szCs w:val="24"/>
        </w:rPr>
        <w:t>Publiez Ce Que Vous Payez –Côte d’Ivoire (un membre du</w:t>
      </w:r>
      <w:r w:rsidR="00B30989" w:rsidRPr="00617CFF">
        <w:rPr>
          <w:rFonts w:asciiTheme="majorHAnsi" w:hAnsiTheme="majorHAnsi" w:cs="Corbel"/>
          <w:sz w:val="24"/>
          <w:szCs w:val="24"/>
        </w:rPr>
        <w:t xml:space="preserve"> sous collège </w:t>
      </w:r>
      <w:r w:rsidR="007D4AED" w:rsidRPr="00617CFF">
        <w:rPr>
          <w:rFonts w:asciiTheme="majorHAnsi" w:hAnsiTheme="majorHAnsi" w:cs="Corbel"/>
          <w:sz w:val="24"/>
          <w:szCs w:val="24"/>
        </w:rPr>
        <w:t>de la société civile), à</w:t>
      </w:r>
      <w:r w:rsidR="00B30989" w:rsidRPr="00617CFF">
        <w:rPr>
          <w:rFonts w:asciiTheme="majorHAnsi" w:hAnsiTheme="majorHAnsi" w:cs="Corbel"/>
          <w:sz w:val="24"/>
          <w:szCs w:val="24"/>
        </w:rPr>
        <w:t xml:space="preserve"> la suite d’une large consultation des communautés de base et des autres parties prenantes</w:t>
      </w:r>
      <w:r w:rsidR="007D4AED" w:rsidRPr="00617CFF">
        <w:rPr>
          <w:rFonts w:asciiTheme="majorHAnsi" w:hAnsiTheme="majorHAnsi" w:cs="Corbel"/>
          <w:sz w:val="24"/>
          <w:szCs w:val="24"/>
        </w:rPr>
        <w:t>,</w:t>
      </w:r>
      <w:r w:rsidR="00B30989" w:rsidRPr="00617CFF">
        <w:rPr>
          <w:rFonts w:asciiTheme="majorHAnsi" w:hAnsiTheme="majorHAnsi" w:cs="Corbel"/>
          <w:sz w:val="24"/>
          <w:szCs w:val="24"/>
        </w:rPr>
        <w:t xml:space="preserve"> a fait l’objet d’une large discussion. Le nouveau mo</w:t>
      </w:r>
      <w:r w:rsidR="006F618F" w:rsidRPr="00617CFF">
        <w:rPr>
          <w:rFonts w:asciiTheme="majorHAnsi" w:hAnsiTheme="majorHAnsi" w:cs="Corbel"/>
          <w:sz w:val="24"/>
          <w:szCs w:val="24"/>
        </w:rPr>
        <w:t xml:space="preserve">dèle de validation </w:t>
      </w:r>
      <w:r w:rsidR="00B30989" w:rsidRPr="00617CFF">
        <w:rPr>
          <w:rFonts w:asciiTheme="majorHAnsi" w:hAnsiTheme="majorHAnsi" w:cs="Corbel"/>
          <w:sz w:val="24"/>
          <w:szCs w:val="24"/>
        </w:rPr>
        <w:t xml:space="preserve">ainsi que les </w:t>
      </w:r>
      <w:r w:rsidR="006F618F" w:rsidRPr="00617CFF">
        <w:rPr>
          <w:rFonts w:asciiTheme="majorHAnsi" w:hAnsiTheme="majorHAnsi" w:cs="Corbel"/>
          <w:sz w:val="24"/>
          <w:szCs w:val="24"/>
        </w:rPr>
        <w:t>priorités nationales actuelles en terme de développement de façon générale et du développement du secteur des industries</w:t>
      </w:r>
      <w:r w:rsidR="006F618F" w:rsidRPr="00617CFF">
        <w:rPr>
          <w:rFonts w:asciiTheme="majorHAnsi" w:hAnsiTheme="majorHAnsi" w:cs="Corbel"/>
          <w:color w:val="000000"/>
          <w:sz w:val="24"/>
          <w:szCs w:val="24"/>
        </w:rPr>
        <w:t xml:space="preserve"> </w:t>
      </w:r>
      <w:r w:rsidR="006F618F" w:rsidRPr="00617CFF">
        <w:rPr>
          <w:rFonts w:asciiTheme="majorHAnsi" w:hAnsiTheme="majorHAnsi" w:cs="Corbel"/>
          <w:sz w:val="24"/>
          <w:szCs w:val="24"/>
        </w:rPr>
        <w:t>extractives de façon spécifique</w:t>
      </w:r>
      <w:r w:rsidR="0065779A" w:rsidRPr="00617CFF">
        <w:rPr>
          <w:rFonts w:asciiTheme="majorHAnsi" w:hAnsiTheme="majorHAnsi" w:cs="Corbel"/>
          <w:sz w:val="24"/>
          <w:szCs w:val="24"/>
        </w:rPr>
        <w:t xml:space="preserve"> </w:t>
      </w:r>
      <w:r w:rsidR="00B30989" w:rsidRPr="00617CFF">
        <w:rPr>
          <w:rFonts w:asciiTheme="majorHAnsi" w:hAnsiTheme="majorHAnsi" w:cs="Corbel"/>
          <w:sz w:val="24"/>
          <w:szCs w:val="24"/>
        </w:rPr>
        <w:t xml:space="preserve">ont fait l’objet de présentation et de discussion pour une prise en </w:t>
      </w:r>
      <w:r w:rsidR="006F618F" w:rsidRPr="00617CFF">
        <w:rPr>
          <w:rFonts w:asciiTheme="majorHAnsi" w:hAnsiTheme="majorHAnsi" w:cs="Corbel"/>
          <w:sz w:val="24"/>
          <w:szCs w:val="24"/>
        </w:rPr>
        <w:t xml:space="preserve">compte </w:t>
      </w:r>
      <w:r w:rsidR="00B30989" w:rsidRPr="00617CFF">
        <w:rPr>
          <w:rFonts w:asciiTheme="majorHAnsi" w:hAnsiTheme="majorHAnsi" w:cs="Corbel"/>
          <w:sz w:val="24"/>
          <w:szCs w:val="24"/>
        </w:rPr>
        <w:t xml:space="preserve">dans </w:t>
      </w:r>
      <w:r w:rsidR="006F618F" w:rsidRPr="00617CFF">
        <w:rPr>
          <w:rFonts w:asciiTheme="majorHAnsi" w:hAnsiTheme="majorHAnsi" w:cs="Corbel"/>
          <w:sz w:val="24"/>
          <w:szCs w:val="24"/>
        </w:rPr>
        <w:t xml:space="preserve">les priorités nationales </w:t>
      </w:r>
      <w:r w:rsidR="0065779A" w:rsidRPr="00617CFF">
        <w:rPr>
          <w:rFonts w:asciiTheme="majorHAnsi" w:hAnsiTheme="majorHAnsi" w:cs="Corbel"/>
          <w:sz w:val="24"/>
          <w:szCs w:val="24"/>
        </w:rPr>
        <w:t xml:space="preserve">et pour la définition des </w:t>
      </w:r>
      <w:r w:rsidR="006F618F" w:rsidRPr="00617CFF">
        <w:rPr>
          <w:rFonts w:asciiTheme="majorHAnsi" w:hAnsiTheme="majorHAnsi" w:cs="Corbel"/>
          <w:sz w:val="24"/>
          <w:szCs w:val="24"/>
        </w:rPr>
        <w:t>objectifs du plan de travail ITIE 2021</w:t>
      </w:r>
      <w:r w:rsidR="0065779A" w:rsidRPr="00617CFF">
        <w:rPr>
          <w:rFonts w:asciiTheme="majorHAnsi" w:hAnsiTheme="majorHAnsi" w:cs="Corbel"/>
          <w:sz w:val="24"/>
          <w:szCs w:val="24"/>
        </w:rPr>
        <w:t xml:space="preserve">-2023. </w:t>
      </w:r>
    </w:p>
    <w:p w14:paraId="3CDE27C9" w14:textId="5744F151" w:rsidR="007943A2" w:rsidRPr="00617CFF" w:rsidRDefault="00F84298" w:rsidP="008B4FDF">
      <w:pPr>
        <w:spacing w:before="120" w:after="120" w:line="240" w:lineRule="auto"/>
        <w:jc w:val="both"/>
        <w:rPr>
          <w:rFonts w:asciiTheme="majorHAnsi" w:hAnsiTheme="majorHAnsi"/>
          <w:sz w:val="24"/>
          <w:szCs w:val="24"/>
        </w:rPr>
      </w:pPr>
      <w:r w:rsidRPr="00617CFF">
        <w:rPr>
          <w:rFonts w:asciiTheme="majorHAnsi" w:hAnsiTheme="majorHAnsi"/>
          <w:sz w:val="24"/>
          <w:szCs w:val="24"/>
        </w:rPr>
        <w:lastRenderedPageBreak/>
        <w:t>En ce qui concerne l</w:t>
      </w:r>
      <w:r w:rsidR="00105119" w:rsidRPr="00617CFF">
        <w:rPr>
          <w:rFonts w:asciiTheme="majorHAnsi" w:hAnsiTheme="majorHAnsi"/>
          <w:sz w:val="24"/>
          <w:szCs w:val="24"/>
        </w:rPr>
        <w:t>e</w:t>
      </w:r>
      <w:r w:rsidR="00575BB7" w:rsidRPr="00617CFF">
        <w:rPr>
          <w:rFonts w:asciiTheme="majorHAnsi" w:hAnsiTheme="majorHAnsi"/>
          <w:sz w:val="24"/>
          <w:szCs w:val="24"/>
        </w:rPr>
        <w:t>s priorités nationales</w:t>
      </w:r>
      <w:r w:rsidR="007943A2" w:rsidRPr="00617CFF">
        <w:rPr>
          <w:rFonts w:asciiTheme="majorHAnsi" w:hAnsiTheme="majorHAnsi"/>
          <w:sz w:val="24"/>
          <w:szCs w:val="24"/>
        </w:rPr>
        <w:t xml:space="preserve"> au cours des cinq (05) prochaines années</w:t>
      </w:r>
      <w:r w:rsidRPr="00617CFF">
        <w:rPr>
          <w:rFonts w:asciiTheme="majorHAnsi" w:hAnsiTheme="majorHAnsi"/>
          <w:sz w:val="24"/>
          <w:szCs w:val="24"/>
        </w:rPr>
        <w:t xml:space="preserve">, </w:t>
      </w:r>
      <w:r w:rsidR="007943A2" w:rsidRPr="00617CFF">
        <w:rPr>
          <w:rFonts w:asciiTheme="majorHAnsi" w:hAnsiTheme="majorHAnsi"/>
          <w:sz w:val="24"/>
          <w:szCs w:val="24"/>
        </w:rPr>
        <w:t>elles tournent autour des principes directeurs du Plan National de Développement (PND) 2021-2025 en cours de finalisation au moment de l’élaboration du plan de travail 2021-2023 du CN-ITIE. Ces principes directeurs du PND sont les suivants :</w:t>
      </w:r>
    </w:p>
    <w:p w14:paraId="2AE35441" w14:textId="18B650FD" w:rsidR="007943A2" w:rsidRPr="00617CFF" w:rsidRDefault="007943A2" w:rsidP="00617CFF">
      <w:pPr>
        <w:pStyle w:val="Paragraphedeliste"/>
        <w:numPr>
          <w:ilvl w:val="0"/>
          <w:numId w:val="5"/>
        </w:numPr>
        <w:spacing w:before="120" w:after="120" w:line="240" w:lineRule="auto"/>
        <w:ind w:left="714" w:hanging="357"/>
        <w:jc w:val="both"/>
        <w:rPr>
          <w:rFonts w:asciiTheme="majorHAnsi" w:hAnsiTheme="majorHAnsi"/>
          <w:sz w:val="24"/>
          <w:szCs w:val="24"/>
        </w:rPr>
      </w:pPr>
      <w:r w:rsidRPr="00617CFF">
        <w:rPr>
          <w:rFonts w:asciiTheme="majorHAnsi" w:hAnsiTheme="majorHAnsi"/>
          <w:sz w:val="24"/>
          <w:szCs w:val="24"/>
        </w:rPr>
        <w:t>l’alignement sur la vision 2040 et la stratégie décennale Côte d’Ivoire 2030 ;</w:t>
      </w:r>
    </w:p>
    <w:p w14:paraId="6E240C17" w14:textId="77777777" w:rsidR="007943A2" w:rsidRPr="00617CFF" w:rsidRDefault="007943A2" w:rsidP="00617CFF">
      <w:pPr>
        <w:numPr>
          <w:ilvl w:val="0"/>
          <w:numId w:val="5"/>
        </w:numPr>
        <w:spacing w:before="120" w:after="120" w:line="240" w:lineRule="auto"/>
        <w:ind w:left="714" w:hanging="357"/>
        <w:jc w:val="both"/>
        <w:rPr>
          <w:rFonts w:asciiTheme="majorHAnsi" w:hAnsiTheme="majorHAnsi"/>
          <w:sz w:val="24"/>
          <w:szCs w:val="24"/>
        </w:rPr>
      </w:pPr>
      <w:r w:rsidRPr="00617CFF">
        <w:rPr>
          <w:rFonts w:asciiTheme="majorHAnsi" w:hAnsiTheme="majorHAnsi"/>
          <w:sz w:val="24"/>
          <w:szCs w:val="24"/>
        </w:rPr>
        <w:t xml:space="preserve">l’alignement sur les priorités de développement internationales et régionales notamment les ODD et l’Agenda 2063 de l’union africaine et ; </w:t>
      </w:r>
    </w:p>
    <w:p w14:paraId="556DF1E2" w14:textId="77777777" w:rsidR="00BD45ED" w:rsidRPr="00617CFF" w:rsidRDefault="007943A2" w:rsidP="00617CFF">
      <w:pPr>
        <w:numPr>
          <w:ilvl w:val="0"/>
          <w:numId w:val="5"/>
        </w:numPr>
        <w:spacing w:before="120" w:after="120" w:line="240" w:lineRule="auto"/>
        <w:ind w:left="714" w:hanging="357"/>
        <w:jc w:val="both"/>
        <w:rPr>
          <w:rFonts w:asciiTheme="majorHAnsi" w:hAnsiTheme="majorHAnsi"/>
          <w:sz w:val="24"/>
          <w:szCs w:val="24"/>
        </w:rPr>
      </w:pPr>
      <w:r w:rsidRPr="00617CFF">
        <w:rPr>
          <w:rFonts w:asciiTheme="majorHAnsi" w:hAnsiTheme="majorHAnsi"/>
          <w:sz w:val="24"/>
          <w:szCs w:val="24"/>
        </w:rPr>
        <w:t>la participation inclusive des parties prenantes gouvernementales et non</w:t>
      </w:r>
      <w:r w:rsidR="00BD45ED" w:rsidRPr="00617CFF">
        <w:rPr>
          <w:rFonts w:asciiTheme="majorHAnsi" w:hAnsiTheme="majorHAnsi"/>
          <w:sz w:val="24"/>
          <w:szCs w:val="24"/>
        </w:rPr>
        <w:t xml:space="preserve"> gouvernementales.</w:t>
      </w:r>
    </w:p>
    <w:p w14:paraId="6D0CE10F" w14:textId="107AAD50" w:rsidR="00BD45ED" w:rsidRPr="00617CFF" w:rsidRDefault="00BD45ED" w:rsidP="00617CFF">
      <w:pPr>
        <w:spacing w:before="120" w:after="120" w:line="240" w:lineRule="auto"/>
        <w:jc w:val="both"/>
        <w:rPr>
          <w:rFonts w:asciiTheme="majorHAnsi" w:hAnsiTheme="majorHAnsi"/>
          <w:sz w:val="24"/>
          <w:szCs w:val="24"/>
        </w:rPr>
      </w:pPr>
      <w:r w:rsidRPr="00617CFF">
        <w:rPr>
          <w:rFonts w:asciiTheme="majorHAnsi" w:hAnsiTheme="majorHAnsi"/>
          <w:sz w:val="24"/>
          <w:szCs w:val="24"/>
        </w:rPr>
        <w:t>Une conférence nationale de planification organisée juillet 2020 à Abidjan (</w:t>
      </w:r>
      <w:hyperlink r:id="rId10" w:history="1">
        <w:r w:rsidRPr="00617CFF">
          <w:rPr>
            <w:rStyle w:val="Lienhypertexte"/>
            <w:rFonts w:asciiTheme="majorHAnsi" w:hAnsiTheme="majorHAnsi"/>
            <w:sz w:val="24"/>
            <w:szCs w:val="24"/>
          </w:rPr>
          <w:t>https://www.plan.gouv.ci/accueil/actualite/576</w:t>
        </w:r>
      </w:hyperlink>
      <w:r w:rsidRPr="00617CFF">
        <w:rPr>
          <w:rFonts w:asciiTheme="majorHAnsi" w:hAnsiTheme="majorHAnsi"/>
          <w:sz w:val="24"/>
          <w:szCs w:val="24"/>
        </w:rPr>
        <w:t xml:space="preserve">; </w:t>
      </w:r>
      <w:hyperlink r:id="rId11" w:history="1">
        <w:r w:rsidRPr="00617CFF">
          <w:rPr>
            <w:rStyle w:val="Lienhypertexte"/>
            <w:rFonts w:asciiTheme="majorHAnsi" w:hAnsiTheme="majorHAnsi"/>
            <w:sz w:val="24"/>
            <w:szCs w:val="24"/>
          </w:rPr>
          <w:t>https://news.abidjan.net/articles/676928/conference-de-la-planification-du-pnd-2021-2025-le-discours-de-la-ministre-kaba-niale</w:t>
        </w:r>
      </w:hyperlink>
      <w:r w:rsidRPr="00617CFF">
        <w:rPr>
          <w:rFonts w:asciiTheme="majorHAnsi" w:hAnsiTheme="majorHAnsi"/>
          <w:sz w:val="24"/>
          <w:szCs w:val="24"/>
        </w:rPr>
        <w:t>), avec la participation de plusieurs pays modèles ayant réussi le processus de transformation structurelle de leur économie a permis de stabiliser les six (06) piliers du PND 2021-2025 suivants:</w:t>
      </w:r>
    </w:p>
    <w:p w14:paraId="77F0BD52" w14:textId="75E54670" w:rsidR="007943A2" w:rsidRPr="00BD45ED" w:rsidRDefault="007943A2" w:rsidP="00BD45ED">
      <w:pPr>
        <w:spacing w:after="0" w:line="240" w:lineRule="auto"/>
        <w:jc w:val="both"/>
        <w:rPr>
          <w:rFonts w:ascii="Franklin Gothic Book" w:hAnsi="Franklin Gothic Book"/>
          <w:sz w:val="24"/>
          <w:szCs w:val="24"/>
        </w:rPr>
      </w:pPr>
      <w:r w:rsidRPr="00BD45ED">
        <w:rPr>
          <w:rFonts w:ascii="Franklin Gothic Book" w:hAnsi="Franklin Gothic Book"/>
          <w:sz w:val="24"/>
          <w:szCs w:val="24"/>
        </w:rPr>
        <w:t xml:space="preserve"> </w:t>
      </w:r>
    </w:p>
    <w:tbl>
      <w:tblPr>
        <w:tblpPr w:leftFromText="141" w:rightFromText="141" w:vertAnchor="text" w:horzAnchor="margin" w:tblpXSpec="center" w:tblpY="196"/>
        <w:tblW w:w="10055" w:type="dxa"/>
        <w:tblCellMar>
          <w:left w:w="0" w:type="dxa"/>
          <w:right w:w="0" w:type="dxa"/>
        </w:tblCellMar>
        <w:tblLook w:val="0420" w:firstRow="1" w:lastRow="0" w:firstColumn="0" w:lastColumn="0" w:noHBand="0" w:noVBand="1"/>
      </w:tblPr>
      <w:tblGrid>
        <w:gridCol w:w="1408"/>
        <w:gridCol w:w="8647"/>
      </w:tblGrid>
      <w:tr w:rsidR="00BD45ED" w:rsidRPr="00BD45ED" w14:paraId="4A75EE67" w14:textId="77777777" w:rsidTr="00BD45ED">
        <w:trPr>
          <w:trHeight w:val="901"/>
        </w:trPr>
        <w:tc>
          <w:tcPr>
            <w:tcW w:w="1408" w:type="dxa"/>
            <w:tcBorders>
              <w:top w:val="single" w:sz="8" w:space="0" w:color="C2BC80"/>
              <w:left w:val="single" w:sz="8" w:space="0" w:color="C2BC80"/>
              <w:bottom w:val="single" w:sz="8" w:space="0" w:color="C2BC80"/>
              <w:right w:val="single" w:sz="8" w:space="0" w:color="C2BC80"/>
            </w:tcBorders>
            <w:shd w:val="clear" w:color="auto" w:fill="F4F4ED"/>
            <w:tcMar>
              <w:top w:w="72" w:type="dxa"/>
              <w:left w:w="144" w:type="dxa"/>
              <w:bottom w:w="72" w:type="dxa"/>
              <w:right w:w="144" w:type="dxa"/>
            </w:tcMar>
            <w:hideMark/>
          </w:tcPr>
          <w:p w14:paraId="10C81D13" w14:textId="77777777" w:rsidR="00BD45ED" w:rsidRPr="00617CFF" w:rsidRDefault="00BD45ED" w:rsidP="00BD45ED">
            <w:pPr>
              <w:rPr>
                <w:rFonts w:asciiTheme="majorHAnsi" w:hAnsiTheme="majorHAnsi"/>
                <w:sz w:val="24"/>
                <w:szCs w:val="24"/>
              </w:rPr>
            </w:pPr>
            <w:r w:rsidRPr="00617CFF">
              <w:rPr>
                <w:rFonts w:asciiTheme="majorHAnsi" w:hAnsiTheme="majorHAnsi"/>
                <w:bCs/>
                <w:sz w:val="24"/>
                <w:szCs w:val="24"/>
              </w:rPr>
              <w:t>PILIER I</w:t>
            </w:r>
          </w:p>
        </w:tc>
        <w:tc>
          <w:tcPr>
            <w:tcW w:w="8647" w:type="dxa"/>
            <w:tcBorders>
              <w:top w:val="single" w:sz="8" w:space="0" w:color="C2BC80"/>
              <w:left w:val="single" w:sz="8" w:space="0" w:color="C2BC80"/>
              <w:bottom w:val="single" w:sz="8" w:space="0" w:color="C2BC80"/>
              <w:right w:val="single" w:sz="8" w:space="0" w:color="C2BC80"/>
            </w:tcBorders>
            <w:shd w:val="clear" w:color="auto" w:fill="F4F4ED"/>
            <w:tcMar>
              <w:top w:w="72" w:type="dxa"/>
              <w:left w:w="144" w:type="dxa"/>
              <w:bottom w:w="72" w:type="dxa"/>
              <w:right w:w="144" w:type="dxa"/>
            </w:tcMar>
            <w:hideMark/>
          </w:tcPr>
          <w:p w14:paraId="68100AA9" w14:textId="77777777" w:rsidR="00BD45ED" w:rsidRPr="00617CFF" w:rsidRDefault="00BD45ED" w:rsidP="00BD45ED">
            <w:pPr>
              <w:rPr>
                <w:rFonts w:asciiTheme="majorHAnsi" w:hAnsiTheme="majorHAnsi"/>
                <w:sz w:val="24"/>
                <w:szCs w:val="24"/>
              </w:rPr>
            </w:pPr>
            <w:r w:rsidRPr="00617CFF">
              <w:rPr>
                <w:rFonts w:asciiTheme="majorHAnsi" w:hAnsiTheme="majorHAnsi"/>
                <w:sz w:val="24"/>
                <w:szCs w:val="24"/>
              </w:rPr>
              <w:t xml:space="preserve">Accélération </w:t>
            </w:r>
            <w:r w:rsidRPr="00617CFF">
              <w:rPr>
                <w:rFonts w:asciiTheme="majorHAnsi" w:hAnsiTheme="majorHAnsi"/>
                <w:sz w:val="24"/>
                <w:szCs w:val="24"/>
                <w:lang w:val="fr-CI"/>
              </w:rPr>
              <w:t>de la transformation structurelle de l’économie par l’industrialisation et le développement de grappes</w:t>
            </w:r>
          </w:p>
        </w:tc>
      </w:tr>
      <w:tr w:rsidR="00BD45ED" w:rsidRPr="00BD45ED" w14:paraId="4ED77C1F" w14:textId="77777777" w:rsidTr="00BD45ED">
        <w:trPr>
          <w:trHeight w:val="544"/>
        </w:trPr>
        <w:tc>
          <w:tcPr>
            <w:tcW w:w="1408" w:type="dxa"/>
            <w:tcBorders>
              <w:top w:val="single" w:sz="8" w:space="0" w:color="C2BC80"/>
              <w:left w:val="single" w:sz="8" w:space="0" w:color="C2BC80"/>
              <w:bottom w:val="single" w:sz="8" w:space="0" w:color="C2BC80"/>
              <w:right w:val="single" w:sz="8" w:space="0" w:color="C2BC80"/>
            </w:tcBorders>
            <w:shd w:val="clear" w:color="auto" w:fill="E9E7D8"/>
            <w:tcMar>
              <w:top w:w="72" w:type="dxa"/>
              <w:left w:w="144" w:type="dxa"/>
              <w:bottom w:w="72" w:type="dxa"/>
              <w:right w:w="144" w:type="dxa"/>
            </w:tcMar>
            <w:hideMark/>
          </w:tcPr>
          <w:p w14:paraId="2947CCAC" w14:textId="77777777" w:rsidR="00BD45ED" w:rsidRPr="00617CFF" w:rsidRDefault="00BD45ED" w:rsidP="00BD45ED">
            <w:pPr>
              <w:rPr>
                <w:rFonts w:asciiTheme="majorHAnsi" w:hAnsiTheme="majorHAnsi"/>
                <w:sz w:val="24"/>
                <w:szCs w:val="24"/>
              </w:rPr>
            </w:pPr>
            <w:r w:rsidRPr="00617CFF">
              <w:rPr>
                <w:rFonts w:asciiTheme="majorHAnsi" w:hAnsiTheme="majorHAnsi"/>
                <w:bCs/>
                <w:sz w:val="24"/>
                <w:szCs w:val="24"/>
              </w:rPr>
              <w:t>PILIER II</w:t>
            </w:r>
          </w:p>
        </w:tc>
        <w:tc>
          <w:tcPr>
            <w:tcW w:w="8647" w:type="dxa"/>
            <w:tcBorders>
              <w:top w:val="single" w:sz="8" w:space="0" w:color="C2BC80"/>
              <w:left w:val="single" w:sz="8" w:space="0" w:color="C2BC80"/>
              <w:bottom w:val="single" w:sz="8" w:space="0" w:color="C2BC80"/>
              <w:right w:val="single" w:sz="8" w:space="0" w:color="C2BC80"/>
            </w:tcBorders>
            <w:shd w:val="clear" w:color="auto" w:fill="E9E7D8"/>
            <w:tcMar>
              <w:top w:w="72" w:type="dxa"/>
              <w:left w:w="144" w:type="dxa"/>
              <w:bottom w:w="72" w:type="dxa"/>
              <w:right w:w="144" w:type="dxa"/>
            </w:tcMar>
            <w:hideMark/>
          </w:tcPr>
          <w:p w14:paraId="4283A180" w14:textId="77777777" w:rsidR="00BD45ED" w:rsidRPr="00617CFF" w:rsidRDefault="00BD45ED" w:rsidP="00BD45ED">
            <w:pPr>
              <w:rPr>
                <w:rFonts w:asciiTheme="majorHAnsi" w:hAnsiTheme="majorHAnsi"/>
                <w:sz w:val="24"/>
                <w:szCs w:val="24"/>
              </w:rPr>
            </w:pPr>
            <w:r w:rsidRPr="00617CFF">
              <w:rPr>
                <w:rFonts w:asciiTheme="majorHAnsi" w:hAnsiTheme="majorHAnsi"/>
                <w:sz w:val="24"/>
                <w:szCs w:val="24"/>
                <w:lang w:val="fr-CI"/>
              </w:rPr>
              <w:t>Développement du capital humain et promotion de l’emploi</w:t>
            </w:r>
          </w:p>
        </w:tc>
      </w:tr>
      <w:tr w:rsidR="00BD45ED" w:rsidRPr="00BD45ED" w14:paraId="2599455C" w14:textId="77777777" w:rsidTr="00BD45ED">
        <w:trPr>
          <w:trHeight w:val="554"/>
        </w:trPr>
        <w:tc>
          <w:tcPr>
            <w:tcW w:w="1408" w:type="dxa"/>
            <w:tcBorders>
              <w:top w:val="single" w:sz="8" w:space="0" w:color="C2BC80"/>
              <w:left w:val="single" w:sz="8" w:space="0" w:color="C2BC80"/>
              <w:bottom w:val="single" w:sz="8" w:space="0" w:color="C2BC80"/>
              <w:right w:val="single" w:sz="8" w:space="0" w:color="C2BC80"/>
            </w:tcBorders>
            <w:shd w:val="clear" w:color="auto" w:fill="F4F4ED"/>
            <w:tcMar>
              <w:top w:w="72" w:type="dxa"/>
              <w:left w:w="144" w:type="dxa"/>
              <w:bottom w:w="72" w:type="dxa"/>
              <w:right w:w="144" w:type="dxa"/>
            </w:tcMar>
            <w:hideMark/>
          </w:tcPr>
          <w:p w14:paraId="3BC19C2F" w14:textId="77777777" w:rsidR="00BD45ED" w:rsidRPr="00617CFF" w:rsidRDefault="00BD45ED" w:rsidP="00BD45ED">
            <w:pPr>
              <w:rPr>
                <w:rFonts w:asciiTheme="majorHAnsi" w:hAnsiTheme="majorHAnsi"/>
                <w:sz w:val="24"/>
                <w:szCs w:val="24"/>
              </w:rPr>
            </w:pPr>
            <w:r w:rsidRPr="00617CFF">
              <w:rPr>
                <w:rFonts w:asciiTheme="majorHAnsi" w:hAnsiTheme="majorHAnsi"/>
                <w:bCs/>
                <w:sz w:val="24"/>
                <w:szCs w:val="24"/>
              </w:rPr>
              <w:t>PILIER III</w:t>
            </w:r>
          </w:p>
        </w:tc>
        <w:tc>
          <w:tcPr>
            <w:tcW w:w="8647" w:type="dxa"/>
            <w:tcBorders>
              <w:top w:val="single" w:sz="8" w:space="0" w:color="C2BC80"/>
              <w:left w:val="single" w:sz="8" w:space="0" w:color="C2BC80"/>
              <w:bottom w:val="single" w:sz="8" w:space="0" w:color="C2BC80"/>
              <w:right w:val="single" w:sz="8" w:space="0" w:color="C2BC80"/>
            </w:tcBorders>
            <w:shd w:val="clear" w:color="auto" w:fill="F4F4ED"/>
            <w:tcMar>
              <w:top w:w="72" w:type="dxa"/>
              <w:left w:w="144" w:type="dxa"/>
              <w:bottom w:w="72" w:type="dxa"/>
              <w:right w:w="144" w:type="dxa"/>
            </w:tcMar>
            <w:hideMark/>
          </w:tcPr>
          <w:p w14:paraId="0D9198A2" w14:textId="77777777" w:rsidR="00BD45ED" w:rsidRPr="00617CFF" w:rsidRDefault="00BD45ED" w:rsidP="00BD45ED">
            <w:pPr>
              <w:rPr>
                <w:rFonts w:asciiTheme="majorHAnsi" w:hAnsiTheme="majorHAnsi"/>
                <w:sz w:val="24"/>
                <w:szCs w:val="24"/>
              </w:rPr>
            </w:pPr>
            <w:r w:rsidRPr="00617CFF">
              <w:rPr>
                <w:rFonts w:asciiTheme="majorHAnsi" w:hAnsiTheme="majorHAnsi"/>
                <w:sz w:val="24"/>
                <w:szCs w:val="24"/>
                <w:lang w:val="fr-CI"/>
              </w:rPr>
              <w:t>Développement du secteur privé et de l’investissement</w:t>
            </w:r>
          </w:p>
        </w:tc>
      </w:tr>
      <w:tr w:rsidR="00BD45ED" w:rsidRPr="00BD45ED" w14:paraId="72706ABE" w14:textId="77777777" w:rsidTr="00BD45ED">
        <w:trPr>
          <w:trHeight w:val="537"/>
        </w:trPr>
        <w:tc>
          <w:tcPr>
            <w:tcW w:w="1408" w:type="dxa"/>
            <w:tcBorders>
              <w:top w:val="single" w:sz="8" w:space="0" w:color="C2BC80"/>
              <w:left w:val="single" w:sz="8" w:space="0" w:color="C2BC80"/>
              <w:bottom w:val="single" w:sz="8" w:space="0" w:color="C2BC80"/>
              <w:right w:val="single" w:sz="8" w:space="0" w:color="C2BC80"/>
            </w:tcBorders>
            <w:shd w:val="clear" w:color="auto" w:fill="E9E7D8"/>
            <w:tcMar>
              <w:top w:w="72" w:type="dxa"/>
              <w:left w:w="144" w:type="dxa"/>
              <w:bottom w:w="72" w:type="dxa"/>
              <w:right w:w="144" w:type="dxa"/>
            </w:tcMar>
            <w:hideMark/>
          </w:tcPr>
          <w:p w14:paraId="0406B158" w14:textId="77777777" w:rsidR="00BD45ED" w:rsidRPr="00617CFF" w:rsidRDefault="00BD45ED" w:rsidP="00BD45ED">
            <w:pPr>
              <w:rPr>
                <w:rFonts w:asciiTheme="majorHAnsi" w:hAnsiTheme="majorHAnsi"/>
                <w:sz w:val="24"/>
                <w:szCs w:val="24"/>
              </w:rPr>
            </w:pPr>
            <w:r w:rsidRPr="00617CFF">
              <w:rPr>
                <w:rFonts w:asciiTheme="majorHAnsi" w:hAnsiTheme="majorHAnsi"/>
                <w:bCs/>
                <w:sz w:val="24"/>
                <w:szCs w:val="24"/>
              </w:rPr>
              <w:t>PILIER IV</w:t>
            </w:r>
          </w:p>
        </w:tc>
        <w:tc>
          <w:tcPr>
            <w:tcW w:w="8647" w:type="dxa"/>
            <w:tcBorders>
              <w:top w:val="single" w:sz="8" w:space="0" w:color="C2BC80"/>
              <w:left w:val="single" w:sz="8" w:space="0" w:color="C2BC80"/>
              <w:bottom w:val="single" w:sz="8" w:space="0" w:color="C2BC80"/>
              <w:right w:val="single" w:sz="8" w:space="0" w:color="C2BC80"/>
            </w:tcBorders>
            <w:shd w:val="clear" w:color="auto" w:fill="E9E7D8"/>
            <w:tcMar>
              <w:top w:w="72" w:type="dxa"/>
              <w:left w:w="144" w:type="dxa"/>
              <w:bottom w:w="72" w:type="dxa"/>
              <w:right w:w="144" w:type="dxa"/>
            </w:tcMar>
            <w:hideMark/>
          </w:tcPr>
          <w:p w14:paraId="0FCE250F" w14:textId="77777777" w:rsidR="00BD45ED" w:rsidRPr="00617CFF" w:rsidRDefault="00BD45ED" w:rsidP="00BD45ED">
            <w:pPr>
              <w:rPr>
                <w:rFonts w:asciiTheme="majorHAnsi" w:hAnsiTheme="majorHAnsi"/>
                <w:sz w:val="24"/>
                <w:szCs w:val="24"/>
              </w:rPr>
            </w:pPr>
            <w:r w:rsidRPr="00617CFF">
              <w:rPr>
                <w:rFonts w:asciiTheme="majorHAnsi" w:hAnsiTheme="majorHAnsi"/>
                <w:sz w:val="24"/>
                <w:szCs w:val="24"/>
                <w:lang w:val="fr-CI"/>
              </w:rPr>
              <w:t>Renforcement de l’inclusion, de la solidarité nationale et de l’action sociale</w:t>
            </w:r>
          </w:p>
        </w:tc>
      </w:tr>
      <w:tr w:rsidR="00BD45ED" w:rsidRPr="00BD45ED" w14:paraId="04EAB98E" w14:textId="77777777" w:rsidTr="00BD45ED">
        <w:trPr>
          <w:trHeight w:val="830"/>
        </w:trPr>
        <w:tc>
          <w:tcPr>
            <w:tcW w:w="1408" w:type="dxa"/>
            <w:tcBorders>
              <w:top w:val="single" w:sz="8" w:space="0" w:color="C2BC80"/>
              <w:left w:val="single" w:sz="8" w:space="0" w:color="C2BC80"/>
              <w:bottom w:val="single" w:sz="8" w:space="0" w:color="C2BC80"/>
              <w:right w:val="single" w:sz="8" w:space="0" w:color="C2BC80"/>
            </w:tcBorders>
            <w:shd w:val="clear" w:color="auto" w:fill="F4F4ED"/>
            <w:tcMar>
              <w:top w:w="72" w:type="dxa"/>
              <w:left w:w="144" w:type="dxa"/>
              <w:bottom w:w="72" w:type="dxa"/>
              <w:right w:w="144" w:type="dxa"/>
            </w:tcMar>
            <w:hideMark/>
          </w:tcPr>
          <w:p w14:paraId="5DBBE100" w14:textId="77777777" w:rsidR="00BD45ED" w:rsidRPr="00617CFF" w:rsidRDefault="00BD45ED" w:rsidP="00BD45ED">
            <w:pPr>
              <w:rPr>
                <w:rFonts w:asciiTheme="majorHAnsi" w:hAnsiTheme="majorHAnsi"/>
                <w:sz w:val="24"/>
                <w:szCs w:val="24"/>
              </w:rPr>
            </w:pPr>
            <w:r w:rsidRPr="00617CFF">
              <w:rPr>
                <w:rFonts w:asciiTheme="majorHAnsi" w:hAnsiTheme="majorHAnsi"/>
                <w:bCs/>
                <w:sz w:val="24"/>
                <w:szCs w:val="24"/>
              </w:rPr>
              <w:t>PILIER V</w:t>
            </w:r>
          </w:p>
        </w:tc>
        <w:tc>
          <w:tcPr>
            <w:tcW w:w="8647" w:type="dxa"/>
            <w:tcBorders>
              <w:top w:val="single" w:sz="8" w:space="0" w:color="C2BC80"/>
              <w:left w:val="single" w:sz="8" w:space="0" w:color="C2BC80"/>
              <w:bottom w:val="single" w:sz="8" w:space="0" w:color="C2BC80"/>
              <w:right w:val="single" w:sz="8" w:space="0" w:color="C2BC80"/>
            </w:tcBorders>
            <w:shd w:val="clear" w:color="auto" w:fill="F4F4ED"/>
            <w:tcMar>
              <w:top w:w="72" w:type="dxa"/>
              <w:left w:w="144" w:type="dxa"/>
              <w:bottom w:w="72" w:type="dxa"/>
              <w:right w:w="144" w:type="dxa"/>
            </w:tcMar>
            <w:hideMark/>
          </w:tcPr>
          <w:p w14:paraId="0BB39F16" w14:textId="77777777" w:rsidR="00BD45ED" w:rsidRPr="00617CFF" w:rsidRDefault="00BD45ED" w:rsidP="00BD45ED">
            <w:pPr>
              <w:rPr>
                <w:rFonts w:asciiTheme="majorHAnsi" w:hAnsiTheme="majorHAnsi"/>
                <w:sz w:val="24"/>
                <w:szCs w:val="24"/>
              </w:rPr>
            </w:pPr>
            <w:r w:rsidRPr="00617CFF">
              <w:rPr>
                <w:rFonts w:asciiTheme="majorHAnsi" w:hAnsiTheme="majorHAnsi"/>
                <w:sz w:val="24"/>
                <w:szCs w:val="24"/>
                <w:lang w:val="fr-CI"/>
              </w:rPr>
              <w:t>Développement régional équilibré, préservation de l’environnement et lutte contre le changement climatique</w:t>
            </w:r>
          </w:p>
        </w:tc>
      </w:tr>
      <w:tr w:rsidR="00BD45ED" w:rsidRPr="00BD45ED" w14:paraId="371F7FD1" w14:textId="77777777" w:rsidTr="00BD45ED">
        <w:trPr>
          <w:trHeight w:val="972"/>
        </w:trPr>
        <w:tc>
          <w:tcPr>
            <w:tcW w:w="1408" w:type="dxa"/>
            <w:tcBorders>
              <w:top w:val="single" w:sz="8" w:space="0" w:color="C2BC80"/>
              <w:left w:val="single" w:sz="8" w:space="0" w:color="C2BC80"/>
              <w:bottom w:val="single" w:sz="8" w:space="0" w:color="C2BC80"/>
              <w:right w:val="single" w:sz="8" w:space="0" w:color="C2BC80"/>
            </w:tcBorders>
            <w:shd w:val="clear" w:color="auto" w:fill="E9E7D8"/>
            <w:tcMar>
              <w:top w:w="72" w:type="dxa"/>
              <w:left w:w="144" w:type="dxa"/>
              <w:bottom w:w="72" w:type="dxa"/>
              <w:right w:w="144" w:type="dxa"/>
            </w:tcMar>
            <w:hideMark/>
          </w:tcPr>
          <w:p w14:paraId="3BDD36A8" w14:textId="77777777" w:rsidR="00BD45ED" w:rsidRPr="00617CFF" w:rsidRDefault="00BD45ED" w:rsidP="00BD45ED">
            <w:pPr>
              <w:rPr>
                <w:rFonts w:asciiTheme="majorHAnsi" w:hAnsiTheme="majorHAnsi"/>
                <w:sz w:val="24"/>
                <w:szCs w:val="24"/>
              </w:rPr>
            </w:pPr>
            <w:r w:rsidRPr="00617CFF">
              <w:rPr>
                <w:rFonts w:asciiTheme="majorHAnsi" w:hAnsiTheme="majorHAnsi"/>
                <w:bCs/>
                <w:sz w:val="24"/>
                <w:szCs w:val="24"/>
              </w:rPr>
              <w:t>PILIER VI</w:t>
            </w:r>
          </w:p>
        </w:tc>
        <w:tc>
          <w:tcPr>
            <w:tcW w:w="8647" w:type="dxa"/>
            <w:tcBorders>
              <w:top w:val="single" w:sz="8" w:space="0" w:color="C2BC80"/>
              <w:left w:val="single" w:sz="8" w:space="0" w:color="C2BC80"/>
              <w:bottom w:val="single" w:sz="8" w:space="0" w:color="C2BC80"/>
              <w:right w:val="single" w:sz="8" w:space="0" w:color="C2BC80"/>
            </w:tcBorders>
            <w:shd w:val="clear" w:color="auto" w:fill="E9E7D8"/>
            <w:tcMar>
              <w:top w:w="72" w:type="dxa"/>
              <w:left w:w="144" w:type="dxa"/>
              <w:bottom w:w="72" w:type="dxa"/>
              <w:right w:w="144" w:type="dxa"/>
            </w:tcMar>
            <w:hideMark/>
          </w:tcPr>
          <w:p w14:paraId="30869C1B" w14:textId="77777777" w:rsidR="00BD45ED" w:rsidRPr="00617CFF" w:rsidRDefault="00BD45ED" w:rsidP="00BD45ED">
            <w:pPr>
              <w:rPr>
                <w:rFonts w:asciiTheme="majorHAnsi" w:hAnsiTheme="majorHAnsi"/>
                <w:sz w:val="24"/>
                <w:szCs w:val="24"/>
              </w:rPr>
            </w:pPr>
            <w:r w:rsidRPr="00617CFF">
              <w:rPr>
                <w:rFonts w:asciiTheme="majorHAnsi" w:hAnsiTheme="majorHAnsi"/>
                <w:sz w:val="24"/>
                <w:szCs w:val="24"/>
                <w:lang w:val="fr-CI"/>
              </w:rPr>
              <w:t>Renforcement de la gouvernance, modernisation de l’Etat et transformation culturelle</w:t>
            </w:r>
          </w:p>
        </w:tc>
      </w:tr>
    </w:tbl>
    <w:p w14:paraId="31F44101" w14:textId="6227EAED" w:rsidR="00BD45ED" w:rsidRPr="00617CFF" w:rsidRDefault="00BD45ED" w:rsidP="005D53E0">
      <w:pPr>
        <w:spacing w:before="120" w:after="120" w:line="240" w:lineRule="auto"/>
        <w:jc w:val="both"/>
        <w:rPr>
          <w:rFonts w:asciiTheme="majorHAnsi" w:hAnsiTheme="majorHAnsi"/>
          <w:sz w:val="24"/>
          <w:szCs w:val="24"/>
        </w:rPr>
      </w:pPr>
      <w:r w:rsidRPr="00617CFF">
        <w:rPr>
          <w:rFonts w:asciiTheme="majorHAnsi" w:hAnsiTheme="majorHAnsi"/>
          <w:sz w:val="24"/>
          <w:szCs w:val="24"/>
        </w:rPr>
        <w:t xml:space="preserve">Au niveau du pilier I, qui consiste à </w:t>
      </w:r>
      <w:r w:rsidR="00CE2B01" w:rsidRPr="00617CFF">
        <w:rPr>
          <w:rFonts w:asciiTheme="majorHAnsi" w:hAnsiTheme="majorHAnsi"/>
          <w:sz w:val="24"/>
          <w:szCs w:val="24"/>
        </w:rPr>
        <w:t>accélérer</w:t>
      </w:r>
      <w:r w:rsidRPr="00617CFF">
        <w:rPr>
          <w:rFonts w:asciiTheme="majorHAnsi" w:hAnsiTheme="majorHAnsi"/>
          <w:sz w:val="24"/>
          <w:szCs w:val="24"/>
        </w:rPr>
        <w:t xml:space="preserve"> la transformation structurelle de l’</w:t>
      </w:r>
      <w:r w:rsidR="006F7479" w:rsidRPr="00617CFF">
        <w:rPr>
          <w:rFonts w:asciiTheme="majorHAnsi" w:hAnsiTheme="majorHAnsi"/>
          <w:sz w:val="24"/>
          <w:szCs w:val="24"/>
        </w:rPr>
        <w:t xml:space="preserve">économie, l’on retrouve, en plus de l’agriculture qui constitue traditionnellement le pilier de l’économie ivoirienne, les mines et les Hydrocarbures. L’on peut donc constater que les mines et les hydrocarbures comptent énormément pour le développement de l’économie ivoirienne et surtout pour l’industrialisation du pays au cours des cinq prochaines années. Par ailleurs, les ressources animales et halieutiques, ainsi que les industries, le commerce, l’artisanat, la culture et le tourisme sont également visés. </w:t>
      </w:r>
    </w:p>
    <w:p w14:paraId="3097CC21" w14:textId="6F16D593" w:rsidR="00460A4C" w:rsidRPr="00617CFF" w:rsidRDefault="00460A4C" w:rsidP="005D53E0">
      <w:pPr>
        <w:spacing w:before="120" w:after="120" w:line="240" w:lineRule="auto"/>
        <w:jc w:val="both"/>
        <w:rPr>
          <w:rFonts w:asciiTheme="majorHAnsi" w:hAnsiTheme="majorHAnsi"/>
          <w:sz w:val="24"/>
          <w:szCs w:val="24"/>
        </w:rPr>
      </w:pPr>
      <w:r w:rsidRPr="00617CFF">
        <w:rPr>
          <w:rFonts w:asciiTheme="majorHAnsi" w:hAnsiTheme="majorHAnsi"/>
          <w:sz w:val="24"/>
          <w:szCs w:val="24"/>
        </w:rPr>
        <w:t>Au niveau du pilier III qui concerne le développement du secteur privé et de l’investissement, l’on retrouve la promotion de l’énergie et des énergies renouvelables, ainsi que la promotion des investissements privés, des PME</w:t>
      </w:r>
      <w:r w:rsidR="00263A14" w:rsidRPr="00617CFF">
        <w:rPr>
          <w:rFonts w:asciiTheme="majorHAnsi" w:hAnsiTheme="majorHAnsi"/>
          <w:sz w:val="24"/>
          <w:szCs w:val="24"/>
        </w:rPr>
        <w:t>, tous</w:t>
      </w:r>
      <w:r w:rsidR="00CE2B01" w:rsidRPr="00617CFF">
        <w:rPr>
          <w:rFonts w:asciiTheme="majorHAnsi" w:hAnsiTheme="majorHAnsi"/>
          <w:sz w:val="24"/>
          <w:szCs w:val="24"/>
        </w:rPr>
        <w:t xml:space="preserve"> nécessaires au développement des secteurs miniers et pétroliers. </w:t>
      </w:r>
    </w:p>
    <w:p w14:paraId="13A4F739" w14:textId="0F973D8C" w:rsidR="00460A4C" w:rsidRPr="00617CFF" w:rsidRDefault="00460A4C" w:rsidP="005D53E0">
      <w:pPr>
        <w:spacing w:before="120" w:after="120" w:line="240" w:lineRule="auto"/>
        <w:jc w:val="both"/>
        <w:rPr>
          <w:rFonts w:asciiTheme="majorHAnsi" w:hAnsiTheme="majorHAnsi"/>
          <w:sz w:val="24"/>
          <w:szCs w:val="24"/>
        </w:rPr>
      </w:pPr>
      <w:r w:rsidRPr="00617CFF">
        <w:rPr>
          <w:rFonts w:asciiTheme="majorHAnsi" w:hAnsiTheme="majorHAnsi"/>
          <w:sz w:val="24"/>
          <w:szCs w:val="24"/>
        </w:rPr>
        <w:lastRenderedPageBreak/>
        <w:t>Par ailleurs, le développement des infrastructures routières, du transport et de l’hydraulique</w:t>
      </w:r>
      <w:r w:rsidR="00CE2B01" w:rsidRPr="00617CFF">
        <w:rPr>
          <w:rFonts w:asciiTheme="majorHAnsi" w:hAnsiTheme="majorHAnsi"/>
          <w:sz w:val="24"/>
          <w:szCs w:val="24"/>
        </w:rPr>
        <w:t xml:space="preserve">, prévu au niveau du pilier 3 également, </w:t>
      </w:r>
      <w:r w:rsidRPr="00617CFF">
        <w:rPr>
          <w:rFonts w:asciiTheme="majorHAnsi" w:hAnsiTheme="majorHAnsi"/>
          <w:sz w:val="24"/>
          <w:szCs w:val="24"/>
        </w:rPr>
        <w:t xml:space="preserve">peuvent contribuer à renforcer les investissements au niveau des secteurs minier et pétrolier en </w:t>
      </w:r>
      <w:r w:rsidR="00CE2B01" w:rsidRPr="00617CFF">
        <w:rPr>
          <w:rFonts w:asciiTheme="majorHAnsi" w:hAnsiTheme="majorHAnsi"/>
          <w:sz w:val="24"/>
          <w:szCs w:val="24"/>
        </w:rPr>
        <w:t xml:space="preserve">Côte d’Ivoire. </w:t>
      </w:r>
    </w:p>
    <w:p w14:paraId="1538EC47" w14:textId="20387768" w:rsidR="001F4BC0" w:rsidRPr="00617CFF" w:rsidRDefault="00263A14" w:rsidP="005D53E0">
      <w:pPr>
        <w:spacing w:before="120" w:after="120" w:line="240" w:lineRule="auto"/>
        <w:jc w:val="both"/>
        <w:rPr>
          <w:rFonts w:asciiTheme="majorHAnsi" w:hAnsiTheme="majorHAnsi"/>
          <w:bCs/>
          <w:sz w:val="24"/>
          <w:szCs w:val="24"/>
          <w:lang w:val="fr-CI"/>
        </w:rPr>
      </w:pPr>
      <w:r w:rsidRPr="00617CFF">
        <w:rPr>
          <w:rFonts w:asciiTheme="majorHAnsi" w:hAnsiTheme="majorHAnsi"/>
          <w:bCs/>
          <w:sz w:val="24"/>
          <w:szCs w:val="24"/>
          <w:lang w:val="fr-CI"/>
        </w:rPr>
        <w:t>Le renforcement de la gouvernance constitue un pilier important du PND 2021-2025 (pilier 5). Ainsi, les initiatives comme l’ITIE, le partenariat pour le gouvernement ouvert et bien d’autres comme le Mécanisme Africain d’évaluation par les Pairs (MAEP) devront être renforcé</w:t>
      </w:r>
      <w:r w:rsidR="001F4BC0" w:rsidRPr="00617CFF">
        <w:rPr>
          <w:rFonts w:asciiTheme="majorHAnsi" w:hAnsiTheme="majorHAnsi"/>
          <w:bCs/>
          <w:sz w:val="24"/>
          <w:szCs w:val="24"/>
          <w:lang w:val="fr-CI"/>
        </w:rPr>
        <w:t xml:space="preserve">es pour plus d’impact au moment où la Côte d’Ivoire passe du budget de moyen au budget programme. </w:t>
      </w:r>
    </w:p>
    <w:p w14:paraId="43408E72" w14:textId="553F0CDD" w:rsidR="00105119" w:rsidRPr="00617CFF" w:rsidRDefault="009B003E" w:rsidP="001811C0">
      <w:pPr>
        <w:spacing w:after="0" w:line="240" w:lineRule="auto"/>
        <w:jc w:val="both"/>
        <w:rPr>
          <w:rFonts w:asciiTheme="majorHAnsi" w:hAnsiTheme="majorHAnsi"/>
          <w:sz w:val="24"/>
          <w:szCs w:val="24"/>
        </w:rPr>
      </w:pPr>
      <w:r w:rsidRPr="00617CFF">
        <w:rPr>
          <w:rFonts w:asciiTheme="majorHAnsi" w:hAnsiTheme="majorHAnsi"/>
          <w:b/>
          <w:sz w:val="24"/>
          <w:szCs w:val="24"/>
        </w:rPr>
        <w:t xml:space="preserve">Le contexte au niveau du secteur des hydrocarbures est caractérisé par un </w:t>
      </w:r>
      <w:r w:rsidR="00105119" w:rsidRPr="00617CFF">
        <w:rPr>
          <w:rFonts w:asciiTheme="majorHAnsi" w:hAnsiTheme="majorHAnsi"/>
          <w:sz w:val="24"/>
          <w:szCs w:val="24"/>
        </w:rPr>
        <w:t xml:space="preserve">golfe de Guinée </w:t>
      </w:r>
      <w:r w:rsidRPr="00617CFF">
        <w:rPr>
          <w:rFonts w:asciiTheme="majorHAnsi" w:hAnsiTheme="majorHAnsi"/>
          <w:sz w:val="24"/>
          <w:szCs w:val="24"/>
        </w:rPr>
        <w:t xml:space="preserve">qui, </w:t>
      </w:r>
      <w:r w:rsidR="00105119" w:rsidRPr="00617CFF">
        <w:rPr>
          <w:rFonts w:asciiTheme="majorHAnsi" w:hAnsiTheme="majorHAnsi"/>
          <w:sz w:val="24"/>
          <w:szCs w:val="24"/>
        </w:rPr>
        <w:t xml:space="preserve">depuis longtemps </w:t>
      </w:r>
      <w:r w:rsidRPr="00617CFF">
        <w:rPr>
          <w:rFonts w:asciiTheme="majorHAnsi" w:hAnsiTheme="majorHAnsi"/>
          <w:sz w:val="24"/>
          <w:szCs w:val="24"/>
        </w:rPr>
        <w:t xml:space="preserve">a été </w:t>
      </w:r>
      <w:r w:rsidR="00105119" w:rsidRPr="00617CFF">
        <w:rPr>
          <w:rFonts w:asciiTheme="majorHAnsi" w:hAnsiTheme="majorHAnsi"/>
          <w:sz w:val="24"/>
          <w:szCs w:val="24"/>
        </w:rPr>
        <w:t>un important producteur d'hydrocarbures et continue d'attirer l'investissement étranger direct ciblé sur les hydrocarbures de l'Afrique. Les champs pétroliers ivoiriens sont situés dans ce golfe entre les frontières libérienne et ghanéenne. La zone offshore, s’étalant de la côte jusqu’à 150 km en mer, inclut les gisements à forts potentiels. La richesse de la Côte d’Ivoire provenant du secteur des hydrocarbures est essentiellement constituée des industries de pétrole brut et du Gaz réparties sur le territoire conformément à la carte pétrolière régulièrement mise à jour.</w:t>
      </w:r>
    </w:p>
    <w:p w14:paraId="1EA581F5" w14:textId="77777777" w:rsidR="00105119" w:rsidRPr="00617CFF" w:rsidRDefault="00105119" w:rsidP="001811C0">
      <w:pPr>
        <w:shd w:val="clear" w:color="auto" w:fill="FFFFFF"/>
        <w:spacing w:after="0" w:line="240" w:lineRule="auto"/>
        <w:jc w:val="both"/>
        <w:rPr>
          <w:rFonts w:asciiTheme="majorHAnsi" w:eastAsia="Times New Roman" w:hAnsiTheme="majorHAnsi" w:cs="Arial"/>
          <w:sz w:val="24"/>
          <w:szCs w:val="24"/>
        </w:rPr>
      </w:pPr>
      <w:r w:rsidRPr="00617CFF">
        <w:rPr>
          <w:rFonts w:asciiTheme="majorHAnsi" w:eastAsia="Times New Roman" w:hAnsiTheme="majorHAnsi" w:cs="Arial"/>
          <w:sz w:val="24"/>
          <w:szCs w:val="24"/>
        </w:rPr>
        <w:t>En terme de priorités au niveau du secteur de l’Energie et des Hydrocarbures, l’on peut noter :</w:t>
      </w:r>
    </w:p>
    <w:p w14:paraId="4E7765FA" w14:textId="77777777" w:rsidR="00105119" w:rsidRPr="00617CFF" w:rsidRDefault="00105119" w:rsidP="00F34F65">
      <w:pPr>
        <w:numPr>
          <w:ilvl w:val="0"/>
          <w:numId w:val="12"/>
        </w:numPr>
        <w:shd w:val="clear" w:color="auto" w:fill="FFFFFF"/>
        <w:spacing w:after="0" w:line="240" w:lineRule="auto"/>
        <w:jc w:val="both"/>
        <w:rPr>
          <w:rFonts w:asciiTheme="majorHAnsi" w:eastAsia="Times New Roman" w:hAnsiTheme="majorHAnsi" w:cs="Arial"/>
          <w:sz w:val="24"/>
          <w:szCs w:val="24"/>
        </w:rPr>
      </w:pPr>
      <w:r w:rsidRPr="00617CFF">
        <w:rPr>
          <w:rFonts w:asciiTheme="majorHAnsi" w:eastAsia="Times New Roman" w:hAnsiTheme="majorHAnsi" w:cs="Arial"/>
          <w:sz w:val="24"/>
          <w:szCs w:val="24"/>
        </w:rPr>
        <w:t>la promotion et la signature de nouveaux permis d’exploration (CPP) et la Décision Finale d’Investissement (FID) pour la mise en développement de gisement marginal de gaz déjà identifiés ;</w:t>
      </w:r>
    </w:p>
    <w:p w14:paraId="558FF6B8" w14:textId="77777777" w:rsidR="00105119" w:rsidRPr="00617CFF" w:rsidRDefault="00105119" w:rsidP="00F34F65">
      <w:pPr>
        <w:pStyle w:val="Paragraphedeliste"/>
        <w:numPr>
          <w:ilvl w:val="0"/>
          <w:numId w:val="12"/>
        </w:numPr>
        <w:shd w:val="clear" w:color="auto" w:fill="FFFFFF"/>
        <w:spacing w:after="0" w:line="240" w:lineRule="auto"/>
        <w:jc w:val="both"/>
        <w:rPr>
          <w:rFonts w:asciiTheme="majorHAnsi" w:eastAsia="Times New Roman" w:hAnsiTheme="majorHAnsi" w:cs="Arial"/>
          <w:sz w:val="24"/>
          <w:szCs w:val="24"/>
        </w:rPr>
      </w:pPr>
      <w:r w:rsidRPr="00617CFF">
        <w:rPr>
          <w:rFonts w:asciiTheme="majorHAnsi" w:eastAsia="Times New Roman" w:hAnsiTheme="majorHAnsi" w:cs="Arial"/>
          <w:sz w:val="24"/>
          <w:szCs w:val="24"/>
        </w:rPr>
        <w:t>le lancement des travaux de construction des infrastructures à la suite de la finalisation des études réalisées en 2018 ;</w:t>
      </w:r>
    </w:p>
    <w:p w14:paraId="0EF8D4F4" w14:textId="77777777" w:rsidR="00105119" w:rsidRPr="00617CFF" w:rsidRDefault="00105119" w:rsidP="00F34F65">
      <w:pPr>
        <w:pStyle w:val="Paragraphedeliste"/>
        <w:numPr>
          <w:ilvl w:val="0"/>
          <w:numId w:val="12"/>
        </w:numPr>
        <w:shd w:val="clear" w:color="auto" w:fill="FFFFFF"/>
        <w:spacing w:after="0" w:line="240" w:lineRule="auto"/>
        <w:jc w:val="both"/>
        <w:rPr>
          <w:rFonts w:asciiTheme="majorHAnsi" w:eastAsia="Times New Roman" w:hAnsiTheme="majorHAnsi" w:cs="Arial"/>
          <w:sz w:val="24"/>
          <w:szCs w:val="24"/>
        </w:rPr>
      </w:pPr>
      <w:r w:rsidRPr="00617CFF">
        <w:rPr>
          <w:rFonts w:asciiTheme="majorHAnsi" w:eastAsia="Times New Roman" w:hAnsiTheme="majorHAnsi" w:cs="Arial"/>
          <w:sz w:val="24"/>
          <w:szCs w:val="24"/>
        </w:rPr>
        <w:t>le prolongement du pipeline reliant Abidjan à Bouaké d’une longueur de 385 Km, jusqu'à Ferkessédougou où un nouveau dépôt pétrolier devra être construit dans le cadre de la nouvelle société pipeline ;</w:t>
      </w:r>
    </w:p>
    <w:p w14:paraId="7B0E3B86" w14:textId="77777777" w:rsidR="00105119" w:rsidRPr="00617CFF" w:rsidRDefault="00105119" w:rsidP="00F34F65">
      <w:pPr>
        <w:pStyle w:val="Paragraphedeliste"/>
        <w:numPr>
          <w:ilvl w:val="0"/>
          <w:numId w:val="12"/>
        </w:numPr>
        <w:shd w:val="clear" w:color="auto" w:fill="FFFFFF"/>
        <w:spacing w:after="0" w:line="240" w:lineRule="auto"/>
        <w:jc w:val="both"/>
        <w:rPr>
          <w:rFonts w:asciiTheme="majorHAnsi" w:eastAsia="Times New Roman" w:hAnsiTheme="majorHAnsi" w:cs="Arial"/>
          <w:sz w:val="24"/>
          <w:szCs w:val="24"/>
        </w:rPr>
      </w:pPr>
      <w:r w:rsidRPr="00617CFF">
        <w:rPr>
          <w:rFonts w:asciiTheme="majorHAnsi" w:eastAsia="Times New Roman" w:hAnsiTheme="majorHAnsi" w:cs="Arial"/>
          <w:sz w:val="24"/>
          <w:szCs w:val="24"/>
        </w:rPr>
        <w:t>la réalisation du projet de Stockage Massif, qui permettrait de corriger les insuffisances d’infrastructures logistique et intensifier les activités de trading et de « blending » dans les zones des ports autonomes d’Abidjan et de San-Pedro ;</w:t>
      </w:r>
    </w:p>
    <w:p w14:paraId="6C0E8E4B" w14:textId="77777777" w:rsidR="00105119" w:rsidRPr="00617CFF" w:rsidRDefault="00105119" w:rsidP="00F34F65">
      <w:pPr>
        <w:pStyle w:val="Paragraphedeliste"/>
        <w:numPr>
          <w:ilvl w:val="0"/>
          <w:numId w:val="12"/>
        </w:numPr>
        <w:shd w:val="clear" w:color="auto" w:fill="FFFFFF"/>
        <w:spacing w:after="0" w:line="240" w:lineRule="auto"/>
        <w:jc w:val="both"/>
        <w:rPr>
          <w:rFonts w:asciiTheme="majorHAnsi" w:eastAsia="Times New Roman" w:hAnsiTheme="majorHAnsi" w:cs="Arial"/>
          <w:sz w:val="24"/>
          <w:szCs w:val="24"/>
        </w:rPr>
      </w:pPr>
      <w:r w:rsidRPr="00617CFF">
        <w:rPr>
          <w:rFonts w:asciiTheme="majorHAnsi" w:eastAsia="Times New Roman" w:hAnsiTheme="majorHAnsi" w:cs="Arial"/>
          <w:sz w:val="24"/>
          <w:szCs w:val="24"/>
        </w:rPr>
        <w:t>l’amélioration des performances techniques, environnementales et financières de la SIR ;</w:t>
      </w:r>
    </w:p>
    <w:p w14:paraId="3910FFCE" w14:textId="69DE74E1" w:rsidR="002A70A3" w:rsidRPr="00617CFF" w:rsidRDefault="00105119" w:rsidP="00F34F65">
      <w:pPr>
        <w:pStyle w:val="Paragraphedeliste"/>
        <w:numPr>
          <w:ilvl w:val="0"/>
          <w:numId w:val="12"/>
        </w:numPr>
        <w:shd w:val="clear" w:color="auto" w:fill="FFFFFF"/>
        <w:spacing w:before="120" w:after="120" w:line="240" w:lineRule="auto"/>
        <w:jc w:val="both"/>
        <w:rPr>
          <w:rFonts w:asciiTheme="majorHAnsi" w:eastAsia="Times New Roman" w:hAnsiTheme="majorHAnsi" w:cs="Arial"/>
          <w:sz w:val="24"/>
          <w:szCs w:val="24"/>
        </w:rPr>
      </w:pPr>
      <w:r w:rsidRPr="00617CFF">
        <w:rPr>
          <w:rFonts w:asciiTheme="majorHAnsi" w:eastAsia="Times New Roman" w:hAnsiTheme="majorHAnsi" w:cs="Arial"/>
          <w:sz w:val="24"/>
          <w:szCs w:val="24"/>
        </w:rPr>
        <w:t>la consolidation des stocks de sécurité et la desserte du Burkina Faso et du Mali à partir de Yamoussoukro par la GESTOCI.</w:t>
      </w:r>
    </w:p>
    <w:p w14:paraId="147731F1" w14:textId="77777777" w:rsidR="00105119" w:rsidRPr="00617CFF" w:rsidRDefault="00105119" w:rsidP="00C9552F">
      <w:pPr>
        <w:shd w:val="clear" w:color="auto" w:fill="FFFFFF"/>
        <w:spacing w:before="120" w:after="120" w:line="240" w:lineRule="auto"/>
        <w:jc w:val="both"/>
        <w:rPr>
          <w:rFonts w:asciiTheme="majorHAnsi" w:eastAsia="Times New Roman" w:hAnsiTheme="majorHAnsi" w:cs="Arial"/>
          <w:sz w:val="24"/>
          <w:szCs w:val="24"/>
        </w:rPr>
      </w:pPr>
      <w:r w:rsidRPr="00F34F65">
        <w:rPr>
          <w:rFonts w:asciiTheme="majorHAnsi" w:eastAsia="Times New Roman" w:hAnsiTheme="majorHAnsi" w:cs="Arial"/>
          <w:b/>
          <w:sz w:val="24"/>
          <w:szCs w:val="24"/>
        </w:rPr>
        <w:t>Sur le plan de l’Energie</w:t>
      </w:r>
      <w:r w:rsidRPr="00617CFF">
        <w:rPr>
          <w:rFonts w:asciiTheme="majorHAnsi" w:eastAsia="Times New Roman" w:hAnsiTheme="majorHAnsi" w:cs="Arial"/>
          <w:sz w:val="24"/>
          <w:szCs w:val="24"/>
        </w:rPr>
        <w:t>, le gouvernement de Côte d’Ivoire souhaite développer et exploiter le potentiel énergétique de la Côte d’Ivoire selon les quatre axes stratégiques de développement suivants :</w:t>
      </w:r>
    </w:p>
    <w:p w14:paraId="3BC39EDA" w14:textId="77777777" w:rsidR="00105119" w:rsidRPr="00617CFF" w:rsidRDefault="00105119" w:rsidP="00F34F65">
      <w:pPr>
        <w:numPr>
          <w:ilvl w:val="0"/>
          <w:numId w:val="13"/>
        </w:numPr>
        <w:shd w:val="clear" w:color="auto" w:fill="FFFFFF"/>
        <w:spacing w:after="0" w:line="240" w:lineRule="auto"/>
        <w:jc w:val="both"/>
        <w:rPr>
          <w:rFonts w:asciiTheme="majorHAnsi" w:eastAsia="Times New Roman" w:hAnsiTheme="majorHAnsi" w:cs="Arial"/>
          <w:sz w:val="24"/>
          <w:szCs w:val="24"/>
        </w:rPr>
      </w:pPr>
      <w:r w:rsidRPr="00617CFF">
        <w:rPr>
          <w:rFonts w:asciiTheme="majorHAnsi" w:eastAsia="Times New Roman" w:hAnsiTheme="majorHAnsi" w:cs="Arial"/>
          <w:sz w:val="24"/>
          <w:szCs w:val="24"/>
        </w:rPr>
        <w:t xml:space="preserve"> Fiabilité et Sécurité d’approvisionnement ;</w:t>
      </w:r>
    </w:p>
    <w:p w14:paraId="5AB1E2CA" w14:textId="7317C80D" w:rsidR="00105119" w:rsidRPr="00617CFF" w:rsidRDefault="00105119" w:rsidP="00F34F65">
      <w:pPr>
        <w:numPr>
          <w:ilvl w:val="0"/>
          <w:numId w:val="13"/>
        </w:numPr>
        <w:shd w:val="clear" w:color="auto" w:fill="FFFFFF"/>
        <w:spacing w:after="0" w:line="240" w:lineRule="auto"/>
        <w:jc w:val="both"/>
        <w:rPr>
          <w:rFonts w:asciiTheme="majorHAnsi" w:eastAsia="Times New Roman" w:hAnsiTheme="majorHAnsi" w:cs="Arial"/>
          <w:sz w:val="24"/>
          <w:szCs w:val="24"/>
        </w:rPr>
      </w:pPr>
      <w:r w:rsidRPr="00617CFF">
        <w:rPr>
          <w:rFonts w:asciiTheme="majorHAnsi" w:eastAsia="Times New Roman" w:hAnsiTheme="majorHAnsi" w:cs="Arial"/>
          <w:sz w:val="24"/>
          <w:szCs w:val="24"/>
        </w:rPr>
        <w:t xml:space="preserve">Accès à l’énergie pour </w:t>
      </w:r>
      <w:r w:rsidR="00F34F65" w:rsidRPr="00617CFF">
        <w:rPr>
          <w:rFonts w:asciiTheme="majorHAnsi" w:eastAsia="Times New Roman" w:hAnsiTheme="majorHAnsi" w:cs="Arial"/>
          <w:sz w:val="24"/>
          <w:szCs w:val="24"/>
        </w:rPr>
        <w:t>tous ;</w:t>
      </w:r>
    </w:p>
    <w:p w14:paraId="7556582A" w14:textId="1BACF894" w:rsidR="00105119" w:rsidRPr="00617CFF" w:rsidRDefault="00105119" w:rsidP="00F34F65">
      <w:pPr>
        <w:numPr>
          <w:ilvl w:val="0"/>
          <w:numId w:val="13"/>
        </w:numPr>
        <w:shd w:val="clear" w:color="auto" w:fill="FFFFFF"/>
        <w:spacing w:after="0" w:line="240" w:lineRule="auto"/>
        <w:jc w:val="both"/>
        <w:rPr>
          <w:rFonts w:asciiTheme="majorHAnsi" w:eastAsia="Times New Roman" w:hAnsiTheme="majorHAnsi" w:cs="Arial"/>
          <w:sz w:val="24"/>
          <w:szCs w:val="24"/>
        </w:rPr>
      </w:pPr>
      <w:r w:rsidRPr="00617CFF">
        <w:rPr>
          <w:rFonts w:asciiTheme="majorHAnsi" w:eastAsia="Times New Roman" w:hAnsiTheme="majorHAnsi" w:cs="Arial"/>
          <w:sz w:val="24"/>
          <w:szCs w:val="24"/>
        </w:rPr>
        <w:t xml:space="preserve">Préoccupations </w:t>
      </w:r>
      <w:r w:rsidR="00F34F65" w:rsidRPr="00617CFF">
        <w:rPr>
          <w:rFonts w:asciiTheme="majorHAnsi" w:eastAsia="Times New Roman" w:hAnsiTheme="majorHAnsi" w:cs="Arial"/>
          <w:sz w:val="24"/>
          <w:szCs w:val="24"/>
        </w:rPr>
        <w:t>Environnementales ;</w:t>
      </w:r>
    </w:p>
    <w:p w14:paraId="0C813BF9" w14:textId="77777777" w:rsidR="00105119" w:rsidRPr="00617CFF" w:rsidRDefault="00105119" w:rsidP="00F34F65">
      <w:pPr>
        <w:numPr>
          <w:ilvl w:val="0"/>
          <w:numId w:val="13"/>
        </w:numPr>
        <w:shd w:val="clear" w:color="auto" w:fill="FFFFFF"/>
        <w:spacing w:after="0" w:line="240" w:lineRule="auto"/>
        <w:jc w:val="both"/>
        <w:rPr>
          <w:rFonts w:asciiTheme="majorHAnsi" w:eastAsia="Times New Roman" w:hAnsiTheme="majorHAnsi" w:cs="Arial"/>
          <w:sz w:val="24"/>
          <w:szCs w:val="24"/>
        </w:rPr>
      </w:pPr>
      <w:r w:rsidRPr="00617CFF">
        <w:rPr>
          <w:rFonts w:asciiTheme="majorHAnsi" w:eastAsia="Times New Roman" w:hAnsiTheme="majorHAnsi" w:cs="Arial"/>
          <w:sz w:val="24"/>
          <w:szCs w:val="24"/>
        </w:rPr>
        <w:t>Pôle Energétique régional.</w:t>
      </w:r>
    </w:p>
    <w:p w14:paraId="54E6648C" w14:textId="352794BA" w:rsidR="00105119" w:rsidRPr="00617CFF" w:rsidRDefault="00105119" w:rsidP="00F34F65">
      <w:pPr>
        <w:shd w:val="clear" w:color="auto" w:fill="FFFFFF"/>
        <w:spacing w:before="120" w:after="120" w:line="240" w:lineRule="auto"/>
        <w:jc w:val="both"/>
        <w:rPr>
          <w:rFonts w:asciiTheme="majorHAnsi" w:eastAsia="Times New Roman" w:hAnsiTheme="majorHAnsi" w:cs="Arial"/>
          <w:sz w:val="24"/>
          <w:szCs w:val="24"/>
        </w:rPr>
      </w:pPr>
      <w:r w:rsidRPr="00617CFF">
        <w:rPr>
          <w:rFonts w:asciiTheme="majorHAnsi" w:eastAsia="Times New Roman" w:hAnsiTheme="majorHAnsi" w:cs="Arial"/>
          <w:sz w:val="24"/>
          <w:szCs w:val="24"/>
        </w:rPr>
        <w:t xml:space="preserve">Au niveau de l’électricité, plusieurs travaux et projets de réhabilitation et de développement des ouvrages du réseau électrique et centrales thermiques constituent une priorité du gouvernement. C’est le cas des centrales thermiques à gaz Ciprel 5 et Azito 4 qui illustrent l’importance du développement du secteur de gaz pour le gouvernement et l’Etat de Côte d’Ivoire dans la mise en œuvre de son programme social.  </w:t>
      </w:r>
    </w:p>
    <w:p w14:paraId="5320591F" w14:textId="300A5F72" w:rsidR="0062023E" w:rsidRPr="00617CFF" w:rsidRDefault="00041705" w:rsidP="00F11042">
      <w:pPr>
        <w:spacing w:before="120" w:after="120" w:line="240" w:lineRule="auto"/>
        <w:jc w:val="both"/>
        <w:rPr>
          <w:rFonts w:asciiTheme="majorHAnsi" w:hAnsiTheme="majorHAnsi"/>
          <w:b/>
          <w:sz w:val="24"/>
          <w:szCs w:val="24"/>
        </w:rPr>
      </w:pPr>
      <w:r w:rsidRPr="00617CFF">
        <w:rPr>
          <w:rFonts w:asciiTheme="majorHAnsi" w:eastAsia="Times New Roman" w:hAnsiTheme="majorHAnsi" w:cs="Arial"/>
          <w:sz w:val="24"/>
          <w:szCs w:val="24"/>
        </w:rPr>
        <w:t>En terme des résultats,</w:t>
      </w:r>
      <w:r w:rsidR="0062023E" w:rsidRPr="00617CFF">
        <w:rPr>
          <w:rFonts w:asciiTheme="majorHAnsi" w:eastAsia="Times New Roman" w:hAnsiTheme="majorHAnsi" w:cs="Arial"/>
          <w:sz w:val="24"/>
          <w:szCs w:val="24"/>
        </w:rPr>
        <w:t xml:space="preserve"> à la suite des travaux réalisées entre</w:t>
      </w:r>
      <w:r w:rsidRPr="00617CFF">
        <w:rPr>
          <w:rFonts w:asciiTheme="majorHAnsi" w:eastAsia="Times New Roman" w:hAnsiTheme="majorHAnsi" w:cs="Arial"/>
          <w:sz w:val="24"/>
          <w:szCs w:val="24"/>
        </w:rPr>
        <w:t xml:space="preserve"> entre 2011 et 2020, l</w:t>
      </w:r>
      <w:r w:rsidR="0062023E" w:rsidRPr="00617CFF">
        <w:rPr>
          <w:rFonts w:asciiTheme="majorHAnsi" w:hAnsiTheme="majorHAnsi"/>
          <w:b/>
          <w:sz w:val="24"/>
          <w:szCs w:val="24"/>
        </w:rPr>
        <w:t>’on peut noter :</w:t>
      </w:r>
    </w:p>
    <w:p w14:paraId="4F62D930" w14:textId="77777777" w:rsidR="0062023E" w:rsidRPr="00617CFF" w:rsidRDefault="00041705" w:rsidP="00F34F65">
      <w:pPr>
        <w:pStyle w:val="Paragraphedeliste"/>
        <w:numPr>
          <w:ilvl w:val="0"/>
          <w:numId w:val="14"/>
        </w:numPr>
        <w:spacing w:before="120" w:after="120" w:line="240" w:lineRule="auto"/>
        <w:jc w:val="both"/>
        <w:rPr>
          <w:rFonts w:asciiTheme="majorHAnsi" w:hAnsiTheme="majorHAnsi"/>
          <w:b/>
          <w:sz w:val="24"/>
          <w:szCs w:val="24"/>
        </w:rPr>
      </w:pPr>
      <w:r w:rsidRPr="00617CFF">
        <w:rPr>
          <w:rFonts w:asciiTheme="majorHAnsi" w:hAnsiTheme="majorHAnsi"/>
          <w:b/>
          <w:sz w:val="24"/>
          <w:szCs w:val="24"/>
        </w:rPr>
        <w:lastRenderedPageBreak/>
        <w:t>Meilleure connaissance du bassin sédimentaire</w:t>
      </w:r>
      <w:r w:rsidR="0062023E" w:rsidRPr="00617CFF">
        <w:rPr>
          <w:rFonts w:asciiTheme="majorHAnsi" w:hAnsiTheme="majorHAnsi"/>
          <w:b/>
          <w:sz w:val="24"/>
          <w:szCs w:val="24"/>
        </w:rPr>
        <w:t> ;</w:t>
      </w:r>
    </w:p>
    <w:p w14:paraId="78A32796" w14:textId="77777777" w:rsidR="0062023E" w:rsidRPr="00617CFF" w:rsidRDefault="00041705" w:rsidP="00F34F65">
      <w:pPr>
        <w:pStyle w:val="Paragraphedeliste"/>
        <w:numPr>
          <w:ilvl w:val="0"/>
          <w:numId w:val="14"/>
        </w:numPr>
        <w:spacing w:before="120" w:after="120" w:line="240" w:lineRule="auto"/>
        <w:jc w:val="both"/>
        <w:rPr>
          <w:rFonts w:asciiTheme="majorHAnsi" w:hAnsiTheme="majorHAnsi"/>
          <w:b/>
          <w:sz w:val="24"/>
          <w:szCs w:val="24"/>
        </w:rPr>
      </w:pPr>
      <w:r w:rsidRPr="00617CFF">
        <w:rPr>
          <w:rFonts w:asciiTheme="majorHAnsi" w:hAnsiTheme="majorHAnsi"/>
          <w:b/>
          <w:sz w:val="24"/>
          <w:szCs w:val="24"/>
        </w:rPr>
        <w:t>Cartographie précise des prospects</w:t>
      </w:r>
      <w:r w:rsidR="0062023E" w:rsidRPr="00617CFF">
        <w:rPr>
          <w:rFonts w:asciiTheme="majorHAnsi" w:hAnsiTheme="majorHAnsi"/>
          <w:b/>
          <w:sz w:val="24"/>
          <w:szCs w:val="24"/>
        </w:rPr>
        <w:t> ;</w:t>
      </w:r>
    </w:p>
    <w:p w14:paraId="48156051" w14:textId="77777777" w:rsidR="0062023E" w:rsidRPr="00617CFF" w:rsidRDefault="00041705" w:rsidP="00F34F65">
      <w:pPr>
        <w:pStyle w:val="Paragraphedeliste"/>
        <w:numPr>
          <w:ilvl w:val="0"/>
          <w:numId w:val="14"/>
        </w:numPr>
        <w:spacing w:before="120" w:after="120" w:line="240" w:lineRule="auto"/>
        <w:jc w:val="both"/>
        <w:rPr>
          <w:rFonts w:asciiTheme="majorHAnsi" w:hAnsiTheme="majorHAnsi"/>
          <w:b/>
          <w:sz w:val="24"/>
          <w:szCs w:val="24"/>
        </w:rPr>
      </w:pPr>
      <w:r w:rsidRPr="00617CFF">
        <w:rPr>
          <w:rFonts w:asciiTheme="majorHAnsi" w:hAnsiTheme="majorHAnsi"/>
          <w:b/>
          <w:sz w:val="24"/>
          <w:szCs w:val="24"/>
        </w:rPr>
        <w:t>Caractérisati</w:t>
      </w:r>
      <w:r w:rsidR="0062023E" w:rsidRPr="00617CFF">
        <w:rPr>
          <w:rFonts w:asciiTheme="majorHAnsi" w:hAnsiTheme="majorHAnsi"/>
          <w:b/>
          <w:sz w:val="24"/>
          <w:szCs w:val="24"/>
        </w:rPr>
        <w:t>on des pièges et des réservoirs ;</w:t>
      </w:r>
    </w:p>
    <w:p w14:paraId="4662D403" w14:textId="77777777" w:rsidR="0062023E" w:rsidRPr="00617CFF" w:rsidRDefault="00041705" w:rsidP="00F34F65">
      <w:pPr>
        <w:pStyle w:val="Paragraphedeliste"/>
        <w:numPr>
          <w:ilvl w:val="0"/>
          <w:numId w:val="14"/>
        </w:numPr>
        <w:spacing w:before="120" w:after="120" w:line="240" w:lineRule="auto"/>
        <w:jc w:val="both"/>
        <w:rPr>
          <w:rFonts w:asciiTheme="majorHAnsi" w:hAnsiTheme="majorHAnsi"/>
          <w:b/>
          <w:sz w:val="24"/>
          <w:szCs w:val="24"/>
        </w:rPr>
      </w:pPr>
      <w:r w:rsidRPr="00617CFF">
        <w:rPr>
          <w:rFonts w:asciiTheme="majorHAnsi" w:hAnsiTheme="majorHAnsi"/>
          <w:b/>
          <w:sz w:val="24"/>
          <w:szCs w:val="24"/>
        </w:rPr>
        <w:t>35 CPP signés</w:t>
      </w:r>
      <w:r w:rsidR="0062023E" w:rsidRPr="00617CFF">
        <w:rPr>
          <w:rFonts w:asciiTheme="majorHAnsi" w:hAnsiTheme="majorHAnsi"/>
          <w:b/>
          <w:sz w:val="24"/>
          <w:szCs w:val="24"/>
        </w:rPr>
        <w:t xml:space="preserve"> entre 2011 et 2019 à la suite de la promotion des blocs libres (road show) ;</w:t>
      </w:r>
    </w:p>
    <w:p w14:paraId="25AC2554" w14:textId="599BBFB4" w:rsidR="00105119" w:rsidRPr="00617CFF" w:rsidRDefault="00105119" w:rsidP="001811C0">
      <w:pPr>
        <w:shd w:val="clear" w:color="auto" w:fill="FFFFFF"/>
        <w:spacing w:after="0" w:line="240" w:lineRule="auto"/>
        <w:jc w:val="both"/>
        <w:rPr>
          <w:rFonts w:asciiTheme="majorHAnsi" w:eastAsia="Times New Roman" w:hAnsiTheme="majorHAnsi" w:cs="Arial"/>
          <w:sz w:val="24"/>
          <w:szCs w:val="24"/>
        </w:rPr>
      </w:pPr>
      <w:r w:rsidRPr="00617CFF">
        <w:rPr>
          <w:rFonts w:asciiTheme="majorHAnsi" w:eastAsia="Times New Roman" w:hAnsiTheme="majorHAnsi" w:cs="Arial"/>
          <w:sz w:val="24"/>
          <w:szCs w:val="24"/>
        </w:rPr>
        <w:t xml:space="preserve">Au nombre des objectifs relevés ci-dessus par le ministère en charge du Pétrole et de l’énergie, la promotion et la signature de nouveaux permis d’exploration (CPP) et le développement de gisement marginal de gaz déjà identifiés, cadrent avec la Norme ITIE et les activités planifiées </w:t>
      </w:r>
      <w:r w:rsidR="00041705" w:rsidRPr="00617CFF">
        <w:rPr>
          <w:rFonts w:asciiTheme="majorHAnsi" w:eastAsia="Times New Roman" w:hAnsiTheme="majorHAnsi" w:cs="Arial"/>
          <w:sz w:val="24"/>
          <w:szCs w:val="24"/>
        </w:rPr>
        <w:t>dans le plan de travail 2021-2023</w:t>
      </w:r>
      <w:r w:rsidRPr="00617CFF">
        <w:rPr>
          <w:rFonts w:asciiTheme="majorHAnsi" w:eastAsia="Times New Roman" w:hAnsiTheme="majorHAnsi" w:cs="Arial"/>
          <w:sz w:val="24"/>
          <w:szCs w:val="24"/>
        </w:rPr>
        <w:t xml:space="preserve">. </w:t>
      </w:r>
    </w:p>
    <w:p w14:paraId="5820D285" w14:textId="47163555" w:rsidR="00105119" w:rsidRPr="00617CFF" w:rsidRDefault="00105119" w:rsidP="001811C0">
      <w:pPr>
        <w:shd w:val="clear" w:color="auto" w:fill="FFFFFF"/>
        <w:spacing w:before="120" w:after="120" w:line="240" w:lineRule="auto"/>
        <w:jc w:val="both"/>
        <w:rPr>
          <w:rFonts w:asciiTheme="majorHAnsi" w:eastAsia="Times New Roman" w:hAnsiTheme="majorHAnsi" w:cs="Arial"/>
          <w:sz w:val="24"/>
          <w:szCs w:val="24"/>
        </w:rPr>
      </w:pPr>
      <w:r w:rsidRPr="00617CFF">
        <w:rPr>
          <w:rFonts w:asciiTheme="majorHAnsi" w:eastAsia="Times New Roman" w:hAnsiTheme="majorHAnsi" w:cs="Arial"/>
          <w:sz w:val="24"/>
          <w:szCs w:val="24"/>
        </w:rPr>
        <w:t>En effet, la Norme ITIE encourage la divulgation publique de tous les contrats et permis d’exploration et d’exploitation. Le CN-ITIE mettra en place en collaboration avec le ministère en charge du pétrole et les entreprises pétrolière un plan de divulgation des contrats et permis et définira les mesures de mitigation des risques et défis identifiés dans le cadre de cette divulgation. Il conviendra également d’échanger avec le Ministère en charge du pétrole et de l’énergie afin de déterminer et mettre en place les mécanismes et processus d’élaboration et de publication d’un registre public adapté au secteur du pétrole.</w:t>
      </w:r>
    </w:p>
    <w:p w14:paraId="0779A688" w14:textId="494E5861" w:rsidR="00041705" w:rsidRPr="00617CFF" w:rsidRDefault="00041705" w:rsidP="001811C0">
      <w:pPr>
        <w:spacing w:before="120" w:after="120" w:line="240" w:lineRule="auto"/>
        <w:jc w:val="both"/>
        <w:rPr>
          <w:rFonts w:asciiTheme="majorHAnsi" w:hAnsiTheme="majorHAnsi"/>
          <w:sz w:val="24"/>
          <w:szCs w:val="24"/>
        </w:rPr>
      </w:pPr>
      <w:r w:rsidRPr="00617CFF">
        <w:rPr>
          <w:rFonts w:asciiTheme="majorHAnsi" w:eastAsia="Times New Roman" w:hAnsiTheme="majorHAnsi" w:cs="Arial"/>
          <w:sz w:val="24"/>
          <w:szCs w:val="24"/>
        </w:rPr>
        <w:t xml:space="preserve">Les priorités du secteur des hydrocarbures pour 2021, </w:t>
      </w:r>
      <w:r w:rsidR="008D1F0E" w:rsidRPr="00617CFF">
        <w:rPr>
          <w:rFonts w:asciiTheme="majorHAnsi" w:eastAsia="Times New Roman" w:hAnsiTheme="majorHAnsi" w:cs="Arial"/>
          <w:sz w:val="24"/>
          <w:szCs w:val="24"/>
        </w:rPr>
        <w:t>concernent</w:t>
      </w:r>
      <w:r w:rsidRPr="00617CFF">
        <w:rPr>
          <w:rFonts w:asciiTheme="majorHAnsi" w:eastAsia="Times New Roman" w:hAnsiTheme="majorHAnsi" w:cs="Arial"/>
          <w:sz w:val="24"/>
          <w:szCs w:val="24"/>
        </w:rPr>
        <w:t> l</w:t>
      </w:r>
      <w:r w:rsidRPr="00617CFF">
        <w:rPr>
          <w:rFonts w:asciiTheme="majorHAnsi" w:hAnsiTheme="majorHAnsi"/>
          <w:sz w:val="24"/>
          <w:szCs w:val="24"/>
        </w:rPr>
        <w:t xml:space="preserve">a valorisation du potentiel pétrolier du bassin sédimentaire </w:t>
      </w:r>
      <w:r w:rsidRPr="00617CFF">
        <w:rPr>
          <w:rFonts w:asciiTheme="majorHAnsi" w:eastAsia="Times New Roman" w:hAnsiTheme="majorHAnsi" w:cs="Arial"/>
          <w:sz w:val="24"/>
          <w:szCs w:val="24"/>
        </w:rPr>
        <w:t>et l’a</w:t>
      </w:r>
      <w:r w:rsidRPr="00617CFF">
        <w:rPr>
          <w:rFonts w:asciiTheme="majorHAnsi" w:hAnsiTheme="majorHAnsi"/>
          <w:sz w:val="24"/>
          <w:szCs w:val="24"/>
        </w:rPr>
        <w:t xml:space="preserve">doption et mise en œuvre de la loi sur le Contenu Local au niveau des hydrocarbures. </w:t>
      </w:r>
    </w:p>
    <w:p w14:paraId="3A08C8A8" w14:textId="08CC2D2A" w:rsidR="00041705" w:rsidRPr="00617CFF" w:rsidRDefault="008D1F0E" w:rsidP="00BF7087">
      <w:pPr>
        <w:spacing w:after="0" w:line="240" w:lineRule="auto"/>
        <w:jc w:val="both"/>
        <w:rPr>
          <w:rFonts w:asciiTheme="majorHAnsi" w:hAnsiTheme="majorHAnsi"/>
          <w:sz w:val="24"/>
          <w:szCs w:val="24"/>
        </w:rPr>
      </w:pPr>
      <w:r w:rsidRPr="00617CFF">
        <w:rPr>
          <w:rFonts w:asciiTheme="majorHAnsi" w:hAnsiTheme="majorHAnsi"/>
          <w:sz w:val="24"/>
          <w:szCs w:val="24"/>
        </w:rPr>
        <w:t>En termes de résultats, il est prévu en 2021, six (06) forages prévus dont un (1) forage d'exploration ; un (1) orage d'exploration ;</w:t>
      </w:r>
      <w:r w:rsidRPr="00617CFF">
        <w:rPr>
          <w:rFonts w:asciiTheme="majorHAnsi" w:hAnsiTheme="majorHAnsi"/>
          <w:color w:val="000000" w:themeColor="dark1"/>
          <w:kern w:val="24"/>
          <w:sz w:val="24"/>
          <w:szCs w:val="24"/>
        </w:rPr>
        <w:t xml:space="preserve"> </w:t>
      </w:r>
      <w:r w:rsidRPr="00617CFF">
        <w:rPr>
          <w:rFonts w:asciiTheme="majorHAnsi" w:hAnsiTheme="majorHAnsi"/>
          <w:sz w:val="24"/>
          <w:szCs w:val="24"/>
        </w:rPr>
        <w:t>trois (3) forages de développement, un (1) forage d'exploration.</w:t>
      </w:r>
    </w:p>
    <w:p w14:paraId="7E390B55" w14:textId="6FB002BC" w:rsidR="00105119" w:rsidRPr="00617CFF" w:rsidRDefault="00105119" w:rsidP="00BF7087">
      <w:pPr>
        <w:tabs>
          <w:tab w:val="left" w:pos="720"/>
        </w:tabs>
        <w:spacing w:before="120" w:after="120" w:line="240" w:lineRule="auto"/>
        <w:jc w:val="both"/>
        <w:rPr>
          <w:rFonts w:asciiTheme="majorHAnsi" w:hAnsiTheme="majorHAnsi"/>
          <w:sz w:val="24"/>
          <w:szCs w:val="24"/>
        </w:rPr>
      </w:pPr>
      <w:r w:rsidRPr="00617CFF">
        <w:rPr>
          <w:rFonts w:asciiTheme="majorHAnsi" w:hAnsiTheme="majorHAnsi"/>
          <w:sz w:val="24"/>
          <w:szCs w:val="24"/>
        </w:rPr>
        <w:t xml:space="preserve">En ce qui concerne le secteur minier, la Côte d’Ivoire dispose de </w:t>
      </w:r>
      <w:r w:rsidR="0092508F" w:rsidRPr="00617CFF">
        <w:rPr>
          <w:rFonts w:asciiTheme="majorHAnsi" w:hAnsiTheme="majorHAnsi"/>
          <w:sz w:val="24"/>
          <w:szCs w:val="24"/>
        </w:rPr>
        <w:t xml:space="preserve">ressources minières </w:t>
      </w:r>
      <w:r w:rsidRPr="00617CFF">
        <w:rPr>
          <w:rFonts w:asciiTheme="majorHAnsi" w:hAnsiTheme="majorHAnsi"/>
          <w:sz w:val="24"/>
          <w:szCs w:val="24"/>
        </w:rPr>
        <w:t>importantes constituées d’or, de fer, de manganèse, de bauxite, de n</w:t>
      </w:r>
      <w:r w:rsidR="0092508F" w:rsidRPr="00617CFF">
        <w:rPr>
          <w:rFonts w:asciiTheme="majorHAnsi" w:hAnsiTheme="majorHAnsi"/>
          <w:sz w:val="24"/>
          <w:szCs w:val="24"/>
        </w:rPr>
        <w:t xml:space="preserve">ickel, de cobalt, de diamant, </w:t>
      </w:r>
      <w:r w:rsidRPr="00617CFF">
        <w:rPr>
          <w:rFonts w:asciiTheme="majorHAnsi" w:hAnsiTheme="majorHAnsi"/>
          <w:sz w:val="24"/>
          <w:szCs w:val="24"/>
        </w:rPr>
        <w:t>de cuivre</w:t>
      </w:r>
      <w:r w:rsidR="0092508F" w:rsidRPr="00617CFF">
        <w:rPr>
          <w:rFonts w:asciiTheme="majorHAnsi" w:hAnsiTheme="majorHAnsi"/>
          <w:sz w:val="24"/>
          <w:szCs w:val="24"/>
        </w:rPr>
        <w:t xml:space="preserve"> et bien d’autres. Certaines de ces</w:t>
      </w:r>
      <w:r w:rsidRPr="00617CFF">
        <w:rPr>
          <w:rFonts w:asciiTheme="majorHAnsi" w:hAnsiTheme="majorHAnsi"/>
          <w:sz w:val="24"/>
          <w:szCs w:val="24"/>
        </w:rPr>
        <w:t xml:space="preserve"> ressources sont encore faiblement exploitées. A ce jour, seuls l’or et le manganèse sont exploités en Côte d’Ivoire de façon industrielle.</w:t>
      </w:r>
    </w:p>
    <w:p w14:paraId="6D74C5F8" w14:textId="51991C84" w:rsidR="00105119" w:rsidRPr="00617CFF" w:rsidRDefault="00C1734E" w:rsidP="00BF7087">
      <w:pPr>
        <w:tabs>
          <w:tab w:val="left" w:pos="720"/>
        </w:tabs>
        <w:spacing w:before="120" w:after="120" w:line="240" w:lineRule="auto"/>
        <w:jc w:val="both"/>
        <w:rPr>
          <w:rFonts w:asciiTheme="majorHAnsi" w:hAnsiTheme="majorHAnsi"/>
          <w:sz w:val="24"/>
          <w:szCs w:val="24"/>
        </w:rPr>
      </w:pPr>
      <w:r w:rsidRPr="00617CFF">
        <w:rPr>
          <w:rFonts w:asciiTheme="majorHAnsi" w:hAnsiTheme="majorHAnsi"/>
          <w:sz w:val="24"/>
          <w:szCs w:val="24"/>
        </w:rPr>
        <w:t>Il convient de noter que dans le dernier gouvernement, le</w:t>
      </w:r>
      <w:r w:rsidR="00105119" w:rsidRPr="00617CFF">
        <w:rPr>
          <w:rFonts w:asciiTheme="majorHAnsi" w:hAnsiTheme="majorHAnsi"/>
          <w:sz w:val="24"/>
          <w:szCs w:val="24"/>
        </w:rPr>
        <w:t xml:space="preserve"> Ministère en charge des Mines et de Géologie a </w:t>
      </w:r>
      <w:r w:rsidR="00EC130F" w:rsidRPr="00617CFF">
        <w:rPr>
          <w:rFonts w:asciiTheme="majorHAnsi" w:hAnsiTheme="majorHAnsi"/>
          <w:sz w:val="24"/>
          <w:szCs w:val="24"/>
        </w:rPr>
        <w:t xml:space="preserve">été fusionné avec le ministère en charge du Pétrole et de l’Energie pour </w:t>
      </w:r>
      <w:r w:rsidRPr="00617CFF">
        <w:rPr>
          <w:rFonts w:asciiTheme="majorHAnsi" w:hAnsiTheme="majorHAnsi"/>
          <w:sz w:val="24"/>
          <w:szCs w:val="24"/>
        </w:rPr>
        <w:t xml:space="preserve">et </w:t>
      </w:r>
      <w:r w:rsidR="00EC130F" w:rsidRPr="00617CFF">
        <w:rPr>
          <w:rFonts w:asciiTheme="majorHAnsi" w:hAnsiTheme="majorHAnsi"/>
          <w:sz w:val="24"/>
          <w:szCs w:val="24"/>
        </w:rPr>
        <w:t xml:space="preserve">dénommé ‘’Ministère des Mines, du Pétrole et de l’Energie’’. Aussi, avant cette fusion, au moment de la préparation du plan de travail 2021-2023, le ministère en charge des Mines et de la Géologie avait </w:t>
      </w:r>
      <w:r w:rsidR="00105119" w:rsidRPr="00617CFF">
        <w:rPr>
          <w:rFonts w:asciiTheme="majorHAnsi" w:hAnsiTheme="majorHAnsi"/>
          <w:sz w:val="24"/>
          <w:szCs w:val="24"/>
        </w:rPr>
        <w:t>engagé le processus d’élaboration d’une politique minière comme recommandé par les Rapports de conciliation ITIE successives. Le CN-ITIE a participé à plusieurs réunions de réflexion et démarrage de l’étude devant aboutir à la mise en place de cette politique.</w:t>
      </w:r>
    </w:p>
    <w:p w14:paraId="33DBB24E" w14:textId="24317E66" w:rsidR="00105119" w:rsidRPr="00617CFF" w:rsidRDefault="00EC130F" w:rsidP="00F11042">
      <w:pPr>
        <w:spacing w:before="120" w:after="120" w:line="240" w:lineRule="auto"/>
        <w:jc w:val="both"/>
        <w:rPr>
          <w:rFonts w:asciiTheme="majorHAnsi" w:hAnsiTheme="majorHAnsi"/>
          <w:sz w:val="24"/>
          <w:szCs w:val="24"/>
        </w:rPr>
      </w:pPr>
      <w:r w:rsidRPr="00617CFF">
        <w:rPr>
          <w:rFonts w:asciiTheme="majorHAnsi" w:hAnsiTheme="majorHAnsi"/>
          <w:sz w:val="24"/>
          <w:szCs w:val="24"/>
        </w:rPr>
        <w:t>Par ailleurs</w:t>
      </w:r>
      <w:r w:rsidR="00105119" w:rsidRPr="00617CFF">
        <w:rPr>
          <w:rFonts w:asciiTheme="majorHAnsi" w:hAnsiTheme="majorHAnsi"/>
          <w:sz w:val="24"/>
          <w:szCs w:val="24"/>
        </w:rPr>
        <w:t>, le secteur minier ivoirien a connu un dynamisme particulier ces dernières années avec notamment la promulgation du nouveau Code Minier en 2014 et la levée en avril 2014 de l’embargo qui frappait l’exportation des diamants de la Côte d’Ivoire depuis 2005 par le Conseil de sécurité de l’ONU. Ce Code intervient dans le cadre des actions engagées au niveau du pays d’instaurer un cadre réglementaire transparent qui garantit à la fois les intérêts de l’Etat, des investisseurs et des</w:t>
      </w:r>
      <w:r w:rsidR="00105119" w:rsidRPr="00617CFF">
        <w:rPr>
          <w:rFonts w:asciiTheme="majorHAnsi" w:hAnsiTheme="majorHAnsi"/>
          <w:sz w:val="24"/>
          <w:szCs w:val="24"/>
          <w:shd w:val="clear" w:color="auto" w:fill="FFFFFF"/>
        </w:rPr>
        <w:t xml:space="preserve"> populations riveraines des sites d’exploitation. Il prévoit notamment l’obligation </w:t>
      </w:r>
      <w:r w:rsidR="00105119" w:rsidRPr="00617CFF">
        <w:rPr>
          <w:rFonts w:asciiTheme="majorHAnsi" w:hAnsiTheme="majorHAnsi"/>
          <w:sz w:val="24"/>
          <w:szCs w:val="24"/>
        </w:rPr>
        <w:t>de respect des principes et critères de gouvernance édictés par l’Initiative pour la Transparence dans les Industries Extractives (ITIE) par les opérateurs du secteur.</w:t>
      </w:r>
    </w:p>
    <w:p w14:paraId="0E5433E1" w14:textId="185BEB7E" w:rsidR="00105119" w:rsidRPr="00617CFF" w:rsidRDefault="00D27140" w:rsidP="00660E83">
      <w:pPr>
        <w:tabs>
          <w:tab w:val="left" w:pos="720"/>
        </w:tabs>
        <w:spacing w:before="120" w:after="120" w:line="240" w:lineRule="auto"/>
        <w:jc w:val="both"/>
        <w:rPr>
          <w:rFonts w:asciiTheme="majorHAnsi" w:eastAsia="Times New Roman" w:hAnsiTheme="majorHAnsi" w:cs="Arial"/>
          <w:b/>
          <w:bCs/>
          <w:sz w:val="24"/>
          <w:szCs w:val="24"/>
        </w:rPr>
      </w:pPr>
      <w:r w:rsidRPr="00617CFF">
        <w:rPr>
          <w:rFonts w:asciiTheme="majorHAnsi" w:hAnsiTheme="majorHAnsi"/>
          <w:sz w:val="24"/>
          <w:szCs w:val="24"/>
        </w:rPr>
        <w:lastRenderedPageBreak/>
        <w:t xml:space="preserve"> L</w:t>
      </w:r>
      <w:r w:rsidR="00105119" w:rsidRPr="00617CFF">
        <w:rPr>
          <w:rFonts w:asciiTheme="majorHAnsi" w:hAnsiTheme="majorHAnsi"/>
          <w:sz w:val="24"/>
          <w:szCs w:val="24"/>
        </w:rPr>
        <w:t xml:space="preserve">e gouvernement souhaite positionner le secteur minier </w:t>
      </w:r>
      <w:r w:rsidRPr="00617CFF">
        <w:rPr>
          <w:rFonts w:asciiTheme="majorHAnsi" w:eastAsia="Times New Roman" w:hAnsiTheme="majorHAnsi" w:cs="Arial"/>
          <w:bCs/>
          <w:sz w:val="24"/>
          <w:szCs w:val="24"/>
        </w:rPr>
        <w:t>comme un des</w:t>
      </w:r>
      <w:r w:rsidR="00105119" w:rsidRPr="00617CFF">
        <w:rPr>
          <w:rFonts w:asciiTheme="majorHAnsi" w:eastAsia="Times New Roman" w:hAnsiTheme="majorHAnsi" w:cs="Arial"/>
          <w:bCs/>
          <w:sz w:val="24"/>
          <w:szCs w:val="24"/>
        </w:rPr>
        <w:t xml:space="preserve"> pilier</w:t>
      </w:r>
      <w:r w:rsidRPr="00617CFF">
        <w:rPr>
          <w:rFonts w:asciiTheme="majorHAnsi" w:eastAsia="Times New Roman" w:hAnsiTheme="majorHAnsi" w:cs="Arial"/>
          <w:bCs/>
          <w:sz w:val="24"/>
          <w:szCs w:val="24"/>
        </w:rPr>
        <w:t>s</w:t>
      </w:r>
      <w:r w:rsidR="00105119" w:rsidRPr="00617CFF">
        <w:rPr>
          <w:rFonts w:asciiTheme="majorHAnsi" w:eastAsia="Times New Roman" w:hAnsiTheme="majorHAnsi" w:cs="Arial"/>
          <w:bCs/>
          <w:sz w:val="24"/>
          <w:szCs w:val="24"/>
        </w:rPr>
        <w:t xml:space="preserve"> de l’économie ivoirienne par l’Etat</w:t>
      </w:r>
      <w:r w:rsidRPr="00617CFF">
        <w:rPr>
          <w:rFonts w:asciiTheme="majorHAnsi" w:eastAsia="Times New Roman" w:hAnsiTheme="majorHAnsi" w:cs="Arial"/>
          <w:bCs/>
          <w:sz w:val="24"/>
          <w:szCs w:val="24"/>
        </w:rPr>
        <w:t xml:space="preserve"> (Voir pilier I du PND 2021-2025)</w:t>
      </w:r>
      <w:r w:rsidR="00105119" w:rsidRPr="00617CFF">
        <w:rPr>
          <w:rFonts w:asciiTheme="majorHAnsi" w:eastAsia="Times New Roman" w:hAnsiTheme="majorHAnsi" w:cs="Arial"/>
          <w:bCs/>
          <w:sz w:val="24"/>
          <w:szCs w:val="24"/>
        </w:rPr>
        <w:t>, transformer ce secteur en un véritable pourvoyeur de richesses aux niveaux national et local</w:t>
      </w:r>
      <w:r w:rsidR="00105119" w:rsidRPr="00617CFF">
        <w:rPr>
          <w:rFonts w:asciiTheme="majorHAnsi" w:eastAsia="Times New Roman" w:hAnsiTheme="majorHAnsi" w:cs="Arial"/>
          <w:b/>
          <w:bCs/>
          <w:sz w:val="24"/>
          <w:szCs w:val="24"/>
        </w:rPr>
        <w:t xml:space="preserve">. </w:t>
      </w:r>
    </w:p>
    <w:p w14:paraId="22E64EA2" w14:textId="132B546C" w:rsidR="0051197F" w:rsidRPr="00617CFF" w:rsidRDefault="00105119" w:rsidP="00660E83">
      <w:pPr>
        <w:shd w:val="clear" w:color="auto" w:fill="FFFFFF"/>
        <w:spacing w:before="120" w:after="120" w:line="240" w:lineRule="auto"/>
        <w:jc w:val="both"/>
        <w:textAlignment w:val="baseline"/>
        <w:rPr>
          <w:rFonts w:asciiTheme="majorHAnsi" w:eastAsia="Times New Roman" w:hAnsiTheme="majorHAnsi" w:cs="Arial"/>
          <w:strike/>
          <w:color w:val="FF0000"/>
          <w:sz w:val="24"/>
          <w:szCs w:val="24"/>
        </w:rPr>
      </w:pPr>
      <w:r w:rsidRPr="00617CFF">
        <w:rPr>
          <w:rFonts w:asciiTheme="majorHAnsi" w:eastAsia="Times New Roman" w:hAnsiTheme="majorHAnsi" w:cs="Arial"/>
          <w:sz w:val="24"/>
          <w:szCs w:val="24"/>
        </w:rPr>
        <w:t>Par ailleurs, en vue de</w:t>
      </w:r>
      <w:r w:rsidR="0051197F" w:rsidRPr="00617CFF">
        <w:rPr>
          <w:rFonts w:asciiTheme="majorHAnsi" w:eastAsia="Times New Roman" w:hAnsiTheme="majorHAnsi" w:cs="Arial"/>
          <w:sz w:val="24"/>
          <w:szCs w:val="24"/>
        </w:rPr>
        <w:t xml:space="preserve"> contribuer au développement des zones impactées par les activités minières, à la lutte contre le chômage et </w:t>
      </w:r>
      <w:r w:rsidRPr="00617CFF">
        <w:rPr>
          <w:rFonts w:asciiTheme="majorHAnsi" w:eastAsia="Times New Roman" w:hAnsiTheme="majorHAnsi" w:cs="Arial"/>
          <w:sz w:val="24"/>
          <w:szCs w:val="24"/>
        </w:rPr>
        <w:t>à l’autonomisation des jeunes et des femmes des zones d’extraction, des</w:t>
      </w:r>
      <w:r w:rsidR="0051197F" w:rsidRPr="00617CFF">
        <w:rPr>
          <w:rFonts w:asciiTheme="majorHAnsi" w:eastAsia="Times New Roman" w:hAnsiTheme="majorHAnsi" w:cs="Arial"/>
          <w:sz w:val="24"/>
          <w:szCs w:val="24"/>
        </w:rPr>
        <w:t xml:space="preserve"> CDLM ont été créés</w:t>
      </w:r>
      <w:r w:rsidR="00787A2B" w:rsidRPr="00617CFF">
        <w:rPr>
          <w:rFonts w:asciiTheme="majorHAnsi" w:eastAsia="Times New Roman" w:hAnsiTheme="majorHAnsi" w:cs="Arial"/>
          <w:sz w:val="24"/>
          <w:szCs w:val="24"/>
        </w:rPr>
        <w:t xml:space="preserve"> et l’on dénombre à ce jour, onze (11) CDLM. </w:t>
      </w:r>
      <w:r w:rsidR="0051197F" w:rsidRPr="00617CFF">
        <w:rPr>
          <w:rFonts w:asciiTheme="majorHAnsi" w:eastAsia="Times New Roman" w:hAnsiTheme="majorHAnsi" w:cs="Arial"/>
          <w:sz w:val="24"/>
          <w:szCs w:val="24"/>
        </w:rPr>
        <w:t xml:space="preserve">Des </w:t>
      </w:r>
      <w:r w:rsidRPr="00617CFF">
        <w:rPr>
          <w:rFonts w:asciiTheme="majorHAnsi" w:eastAsia="Times New Roman" w:hAnsiTheme="majorHAnsi" w:cs="Arial"/>
          <w:sz w:val="24"/>
          <w:szCs w:val="24"/>
        </w:rPr>
        <w:t>ressources sont mises à la disposition des Comités de Développement Locaux Minier (CDLM) pour la mise en œuvre d’activités génératrices de revenus, notamment dans le domaine agropastoral, la construction d’infrastructures socio-économiques, l’initiation d’activités sportives et l’incitation à l’épargne. </w:t>
      </w:r>
      <w:bookmarkStart w:id="1" w:name="soubre"/>
      <w:r w:rsidRPr="00617CFF">
        <w:rPr>
          <w:rFonts w:asciiTheme="majorHAnsi" w:eastAsia="Times New Roman" w:hAnsiTheme="majorHAnsi" w:cs="Arial"/>
          <w:sz w:val="24"/>
          <w:szCs w:val="24"/>
          <w:bdr w:val="none" w:sz="0" w:space="0" w:color="auto" w:frame="1"/>
        </w:rPr>
        <w:t> </w:t>
      </w:r>
      <w:bookmarkEnd w:id="1"/>
      <w:r w:rsidR="0051197F" w:rsidRPr="00617CFF">
        <w:rPr>
          <w:rFonts w:asciiTheme="majorHAnsi" w:eastAsia="Times New Roman" w:hAnsiTheme="majorHAnsi" w:cs="Arial"/>
          <w:color w:val="FF0000"/>
          <w:sz w:val="24"/>
          <w:szCs w:val="24"/>
        </w:rPr>
        <w:t xml:space="preserve"> </w:t>
      </w:r>
    </w:p>
    <w:p w14:paraId="55F015A4" w14:textId="7CA8DA4D" w:rsidR="00105119" w:rsidRPr="00617CFF" w:rsidRDefault="0051197F" w:rsidP="00660E83">
      <w:pPr>
        <w:shd w:val="clear" w:color="auto" w:fill="FFFFFF"/>
        <w:spacing w:before="120" w:after="120" w:line="240" w:lineRule="auto"/>
        <w:jc w:val="both"/>
        <w:textAlignment w:val="baseline"/>
        <w:rPr>
          <w:rFonts w:asciiTheme="majorHAnsi" w:eastAsia="Times New Roman" w:hAnsiTheme="majorHAnsi" w:cs="Arial"/>
          <w:sz w:val="24"/>
          <w:szCs w:val="24"/>
          <w:bdr w:val="none" w:sz="0" w:space="0" w:color="auto" w:frame="1"/>
        </w:rPr>
      </w:pPr>
      <w:r w:rsidRPr="00617CFF">
        <w:rPr>
          <w:rFonts w:asciiTheme="majorHAnsi" w:eastAsia="Times New Roman" w:hAnsiTheme="majorHAnsi" w:cs="Arial"/>
          <w:sz w:val="24"/>
          <w:szCs w:val="24"/>
          <w:bdr w:val="none" w:sz="0" w:space="0" w:color="auto" w:frame="1"/>
        </w:rPr>
        <w:t>A</w:t>
      </w:r>
      <w:r w:rsidR="00105119" w:rsidRPr="00617CFF">
        <w:rPr>
          <w:rFonts w:asciiTheme="majorHAnsi" w:eastAsia="Times New Roman" w:hAnsiTheme="majorHAnsi" w:cs="Arial"/>
          <w:sz w:val="24"/>
          <w:szCs w:val="24"/>
          <w:bdr w:val="none" w:sz="0" w:space="0" w:color="auto" w:frame="1"/>
        </w:rPr>
        <w:t>u regard</w:t>
      </w:r>
      <w:r w:rsidRPr="00617CFF">
        <w:rPr>
          <w:rFonts w:asciiTheme="majorHAnsi" w:eastAsia="Times New Roman" w:hAnsiTheme="majorHAnsi" w:cs="Arial"/>
          <w:sz w:val="24"/>
          <w:szCs w:val="24"/>
          <w:bdr w:val="none" w:sz="0" w:space="0" w:color="auto" w:frame="1"/>
        </w:rPr>
        <w:t xml:space="preserve"> de l’importance des ressources et des activités des CDLM</w:t>
      </w:r>
      <w:r w:rsidR="00105119" w:rsidRPr="00617CFF">
        <w:rPr>
          <w:rFonts w:asciiTheme="majorHAnsi" w:eastAsia="Times New Roman" w:hAnsiTheme="majorHAnsi" w:cs="Arial"/>
          <w:sz w:val="24"/>
          <w:szCs w:val="24"/>
          <w:bdr w:val="none" w:sz="0" w:space="0" w:color="auto" w:frame="1"/>
        </w:rPr>
        <w:t xml:space="preserve"> </w:t>
      </w:r>
      <w:r w:rsidRPr="00617CFF">
        <w:rPr>
          <w:rFonts w:asciiTheme="majorHAnsi" w:eastAsia="Times New Roman" w:hAnsiTheme="majorHAnsi" w:cs="Arial"/>
          <w:sz w:val="24"/>
          <w:szCs w:val="24"/>
          <w:bdr w:val="none" w:sz="0" w:space="0" w:color="auto" w:frame="1"/>
        </w:rPr>
        <w:t xml:space="preserve">le CN-ITIE, </w:t>
      </w:r>
      <w:r w:rsidR="00E46127" w:rsidRPr="00617CFF">
        <w:rPr>
          <w:rFonts w:asciiTheme="majorHAnsi" w:eastAsia="Times New Roman" w:hAnsiTheme="majorHAnsi" w:cs="Arial"/>
          <w:sz w:val="24"/>
          <w:szCs w:val="24"/>
          <w:bdr w:val="none" w:sz="0" w:space="0" w:color="auto" w:frame="1"/>
        </w:rPr>
        <w:t>accorde</w:t>
      </w:r>
      <w:r w:rsidR="00105119" w:rsidRPr="00617CFF">
        <w:rPr>
          <w:rFonts w:asciiTheme="majorHAnsi" w:eastAsia="Times New Roman" w:hAnsiTheme="majorHAnsi" w:cs="Arial"/>
          <w:sz w:val="24"/>
          <w:szCs w:val="24"/>
          <w:bdr w:val="none" w:sz="0" w:space="0" w:color="auto" w:frame="1"/>
        </w:rPr>
        <w:t xml:space="preserve"> u</w:t>
      </w:r>
      <w:r w:rsidR="00E46127" w:rsidRPr="00617CFF">
        <w:rPr>
          <w:rFonts w:asciiTheme="majorHAnsi" w:eastAsia="Times New Roman" w:hAnsiTheme="majorHAnsi" w:cs="Arial"/>
          <w:sz w:val="24"/>
          <w:szCs w:val="24"/>
          <w:bdr w:val="none" w:sz="0" w:space="0" w:color="auto" w:frame="1"/>
        </w:rPr>
        <w:t>ne place importance</w:t>
      </w:r>
      <w:r w:rsidR="00105119" w:rsidRPr="00617CFF">
        <w:rPr>
          <w:rFonts w:asciiTheme="majorHAnsi" w:eastAsia="Times New Roman" w:hAnsiTheme="majorHAnsi" w:cs="Arial"/>
          <w:sz w:val="24"/>
          <w:szCs w:val="24"/>
          <w:bdr w:val="none" w:sz="0" w:space="0" w:color="auto" w:frame="1"/>
        </w:rPr>
        <w:t xml:space="preserve"> aux déclarations </w:t>
      </w:r>
      <w:r w:rsidRPr="00617CFF">
        <w:rPr>
          <w:rFonts w:asciiTheme="majorHAnsi" w:eastAsia="Times New Roman" w:hAnsiTheme="majorHAnsi" w:cs="Arial"/>
          <w:sz w:val="24"/>
          <w:szCs w:val="24"/>
          <w:bdr w:val="none" w:sz="0" w:space="0" w:color="auto" w:frame="1"/>
        </w:rPr>
        <w:t>et de l’impact des activités desdits CDLM</w:t>
      </w:r>
      <w:r w:rsidR="008A01E2" w:rsidRPr="00617CFF">
        <w:rPr>
          <w:rFonts w:asciiTheme="majorHAnsi" w:eastAsia="Times New Roman" w:hAnsiTheme="majorHAnsi" w:cs="Arial"/>
          <w:sz w:val="24"/>
          <w:szCs w:val="24"/>
          <w:bdr w:val="none" w:sz="0" w:space="0" w:color="auto" w:frame="1"/>
        </w:rPr>
        <w:t xml:space="preserve"> conformément aux exigences 6.1 et 7 de la Norme ITIE 2019</w:t>
      </w:r>
      <w:r w:rsidR="00105119" w:rsidRPr="00617CFF">
        <w:rPr>
          <w:rFonts w:asciiTheme="majorHAnsi" w:eastAsia="Times New Roman" w:hAnsiTheme="majorHAnsi" w:cs="Arial"/>
          <w:sz w:val="24"/>
          <w:szCs w:val="24"/>
          <w:bdr w:val="none" w:sz="0" w:space="0" w:color="auto" w:frame="1"/>
        </w:rPr>
        <w:t xml:space="preserve">. C’est le lieu d’utiliser les déclarations pour susciter des débats publics au niveau local et au niveau national </w:t>
      </w:r>
      <w:r w:rsidR="008A01E2" w:rsidRPr="00617CFF">
        <w:rPr>
          <w:rFonts w:asciiTheme="majorHAnsi" w:eastAsia="Times New Roman" w:hAnsiTheme="majorHAnsi" w:cs="Arial"/>
          <w:sz w:val="24"/>
          <w:szCs w:val="24"/>
          <w:bdr w:val="none" w:sz="0" w:space="0" w:color="auto" w:frame="1"/>
        </w:rPr>
        <w:t>comme le recommande l’exigence 7 de la Norme ITIE</w:t>
      </w:r>
      <w:r w:rsidR="00105119" w:rsidRPr="00617CFF">
        <w:rPr>
          <w:rFonts w:asciiTheme="majorHAnsi" w:eastAsia="Times New Roman" w:hAnsiTheme="majorHAnsi" w:cs="Arial"/>
          <w:sz w:val="24"/>
          <w:szCs w:val="24"/>
          <w:bdr w:val="none" w:sz="0" w:space="0" w:color="auto" w:frame="1"/>
        </w:rPr>
        <w:t>.</w:t>
      </w:r>
      <w:r w:rsidRPr="00617CFF">
        <w:rPr>
          <w:rFonts w:asciiTheme="majorHAnsi" w:eastAsia="Times New Roman" w:hAnsiTheme="majorHAnsi" w:cs="Arial"/>
          <w:sz w:val="24"/>
          <w:szCs w:val="24"/>
          <w:bdr w:val="none" w:sz="0" w:space="0" w:color="auto" w:frame="1"/>
        </w:rPr>
        <w:t xml:space="preserve"> </w:t>
      </w:r>
    </w:p>
    <w:p w14:paraId="6DADA4F5" w14:textId="5277B34C" w:rsidR="00105119" w:rsidRPr="00617CFF" w:rsidRDefault="00105119" w:rsidP="00660E83">
      <w:pPr>
        <w:shd w:val="clear" w:color="auto" w:fill="FFFFFF"/>
        <w:spacing w:before="120" w:after="120" w:line="240" w:lineRule="auto"/>
        <w:jc w:val="both"/>
        <w:textAlignment w:val="baseline"/>
        <w:rPr>
          <w:rFonts w:asciiTheme="majorHAnsi" w:eastAsia="Times New Roman" w:hAnsiTheme="majorHAnsi" w:cs="Arial"/>
          <w:b/>
          <w:bCs/>
          <w:sz w:val="24"/>
          <w:szCs w:val="24"/>
        </w:rPr>
      </w:pPr>
      <w:r w:rsidRPr="00617CFF">
        <w:rPr>
          <w:rFonts w:asciiTheme="majorHAnsi" w:eastAsia="Times New Roman" w:hAnsiTheme="majorHAnsi" w:cs="Arial"/>
          <w:b/>
          <w:bCs/>
          <w:sz w:val="24"/>
          <w:szCs w:val="24"/>
        </w:rPr>
        <w:t xml:space="preserve">Au-delà des CDLM, il faut noter que, </w:t>
      </w:r>
      <w:r w:rsidR="0051197F" w:rsidRPr="00617CFF">
        <w:rPr>
          <w:rFonts w:asciiTheme="majorHAnsi" w:eastAsia="Times New Roman" w:hAnsiTheme="majorHAnsi" w:cs="Arial"/>
          <w:b/>
          <w:bCs/>
          <w:sz w:val="24"/>
          <w:szCs w:val="24"/>
        </w:rPr>
        <w:t>l’installation de</w:t>
      </w:r>
      <w:r w:rsidRPr="00617CFF">
        <w:rPr>
          <w:rFonts w:asciiTheme="majorHAnsi" w:eastAsia="Times New Roman" w:hAnsiTheme="majorHAnsi" w:cs="Arial"/>
          <w:b/>
          <w:bCs/>
          <w:sz w:val="24"/>
          <w:szCs w:val="24"/>
        </w:rPr>
        <w:t xml:space="preserve"> la Commission interministérielle des substances explosives (CISE) et la Commission interministérielle des mines (CIM), toutes deux dédiées à la régulation du secteur minier. Une collaboration étroite entre ces commissions et le CN-ITIE contribueront à renforcer la transparence au niveau du secteur minier. </w:t>
      </w:r>
    </w:p>
    <w:p w14:paraId="399E431D" w14:textId="0DFF6A26" w:rsidR="00105119" w:rsidRPr="00617CFF" w:rsidRDefault="00105119" w:rsidP="008D1B49">
      <w:pPr>
        <w:spacing w:before="120" w:after="120" w:line="240" w:lineRule="auto"/>
        <w:jc w:val="both"/>
        <w:rPr>
          <w:rFonts w:asciiTheme="majorHAnsi" w:hAnsiTheme="majorHAnsi"/>
          <w:sz w:val="24"/>
          <w:szCs w:val="24"/>
        </w:rPr>
      </w:pPr>
      <w:r w:rsidRPr="00617CFF">
        <w:rPr>
          <w:rFonts w:asciiTheme="majorHAnsi" w:hAnsiTheme="majorHAnsi"/>
          <w:sz w:val="24"/>
          <w:szCs w:val="24"/>
        </w:rPr>
        <w:t>Ainsi, au niveau du secteur des mines, le développement du secteur artisanal et la gestion de l’orpaillage clandestin d’une part et le développement des infrastructures géospatiales</w:t>
      </w:r>
      <w:r w:rsidR="00BF7087">
        <w:rPr>
          <w:rFonts w:asciiTheme="majorHAnsi" w:hAnsiTheme="majorHAnsi"/>
          <w:sz w:val="24"/>
          <w:szCs w:val="24"/>
        </w:rPr>
        <w:t xml:space="preserve">  </w:t>
      </w:r>
      <w:r w:rsidRPr="00617CFF">
        <w:rPr>
          <w:rFonts w:asciiTheme="majorHAnsi" w:hAnsiTheme="majorHAnsi"/>
          <w:sz w:val="24"/>
          <w:szCs w:val="24"/>
        </w:rPr>
        <w:t xml:space="preserve"> d’autres part constituent les priorités du ministère en charge des mines et donc de l’Etat de Côte d’Ivoire. C’est en cela que plusieurs initiatives dont la création des chantiers écoles, la réactivation des comités techniques locaux pour éviter la recolonisation des espaces par les orpailleurs clandestins, le nettoyage du cadastre minier et la reprise des autorisations d’attribution figurent au nombre </w:t>
      </w:r>
      <w:r w:rsidR="00E46127" w:rsidRPr="00617CFF">
        <w:rPr>
          <w:rFonts w:asciiTheme="majorHAnsi" w:hAnsiTheme="majorHAnsi"/>
          <w:sz w:val="24"/>
          <w:szCs w:val="24"/>
        </w:rPr>
        <w:t xml:space="preserve">des </w:t>
      </w:r>
      <w:r w:rsidRPr="00617CFF">
        <w:rPr>
          <w:rFonts w:asciiTheme="majorHAnsi" w:hAnsiTheme="majorHAnsi"/>
          <w:sz w:val="24"/>
          <w:szCs w:val="24"/>
        </w:rPr>
        <w:t xml:space="preserve">perspectives ou actions en cours de mise en œuvre </w:t>
      </w:r>
      <w:r w:rsidR="00E46127" w:rsidRPr="00617CFF">
        <w:rPr>
          <w:rFonts w:asciiTheme="majorHAnsi" w:hAnsiTheme="majorHAnsi"/>
          <w:sz w:val="24"/>
          <w:szCs w:val="24"/>
        </w:rPr>
        <w:t>à la Direction Générale des mines et de Géologie. La prise en compte du secteur artisanat minier et la publication de données sur ledit secteur</w:t>
      </w:r>
      <w:r w:rsidR="00874EED" w:rsidRPr="00617CFF">
        <w:rPr>
          <w:rFonts w:asciiTheme="majorHAnsi" w:hAnsiTheme="majorHAnsi"/>
          <w:sz w:val="24"/>
          <w:szCs w:val="24"/>
        </w:rPr>
        <w:t>,</w:t>
      </w:r>
      <w:r w:rsidR="00E46127" w:rsidRPr="00617CFF">
        <w:rPr>
          <w:rFonts w:asciiTheme="majorHAnsi" w:hAnsiTheme="majorHAnsi"/>
          <w:sz w:val="24"/>
          <w:szCs w:val="24"/>
        </w:rPr>
        <w:t xml:space="preserve"> </w:t>
      </w:r>
      <w:r w:rsidR="00337FFD" w:rsidRPr="00617CFF">
        <w:rPr>
          <w:rFonts w:asciiTheme="majorHAnsi" w:hAnsiTheme="majorHAnsi"/>
          <w:sz w:val="24"/>
          <w:szCs w:val="24"/>
        </w:rPr>
        <w:t>au regard de la Norme ITIE</w:t>
      </w:r>
      <w:r w:rsidR="00874EED" w:rsidRPr="00617CFF">
        <w:rPr>
          <w:rFonts w:asciiTheme="majorHAnsi" w:hAnsiTheme="majorHAnsi"/>
          <w:sz w:val="24"/>
          <w:szCs w:val="24"/>
        </w:rPr>
        <w:t>,</w:t>
      </w:r>
      <w:r w:rsidR="00337FFD" w:rsidRPr="00617CFF">
        <w:rPr>
          <w:rFonts w:asciiTheme="majorHAnsi" w:hAnsiTheme="majorHAnsi"/>
          <w:sz w:val="24"/>
          <w:szCs w:val="24"/>
        </w:rPr>
        <w:t xml:space="preserve"> font partie des axes de discussion du</w:t>
      </w:r>
      <w:r w:rsidR="00E46127" w:rsidRPr="00617CFF">
        <w:rPr>
          <w:rFonts w:asciiTheme="majorHAnsi" w:hAnsiTheme="majorHAnsi"/>
          <w:sz w:val="24"/>
          <w:szCs w:val="24"/>
        </w:rPr>
        <w:t xml:space="preserve"> CN-ITIE</w:t>
      </w:r>
      <w:r w:rsidRPr="00617CFF">
        <w:rPr>
          <w:rFonts w:asciiTheme="majorHAnsi" w:hAnsiTheme="majorHAnsi"/>
          <w:sz w:val="24"/>
          <w:szCs w:val="24"/>
        </w:rPr>
        <w:t xml:space="preserve">. </w:t>
      </w:r>
    </w:p>
    <w:p w14:paraId="07818FF9" w14:textId="2D60FD3F" w:rsidR="00105119" w:rsidRPr="00617CFF" w:rsidRDefault="00874EED" w:rsidP="008D1B49">
      <w:pPr>
        <w:spacing w:before="120" w:after="120" w:line="240" w:lineRule="auto"/>
        <w:jc w:val="both"/>
        <w:rPr>
          <w:rFonts w:asciiTheme="majorHAnsi" w:hAnsiTheme="majorHAnsi"/>
          <w:sz w:val="24"/>
          <w:szCs w:val="24"/>
        </w:rPr>
      </w:pPr>
      <w:r w:rsidRPr="00617CFF">
        <w:rPr>
          <w:rFonts w:asciiTheme="majorHAnsi" w:hAnsiTheme="majorHAnsi"/>
          <w:sz w:val="24"/>
          <w:szCs w:val="24"/>
        </w:rPr>
        <w:t>Aussi, e</w:t>
      </w:r>
      <w:r w:rsidR="00105119" w:rsidRPr="00617CFF">
        <w:rPr>
          <w:rFonts w:asciiTheme="majorHAnsi" w:hAnsiTheme="majorHAnsi"/>
          <w:sz w:val="24"/>
          <w:szCs w:val="24"/>
        </w:rPr>
        <w:t>n s’engageant à mettre en œuvre la Norme ITIE, l’Etat de Côte d’Ivoire montre</w:t>
      </w:r>
      <w:r w:rsidRPr="00617CFF">
        <w:rPr>
          <w:rFonts w:asciiTheme="majorHAnsi" w:hAnsiTheme="majorHAnsi"/>
          <w:sz w:val="24"/>
          <w:szCs w:val="24"/>
        </w:rPr>
        <w:t>-t-il</w:t>
      </w:r>
      <w:r w:rsidR="00105119" w:rsidRPr="00617CFF">
        <w:rPr>
          <w:rFonts w:asciiTheme="majorHAnsi" w:hAnsiTheme="majorHAnsi"/>
          <w:sz w:val="24"/>
          <w:szCs w:val="24"/>
        </w:rPr>
        <w:t xml:space="preserve"> sa volonté d’assurer la transparence dans la gestion du secteur extractif, afin d’encourager</w:t>
      </w:r>
      <w:r w:rsidR="00105119" w:rsidRPr="00617CFF">
        <w:rPr>
          <w:rFonts w:asciiTheme="majorHAnsi" w:hAnsiTheme="majorHAnsi"/>
          <w:i/>
          <w:iCs/>
          <w:sz w:val="24"/>
          <w:szCs w:val="24"/>
        </w:rPr>
        <w:t xml:space="preserve"> les investissements dans le secteur pétrolier et minier, de formaliser le secteur artisanal/orpaillage et d’optimiser la perception des recettes au niveau national et infranational.</w:t>
      </w:r>
    </w:p>
    <w:p w14:paraId="77A2DFAB" w14:textId="1B8C74BE" w:rsidR="002723D7" w:rsidRPr="00617CFF" w:rsidRDefault="002723D7" w:rsidP="00F11042">
      <w:pPr>
        <w:spacing w:before="120" w:after="120" w:line="240" w:lineRule="auto"/>
        <w:jc w:val="both"/>
        <w:rPr>
          <w:rFonts w:asciiTheme="majorHAnsi" w:hAnsiTheme="majorHAnsi"/>
          <w:bCs/>
          <w:sz w:val="24"/>
          <w:szCs w:val="24"/>
        </w:rPr>
      </w:pPr>
      <w:r w:rsidRPr="00617CFF">
        <w:rPr>
          <w:rFonts w:asciiTheme="majorHAnsi" w:hAnsiTheme="majorHAnsi"/>
          <w:bCs/>
          <w:sz w:val="24"/>
          <w:szCs w:val="24"/>
        </w:rPr>
        <w:t>On peut donc no</w:t>
      </w:r>
      <w:r w:rsidR="004758B9" w:rsidRPr="00617CFF">
        <w:rPr>
          <w:rFonts w:asciiTheme="majorHAnsi" w:hAnsiTheme="majorHAnsi"/>
          <w:bCs/>
          <w:sz w:val="24"/>
          <w:szCs w:val="24"/>
        </w:rPr>
        <w:t>ter, pour le secteur minier, quelques</w:t>
      </w:r>
      <w:r w:rsidRPr="00617CFF">
        <w:rPr>
          <w:rFonts w:asciiTheme="majorHAnsi" w:hAnsiTheme="majorHAnsi"/>
          <w:bCs/>
          <w:sz w:val="24"/>
          <w:szCs w:val="24"/>
        </w:rPr>
        <w:t xml:space="preserve"> acquis et réalisations suivantes :</w:t>
      </w:r>
    </w:p>
    <w:p w14:paraId="37E0DA34" w14:textId="64F69526" w:rsidR="00E46127" w:rsidRPr="00617CFF" w:rsidRDefault="002723D7" w:rsidP="008D1B49">
      <w:pPr>
        <w:numPr>
          <w:ilvl w:val="0"/>
          <w:numId w:val="6"/>
        </w:numPr>
        <w:spacing w:after="0" w:line="240" w:lineRule="auto"/>
        <w:ind w:left="714" w:hanging="357"/>
        <w:jc w:val="both"/>
        <w:rPr>
          <w:rFonts w:asciiTheme="majorHAnsi" w:hAnsiTheme="majorHAnsi"/>
          <w:sz w:val="24"/>
          <w:szCs w:val="24"/>
        </w:rPr>
      </w:pPr>
      <w:r w:rsidRPr="00617CFF">
        <w:rPr>
          <w:rFonts w:asciiTheme="majorHAnsi" w:hAnsiTheme="majorHAnsi"/>
          <w:sz w:val="24"/>
          <w:szCs w:val="24"/>
        </w:rPr>
        <w:t>l</w:t>
      </w:r>
      <w:r w:rsidR="00E46127" w:rsidRPr="00617CFF">
        <w:rPr>
          <w:rFonts w:asciiTheme="majorHAnsi" w:hAnsiTheme="majorHAnsi"/>
          <w:sz w:val="24"/>
          <w:szCs w:val="24"/>
        </w:rPr>
        <w:t>a réforme en 2014 du cadre juridique régissant ce secteur d’activités, avec notamment l’adoption de la loi n° 2014-138 du 24 mars 2014 portant code minier;</w:t>
      </w:r>
    </w:p>
    <w:p w14:paraId="481FD707" w14:textId="582F15E3" w:rsidR="00E46127" w:rsidRPr="00617CFF" w:rsidRDefault="00E46127" w:rsidP="008D1B49">
      <w:pPr>
        <w:numPr>
          <w:ilvl w:val="0"/>
          <w:numId w:val="6"/>
        </w:numPr>
        <w:spacing w:after="0" w:line="240" w:lineRule="auto"/>
        <w:ind w:left="714" w:hanging="357"/>
        <w:jc w:val="both"/>
        <w:rPr>
          <w:rFonts w:asciiTheme="majorHAnsi" w:hAnsiTheme="majorHAnsi"/>
          <w:sz w:val="24"/>
          <w:szCs w:val="24"/>
        </w:rPr>
      </w:pPr>
      <w:r w:rsidRPr="00617CFF">
        <w:rPr>
          <w:rFonts w:asciiTheme="majorHAnsi" w:hAnsiTheme="majorHAnsi"/>
          <w:sz w:val="24"/>
          <w:szCs w:val="24"/>
        </w:rPr>
        <w:t xml:space="preserve">la traçabilité du diamant ivoirien a été renforcée à travers la poursuite de la mise en œuvre du processus de </w:t>
      </w:r>
      <w:r w:rsidR="00A7441F" w:rsidRPr="00617CFF">
        <w:rPr>
          <w:rFonts w:asciiTheme="majorHAnsi" w:hAnsiTheme="majorHAnsi"/>
          <w:sz w:val="24"/>
          <w:szCs w:val="24"/>
        </w:rPr>
        <w:t>Kimberley</w:t>
      </w:r>
      <w:r w:rsidRPr="00617CFF">
        <w:rPr>
          <w:rFonts w:asciiTheme="majorHAnsi" w:hAnsiTheme="majorHAnsi"/>
          <w:sz w:val="24"/>
          <w:szCs w:val="24"/>
        </w:rPr>
        <w:t>;</w:t>
      </w:r>
    </w:p>
    <w:p w14:paraId="08891518" w14:textId="77777777" w:rsidR="00E46127" w:rsidRPr="00617CFF" w:rsidRDefault="00E46127" w:rsidP="008D1B49">
      <w:pPr>
        <w:numPr>
          <w:ilvl w:val="0"/>
          <w:numId w:val="6"/>
        </w:numPr>
        <w:spacing w:after="0" w:line="240" w:lineRule="auto"/>
        <w:ind w:left="714" w:hanging="357"/>
        <w:jc w:val="both"/>
        <w:rPr>
          <w:rFonts w:asciiTheme="majorHAnsi" w:hAnsiTheme="majorHAnsi"/>
          <w:sz w:val="24"/>
          <w:szCs w:val="24"/>
        </w:rPr>
      </w:pPr>
      <w:r w:rsidRPr="00617CFF">
        <w:rPr>
          <w:rFonts w:asciiTheme="majorHAnsi" w:hAnsiTheme="majorHAnsi"/>
          <w:sz w:val="24"/>
          <w:szCs w:val="24"/>
        </w:rPr>
        <w:t>la mise en œuvre du programme national de rationalisation de l’orpaillage (PNRO) ;</w:t>
      </w:r>
    </w:p>
    <w:p w14:paraId="0DFADC44" w14:textId="77777777" w:rsidR="00E46127" w:rsidRPr="00617CFF" w:rsidRDefault="00E46127" w:rsidP="008D1B49">
      <w:pPr>
        <w:numPr>
          <w:ilvl w:val="0"/>
          <w:numId w:val="6"/>
        </w:numPr>
        <w:spacing w:after="0" w:line="240" w:lineRule="auto"/>
        <w:ind w:left="714" w:hanging="357"/>
        <w:jc w:val="both"/>
        <w:rPr>
          <w:rFonts w:asciiTheme="majorHAnsi" w:hAnsiTheme="majorHAnsi"/>
          <w:sz w:val="24"/>
          <w:szCs w:val="24"/>
        </w:rPr>
      </w:pPr>
      <w:r w:rsidRPr="00617CFF">
        <w:rPr>
          <w:rFonts w:asciiTheme="majorHAnsi" w:hAnsiTheme="majorHAnsi"/>
          <w:sz w:val="24"/>
          <w:szCs w:val="24"/>
        </w:rPr>
        <w:t>les comités de développement local minier (CDLM) sont institués et installés par arrêté conjoint du ministre chargé des mines et du ministre chargé de l'administration du territoire;</w:t>
      </w:r>
    </w:p>
    <w:p w14:paraId="6BE0C610" w14:textId="008936C9" w:rsidR="00E46127" w:rsidRPr="00617CFF" w:rsidRDefault="00E46127" w:rsidP="00F11042">
      <w:pPr>
        <w:numPr>
          <w:ilvl w:val="0"/>
          <w:numId w:val="6"/>
        </w:numPr>
        <w:spacing w:before="120" w:after="120" w:line="240" w:lineRule="auto"/>
        <w:jc w:val="both"/>
        <w:rPr>
          <w:rFonts w:asciiTheme="majorHAnsi" w:hAnsiTheme="majorHAnsi"/>
          <w:sz w:val="24"/>
          <w:szCs w:val="24"/>
        </w:rPr>
      </w:pPr>
      <w:r w:rsidRPr="00617CFF">
        <w:rPr>
          <w:rFonts w:asciiTheme="majorHAnsi" w:hAnsiTheme="majorHAnsi"/>
          <w:sz w:val="24"/>
          <w:szCs w:val="24"/>
        </w:rPr>
        <w:t>l’ins</w:t>
      </w:r>
      <w:r w:rsidR="004758B9" w:rsidRPr="00617CFF">
        <w:rPr>
          <w:rFonts w:asciiTheme="majorHAnsi" w:hAnsiTheme="majorHAnsi"/>
          <w:sz w:val="24"/>
          <w:szCs w:val="24"/>
        </w:rPr>
        <w:t>tallation des chantiers-école.</w:t>
      </w:r>
    </w:p>
    <w:p w14:paraId="291B37D8" w14:textId="1F8583F3" w:rsidR="00E46127" w:rsidRPr="00617CFF" w:rsidRDefault="002723D7" w:rsidP="00922AC1">
      <w:pPr>
        <w:spacing w:after="0" w:line="240" w:lineRule="auto"/>
        <w:jc w:val="both"/>
        <w:rPr>
          <w:rFonts w:asciiTheme="majorHAnsi" w:hAnsiTheme="majorHAnsi"/>
          <w:sz w:val="24"/>
          <w:szCs w:val="24"/>
        </w:rPr>
      </w:pPr>
      <w:r w:rsidRPr="00617CFF">
        <w:rPr>
          <w:rFonts w:asciiTheme="majorHAnsi" w:hAnsiTheme="majorHAnsi"/>
          <w:sz w:val="24"/>
          <w:szCs w:val="24"/>
        </w:rPr>
        <w:lastRenderedPageBreak/>
        <w:t>Par ailleurs, malgré ces résultats, certaines contraintes ont été observé</w:t>
      </w:r>
      <w:r w:rsidR="00A7441F" w:rsidRPr="00617CFF">
        <w:rPr>
          <w:rFonts w:asciiTheme="majorHAnsi" w:hAnsiTheme="majorHAnsi"/>
          <w:sz w:val="24"/>
          <w:szCs w:val="24"/>
        </w:rPr>
        <w:t>e</w:t>
      </w:r>
      <w:r w:rsidRPr="00617CFF">
        <w:rPr>
          <w:rFonts w:asciiTheme="majorHAnsi" w:hAnsiTheme="majorHAnsi"/>
          <w:sz w:val="24"/>
          <w:szCs w:val="24"/>
        </w:rPr>
        <w:t>s. Il s’agit entre autres de :</w:t>
      </w:r>
    </w:p>
    <w:p w14:paraId="0D9C8B1A" w14:textId="1CC1757C" w:rsidR="00E46127" w:rsidRPr="00617CFF" w:rsidRDefault="00A7441F" w:rsidP="00922AC1">
      <w:pPr>
        <w:numPr>
          <w:ilvl w:val="0"/>
          <w:numId w:val="7"/>
        </w:numPr>
        <w:spacing w:after="0" w:line="240" w:lineRule="auto"/>
        <w:ind w:left="714" w:hanging="357"/>
        <w:jc w:val="both"/>
        <w:rPr>
          <w:rFonts w:asciiTheme="majorHAnsi" w:hAnsiTheme="majorHAnsi"/>
          <w:sz w:val="24"/>
          <w:szCs w:val="24"/>
        </w:rPr>
      </w:pPr>
      <w:r w:rsidRPr="00617CFF">
        <w:rPr>
          <w:rFonts w:asciiTheme="majorHAnsi" w:hAnsiTheme="majorHAnsi"/>
          <w:sz w:val="24"/>
          <w:szCs w:val="24"/>
        </w:rPr>
        <w:t>certaines f</w:t>
      </w:r>
      <w:r w:rsidR="00E46127" w:rsidRPr="00617CFF">
        <w:rPr>
          <w:rFonts w:asciiTheme="majorHAnsi" w:hAnsiTheme="majorHAnsi"/>
          <w:sz w:val="24"/>
          <w:szCs w:val="24"/>
        </w:rPr>
        <w:t>aiblesses relevées au niveau du cadre juridique. Il a été relevé la non-prise en compte par le code minier de 2014, de certains enjeux nouveaux du secteur tels que les mines souterraines, l’automatisation, l’innovation technologique et la promotion du genre dans les mines ;</w:t>
      </w:r>
    </w:p>
    <w:p w14:paraId="49912050" w14:textId="774BA269" w:rsidR="00E46127" w:rsidRPr="00617CFF" w:rsidRDefault="00E46127" w:rsidP="00922AC1">
      <w:pPr>
        <w:numPr>
          <w:ilvl w:val="0"/>
          <w:numId w:val="7"/>
        </w:numPr>
        <w:spacing w:after="0" w:line="240" w:lineRule="auto"/>
        <w:ind w:left="714" w:hanging="357"/>
        <w:jc w:val="both"/>
        <w:rPr>
          <w:rFonts w:asciiTheme="majorHAnsi" w:hAnsiTheme="majorHAnsi"/>
          <w:sz w:val="24"/>
          <w:szCs w:val="24"/>
        </w:rPr>
      </w:pPr>
      <w:r w:rsidRPr="00617CFF">
        <w:rPr>
          <w:rFonts w:asciiTheme="majorHAnsi" w:hAnsiTheme="majorHAnsi"/>
          <w:sz w:val="24"/>
          <w:szCs w:val="24"/>
        </w:rPr>
        <w:t xml:space="preserve">difficultés de traçabilité des activités et des ressources générées </w:t>
      </w:r>
      <w:r w:rsidR="004758B9" w:rsidRPr="00617CFF">
        <w:rPr>
          <w:rFonts w:asciiTheme="majorHAnsi" w:hAnsiTheme="majorHAnsi"/>
          <w:sz w:val="24"/>
          <w:szCs w:val="24"/>
        </w:rPr>
        <w:t xml:space="preserve">qui </w:t>
      </w:r>
      <w:r w:rsidRPr="00617CFF">
        <w:rPr>
          <w:rFonts w:asciiTheme="majorHAnsi" w:hAnsiTheme="majorHAnsi"/>
          <w:sz w:val="24"/>
          <w:szCs w:val="24"/>
        </w:rPr>
        <w:t xml:space="preserve">persistent également au niveau du sous-secteur de l’exploitation minière artisanale et semi-industrielle. La clandestinité dans ce sous-secteur est source de pollutions physico-chimiques de l’environnement et de déperdition des ressources de </w:t>
      </w:r>
      <w:r w:rsidR="00A7441F" w:rsidRPr="00617CFF">
        <w:rPr>
          <w:rFonts w:asciiTheme="majorHAnsi" w:hAnsiTheme="majorHAnsi"/>
          <w:sz w:val="24"/>
          <w:szCs w:val="24"/>
        </w:rPr>
        <w:t>L’Etat </w:t>
      </w:r>
      <w:r w:rsidRPr="00617CFF">
        <w:rPr>
          <w:rFonts w:asciiTheme="majorHAnsi" w:hAnsiTheme="majorHAnsi"/>
          <w:sz w:val="24"/>
          <w:szCs w:val="24"/>
        </w:rPr>
        <w:t>;</w:t>
      </w:r>
    </w:p>
    <w:p w14:paraId="5F917BEC" w14:textId="13E1C585" w:rsidR="00E46127" w:rsidRPr="00617CFF" w:rsidRDefault="00A7441F" w:rsidP="00922AC1">
      <w:pPr>
        <w:numPr>
          <w:ilvl w:val="0"/>
          <w:numId w:val="7"/>
        </w:numPr>
        <w:spacing w:after="0" w:line="240" w:lineRule="auto"/>
        <w:ind w:left="714" w:hanging="357"/>
        <w:jc w:val="both"/>
        <w:rPr>
          <w:rFonts w:asciiTheme="majorHAnsi" w:hAnsiTheme="majorHAnsi"/>
          <w:sz w:val="24"/>
          <w:szCs w:val="24"/>
        </w:rPr>
      </w:pPr>
      <w:r w:rsidRPr="00617CFF">
        <w:rPr>
          <w:rFonts w:asciiTheme="majorHAnsi" w:hAnsiTheme="majorHAnsi"/>
          <w:sz w:val="24"/>
          <w:szCs w:val="24"/>
        </w:rPr>
        <w:t xml:space="preserve">la </w:t>
      </w:r>
      <w:r w:rsidR="00E46127" w:rsidRPr="00617CFF">
        <w:rPr>
          <w:rFonts w:asciiTheme="majorHAnsi" w:hAnsiTheme="majorHAnsi"/>
          <w:sz w:val="24"/>
          <w:szCs w:val="24"/>
        </w:rPr>
        <w:t>faible participation des nationaux dans les activités minières, tant étatique que pri</w:t>
      </w:r>
      <w:r w:rsidRPr="00617CFF">
        <w:rPr>
          <w:rFonts w:asciiTheme="majorHAnsi" w:hAnsiTheme="majorHAnsi"/>
          <w:sz w:val="24"/>
          <w:szCs w:val="24"/>
        </w:rPr>
        <w:t xml:space="preserve">vée, </w:t>
      </w:r>
      <w:r w:rsidR="004758B9" w:rsidRPr="00617CFF">
        <w:rPr>
          <w:rFonts w:asciiTheme="majorHAnsi" w:hAnsiTheme="majorHAnsi"/>
          <w:sz w:val="24"/>
          <w:szCs w:val="24"/>
        </w:rPr>
        <w:t xml:space="preserve">qui </w:t>
      </w:r>
      <w:r w:rsidRPr="00617CFF">
        <w:rPr>
          <w:rFonts w:asciiTheme="majorHAnsi" w:hAnsiTheme="majorHAnsi"/>
          <w:sz w:val="24"/>
          <w:szCs w:val="24"/>
        </w:rPr>
        <w:t>amenuise le profit que la C</w:t>
      </w:r>
      <w:r w:rsidR="00E46127" w:rsidRPr="00617CFF">
        <w:rPr>
          <w:rFonts w:asciiTheme="majorHAnsi" w:hAnsiTheme="majorHAnsi"/>
          <w:sz w:val="24"/>
          <w:szCs w:val="24"/>
        </w:rPr>
        <w:t>ôte d’ivoire peut tirer de l’exploitation de son sous-sol ;</w:t>
      </w:r>
    </w:p>
    <w:p w14:paraId="6B4BE4EC" w14:textId="44A6D7B7" w:rsidR="00E46127" w:rsidRPr="00617CFF" w:rsidRDefault="00A7441F" w:rsidP="00922AC1">
      <w:pPr>
        <w:numPr>
          <w:ilvl w:val="0"/>
          <w:numId w:val="7"/>
        </w:numPr>
        <w:spacing w:after="0" w:line="240" w:lineRule="auto"/>
        <w:ind w:left="714" w:hanging="357"/>
        <w:jc w:val="both"/>
        <w:rPr>
          <w:rFonts w:asciiTheme="majorHAnsi" w:hAnsiTheme="majorHAnsi"/>
          <w:sz w:val="24"/>
          <w:szCs w:val="24"/>
        </w:rPr>
      </w:pPr>
      <w:r w:rsidRPr="00617CFF">
        <w:rPr>
          <w:rFonts w:asciiTheme="majorHAnsi" w:hAnsiTheme="majorHAnsi"/>
          <w:sz w:val="24"/>
          <w:szCs w:val="24"/>
        </w:rPr>
        <w:t>l’</w:t>
      </w:r>
      <w:r w:rsidR="00E46127" w:rsidRPr="00617CFF">
        <w:rPr>
          <w:rFonts w:asciiTheme="majorHAnsi" w:hAnsiTheme="majorHAnsi"/>
          <w:sz w:val="24"/>
          <w:szCs w:val="24"/>
        </w:rPr>
        <w:t xml:space="preserve">insuffisance de mesures incitatives à la transformation des ressources minières et </w:t>
      </w:r>
      <w:r w:rsidR="004758B9" w:rsidRPr="00617CFF">
        <w:rPr>
          <w:rFonts w:asciiTheme="majorHAnsi" w:hAnsiTheme="majorHAnsi"/>
          <w:sz w:val="24"/>
          <w:szCs w:val="24"/>
        </w:rPr>
        <w:t xml:space="preserve">de </w:t>
      </w:r>
      <w:r w:rsidR="00E46127" w:rsidRPr="00617CFF">
        <w:rPr>
          <w:rFonts w:asciiTheme="majorHAnsi" w:hAnsiTheme="majorHAnsi"/>
          <w:sz w:val="24"/>
          <w:szCs w:val="24"/>
        </w:rPr>
        <w:t>la mise en place d’infrastructures adéquates (chemin de fer dans le cadre du PDMIO…) ;</w:t>
      </w:r>
    </w:p>
    <w:p w14:paraId="599A29EB" w14:textId="21D6B8CE" w:rsidR="00E46127" w:rsidRPr="00617CFF" w:rsidRDefault="00E46127" w:rsidP="00922AC1">
      <w:pPr>
        <w:numPr>
          <w:ilvl w:val="0"/>
          <w:numId w:val="7"/>
        </w:numPr>
        <w:spacing w:after="0" w:line="240" w:lineRule="auto"/>
        <w:ind w:left="714" w:hanging="357"/>
        <w:jc w:val="both"/>
        <w:rPr>
          <w:rFonts w:asciiTheme="majorHAnsi" w:hAnsiTheme="majorHAnsi"/>
          <w:sz w:val="24"/>
          <w:szCs w:val="24"/>
        </w:rPr>
      </w:pPr>
      <w:r w:rsidRPr="00617CFF">
        <w:rPr>
          <w:rFonts w:asciiTheme="majorHAnsi" w:hAnsiTheme="majorHAnsi"/>
          <w:sz w:val="24"/>
          <w:szCs w:val="24"/>
        </w:rPr>
        <w:t>l’exploration minière</w:t>
      </w:r>
      <w:r w:rsidR="004758B9" w:rsidRPr="00617CFF">
        <w:rPr>
          <w:rFonts w:asciiTheme="majorHAnsi" w:hAnsiTheme="majorHAnsi"/>
          <w:sz w:val="24"/>
          <w:szCs w:val="24"/>
        </w:rPr>
        <w:t xml:space="preserve"> qui</w:t>
      </w:r>
      <w:r w:rsidRPr="00617CFF">
        <w:rPr>
          <w:rFonts w:asciiTheme="majorHAnsi" w:hAnsiTheme="majorHAnsi"/>
          <w:sz w:val="24"/>
          <w:szCs w:val="24"/>
        </w:rPr>
        <w:t xml:space="preserve">, quant à elle, est limitée par l’insuffisance des données géo-scientifiques, notamment le déficit en cartes géologiques complètes et actualisées, l’absence d’un laboratoire national d’analyses géologiques et d’un système intégré de gestion des informations </w:t>
      </w:r>
      <w:r w:rsidR="00A7441F" w:rsidRPr="00617CFF">
        <w:rPr>
          <w:rFonts w:asciiTheme="majorHAnsi" w:hAnsiTheme="majorHAnsi"/>
          <w:sz w:val="24"/>
          <w:szCs w:val="24"/>
        </w:rPr>
        <w:t>géo scientifiques</w:t>
      </w:r>
      <w:r w:rsidRPr="00617CFF">
        <w:rPr>
          <w:rFonts w:asciiTheme="majorHAnsi" w:hAnsiTheme="majorHAnsi"/>
          <w:sz w:val="24"/>
          <w:szCs w:val="24"/>
        </w:rPr>
        <w:t>.</w:t>
      </w:r>
    </w:p>
    <w:p w14:paraId="68714FBB" w14:textId="6B62E927" w:rsidR="008D1F0E" w:rsidRPr="00617CFF" w:rsidRDefault="009A4991" w:rsidP="00922AC1">
      <w:pPr>
        <w:spacing w:after="0" w:line="240" w:lineRule="auto"/>
        <w:jc w:val="both"/>
        <w:rPr>
          <w:rFonts w:asciiTheme="majorHAnsi" w:hAnsiTheme="majorHAnsi"/>
          <w:sz w:val="24"/>
          <w:szCs w:val="24"/>
        </w:rPr>
      </w:pPr>
      <w:r w:rsidRPr="00617CFF">
        <w:rPr>
          <w:rFonts w:asciiTheme="majorHAnsi" w:hAnsiTheme="majorHAnsi"/>
          <w:sz w:val="24"/>
          <w:szCs w:val="24"/>
        </w:rPr>
        <w:t xml:space="preserve">Ce sont autant de défis que l’Etat souhaite relever au cours des cinq (05) prochaines années. </w:t>
      </w:r>
    </w:p>
    <w:p w14:paraId="53175C16" w14:textId="77777777" w:rsidR="00D5769D" w:rsidRDefault="00D5769D" w:rsidP="00F11042">
      <w:pPr>
        <w:spacing w:before="120" w:after="120" w:line="240" w:lineRule="auto"/>
        <w:rPr>
          <w:rFonts w:asciiTheme="majorHAnsi" w:hAnsiTheme="majorHAnsi"/>
          <w:b/>
          <w:sz w:val="26"/>
          <w:szCs w:val="26"/>
        </w:rPr>
      </w:pPr>
    </w:p>
    <w:p w14:paraId="77DC5240" w14:textId="77777777" w:rsidR="00D5769D" w:rsidRDefault="00D5769D" w:rsidP="00F11042">
      <w:pPr>
        <w:spacing w:before="120" w:after="120" w:line="240" w:lineRule="auto"/>
        <w:rPr>
          <w:rFonts w:asciiTheme="majorHAnsi" w:hAnsiTheme="majorHAnsi"/>
          <w:b/>
          <w:sz w:val="26"/>
          <w:szCs w:val="26"/>
        </w:rPr>
      </w:pPr>
    </w:p>
    <w:p w14:paraId="408B2225" w14:textId="77777777" w:rsidR="00D5769D" w:rsidRDefault="00D5769D" w:rsidP="00F11042">
      <w:pPr>
        <w:spacing w:before="120" w:after="120" w:line="240" w:lineRule="auto"/>
        <w:rPr>
          <w:rFonts w:asciiTheme="majorHAnsi" w:hAnsiTheme="majorHAnsi"/>
          <w:b/>
          <w:sz w:val="26"/>
          <w:szCs w:val="26"/>
        </w:rPr>
      </w:pPr>
    </w:p>
    <w:p w14:paraId="6EABE3DF" w14:textId="77777777" w:rsidR="00D5769D" w:rsidRDefault="00D5769D" w:rsidP="00F11042">
      <w:pPr>
        <w:spacing w:before="120" w:after="120" w:line="240" w:lineRule="auto"/>
        <w:rPr>
          <w:rFonts w:asciiTheme="majorHAnsi" w:hAnsiTheme="majorHAnsi"/>
          <w:b/>
          <w:sz w:val="26"/>
          <w:szCs w:val="26"/>
        </w:rPr>
      </w:pPr>
    </w:p>
    <w:p w14:paraId="02A60041" w14:textId="77777777" w:rsidR="00D5769D" w:rsidRDefault="00D5769D" w:rsidP="00F11042">
      <w:pPr>
        <w:spacing w:before="120" w:after="120" w:line="240" w:lineRule="auto"/>
        <w:rPr>
          <w:rFonts w:asciiTheme="majorHAnsi" w:hAnsiTheme="majorHAnsi"/>
          <w:b/>
          <w:sz w:val="26"/>
          <w:szCs w:val="26"/>
        </w:rPr>
      </w:pPr>
    </w:p>
    <w:p w14:paraId="66E38D17" w14:textId="77777777" w:rsidR="00D5769D" w:rsidRDefault="00D5769D" w:rsidP="00F11042">
      <w:pPr>
        <w:spacing w:before="120" w:after="120" w:line="240" w:lineRule="auto"/>
        <w:rPr>
          <w:rFonts w:asciiTheme="majorHAnsi" w:hAnsiTheme="majorHAnsi"/>
          <w:b/>
          <w:sz w:val="26"/>
          <w:szCs w:val="26"/>
        </w:rPr>
      </w:pPr>
    </w:p>
    <w:p w14:paraId="5B34E558" w14:textId="77777777" w:rsidR="00D5769D" w:rsidRDefault="00D5769D" w:rsidP="00F11042">
      <w:pPr>
        <w:spacing w:before="120" w:after="120" w:line="240" w:lineRule="auto"/>
        <w:rPr>
          <w:rFonts w:asciiTheme="majorHAnsi" w:hAnsiTheme="majorHAnsi"/>
          <w:b/>
          <w:sz w:val="26"/>
          <w:szCs w:val="26"/>
        </w:rPr>
      </w:pPr>
    </w:p>
    <w:p w14:paraId="58DD02D9" w14:textId="77777777" w:rsidR="00D5769D" w:rsidRDefault="00D5769D" w:rsidP="00F11042">
      <w:pPr>
        <w:spacing w:before="120" w:after="120" w:line="240" w:lineRule="auto"/>
        <w:rPr>
          <w:rFonts w:asciiTheme="majorHAnsi" w:hAnsiTheme="majorHAnsi"/>
          <w:b/>
          <w:sz w:val="26"/>
          <w:szCs w:val="26"/>
        </w:rPr>
      </w:pPr>
    </w:p>
    <w:p w14:paraId="26EC3542" w14:textId="77777777" w:rsidR="00D5769D" w:rsidRDefault="00D5769D" w:rsidP="00F11042">
      <w:pPr>
        <w:spacing w:before="120" w:after="120" w:line="240" w:lineRule="auto"/>
        <w:rPr>
          <w:rFonts w:asciiTheme="majorHAnsi" w:hAnsiTheme="majorHAnsi"/>
          <w:b/>
          <w:sz w:val="26"/>
          <w:szCs w:val="26"/>
        </w:rPr>
      </w:pPr>
    </w:p>
    <w:p w14:paraId="4E084122" w14:textId="77777777" w:rsidR="00D5769D" w:rsidRDefault="00D5769D" w:rsidP="00F11042">
      <w:pPr>
        <w:spacing w:before="120" w:after="120" w:line="240" w:lineRule="auto"/>
        <w:rPr>
          <w:rFonts w:asciiTheme="majorHAnsi" w:hAnsiTheme="majorHAnsi"/>
          <w:b/>
          <w:sz w:val="26"/>
          <w:szCs w:val="26"/>
        </w:rPr>
      </w:pPr>
    </w:p>
    <w:p w14:paraId="791678C7" w14:textId="77777777" w:rsidR="00D5769D" w:rsidRDefault="00D5769D" w:rsidP="00F11042">
      <w:pPr>
        <w:spacing w:before="120" w:after="120" w:line="240" w:lineRule="auto"/>
        <w:rPr>
          <w:rFonts w:asciiTheme="majorHAnsi" w:hAnsiTheme="majorHAnsi"/>
          <w:b/>
          <w:sz w:val="26"/>
          <w:szCs w:val="26"/>
        </w:rPr>
      </w:pPr>
    </w:p>
    <w:p w14:paraId="024AC79A" w14:textId="77777777" w:rsidR="00D5769D" w:rsidRDefault="00D5769D" w:rsidP="00F11042">
      <w:pPr>
        <w:spacing w:before="120" w:after="120" w:line="240" w:lineRule="auto"/>
        <w:rPr>
          <w:rFonts w:asciiTheme="majorHAnsi" w:hAnsiTheme="majorHAnsi"/>
          <w:b/>
          <w:sz w:val="26"/>
          <w:szCs w:val="26"/>
        </w:rPr>
      </w:pPr>
    </w:p>
    <w:p w14:paraId="3E4AED4F" w14:textId="77777777" w:rsidR="00D5769D" w:rsidRDefault="00D5769D" w:rsidP="00F11042">
      <w:pPr>
        <w:spacing w:before="120" w:after="120" w:line="240" w:lineRule="auto"/>
        <w:rPr>
          <w:rFonts w:asciiTheme="majorHAnsi" w:hAnsiTheme="majorHAnsi"/>
          <w:b/>
          <w:sz w:val="26"/>
          <w:szCs w:val="26"/>
        </w:rPr>
      </w:pPr>
    </w:p>
    <w:p w14:paraId="2AF4BE0F" w14:textId="77777777" w:rsidR="00D5769D" w:rsidRDefault="00D5769D" w:rsidP="00F11042">
      <w:pPr>
        <w:spacing w:before="120" w:after="120" w:line="240" w:lineRule="auto"/>
        <w:rPr>
          <w:rFonts w:asciiTheme="majorHAnsi" w:hAnsiTheme="majorHAnsi"/>
          <w:b/>
          <w:sz w:val="26"/>
          <w:szCs w:val="26"/>
        </w:rPr>
      </w:pPr>
    </w:p>
    <w:p w14:paraId="59D30A64" w14:textId="77777777" w:rsidR="00D5769D" w:rsidRDefault="00D5769D" w:rsidP="00F11042">
      <w:pPr>
        <w:spacing w:before="120" w:after="120" w:line="240" w:lineRule="auto"/>
        <w:rPr>
          <w:rFonts w:asciiTheme="majorHAnsi" w:hAnsiTheme="majorHAnsi"/>
          <w:b/>
          <w:sz w:val="26"/>
          <w:szCs w:val="26"/>
        </w:rPr>
      </w:pPr>
    </w:p>
    <w:p w14:paraId="612879DE" w14:textId="77777777" w:rsidR="00D5769D" w:rsidRDefault="00D5769D" w:rsidP="00F11042">
      <w:pPr>
        <w:spacing w:before="120" w:after="120" w:line="240" w:lineRule="auto"/>
        <w:rPr>
          <w:rFonts w:asciiTheme="majorHAnsi" w:hAnsiTheme="majorHAnsi"/>
          <w:b/>
          <w:sz w:val="26"/>
          <w:szCs w:val="26"/>
        </w:rPr>
      </w:pPr>
    </w:p>
    <w:p w14:paraId="49139EAC" w14:textId="77777777" w:rsidR="00D5769D" w:rsidRDefault="00D5769D" w:rsidP="00F11042">
      <w:pPr>
        <w:spacing w:before="120" w:after="120" w:line="240" w:lineRule="auto"/>
        <w:rPr>
          <w:rFonts w:asciiTheme="majorHAnsi" w:hAnsiTheme="majorHAnsi"/>
          <w:b/>
          <w:sz w:val="26"/>
          <w:szCs w:val="26"/>
        </w:rPr>
      </w:pPr>
    </w:p>
    <w:p w14:paraId="6FC3A8C8" w14:textId="77777777" w:rsidR="00D5769D" w:rsidRDefault="00D5769D" w:rsidP="00F11042">
      <w:pPr>
        <w:spacing w:before="120" w:after="120" w:line="240" w:lineRule="auto"/>
        <w:rPr>
          <w:rFonts w:asciiTheme="majorHAnsi" w:hAnsiTheme="majorHAnsi"/>
          <w:b/>
          <w:sz w:val="26"/>
          <w:szCs w:val="26"/>
        </w:rPr>
      </w:pPr>
    </w:p>
    <w:p w14:paraId="54BC210B" w14:textId="452D7F3E" w:rsidR="00A7441F" w:rsidRPr="00F34F65" w:rsidRDefault="00021945" w:rsidP="00F11042">
      <w:pPr>
        <w:spacing w:before="120" w:after="120" w:line="240" w:lineRule="auto"/>
        <w:rPr>
          <w:rFonts w:asciiTheme="majorHAnsi" w:hAnsiTheme="majorHAnsi"/>
          <w:b/>
          <w:sz w:val="26"/>
          <w:szCs w:val="26"/>
        </w:rPr>
      </w:pPr>
      <w:r w:rsidRPr="00F34F65">
        <w:rPr>
          <w:rFonts w:asciiTheme="majorHAnsi" w:hAnsiTheme="majorHAnsi"/>
          <w:b/>
          <w:sz w:val="26"/>
          <w:szCs w:val="26"/>
        </w:rPr>
        <w:lastRenderedPageBreak/>
        <w:t>METHODOLOGIE DE L’ELA</w:t>
      </w:r>
      <w:r w:rsidR="008D1F0E" w:rsidRPr="00F34F65">
        <w:rPr>
          <w:rFonts w:asciiTheme="majorHAnsi" w:hAnsiTheme="majorHAnsi"/>
          <w:b/>
          <w:sz w:val="26"/>
          <w:szCs w:val="26"/>
        </w:rPr>
        <w:t>BORATION DU PLAN DU TRAVAIL 2021</w:t>
      </w:r>
      <w:r w:rsidR="001768E1" w:rsidRPr="00F34F65">
        <w:rPr>
          <w:rFonts w:asciiTheme="majorHAnsi" w:hAnsiTheme="majorHAnsi"/>
          <w:b/>
          <w:sz w:val="26"/>
          <w:szCs w:val="26"/>
        </w:rPr>
        <w:t xml:space="preserve"> </w:t>
      </w:r>
      <w:r w:rsidR="008D1F0E" w:rsidRPr="00F34F65">
        <w:rPr>
          <w:rFonts w:asciiTheme="majorHAnsi" w:hAnsiTheme="majorHAnsi"/>
          <w:b/>
          <w:sz w:val="26"/>
          <w:szCs w:val="26"/>
        </w:rPr>
        <w:t>-</w:t>
      </w:r>
      <w:r w:rsidR="001768E1" w:rsidRPr="00F34F65">
        <w:rPr>
          <w:rFonts w:asciiTheme="majorHAnsi" w:hAnsiTheme="majorHAnsi"/>
          <w:b/>
          <w:sz w:val="26"/>
          <w:szCs w:val="26"/>
        </w:rPr>
        <w:t xml:space="preserve"> </w:t>
      </w:r>
      <w:r w:rsidR="008D1F0E" w:rsidRPr="00F34F65">
        <w:rPr>
          <w:rFonts w:asciiTheme="majorHAnsi" w:hAnsiTheme="majorHAnsi"/>
          <w:b/>
          <w:sz w:val="26"/>
          <w:szCs w:val="26"/>
        </w:rPr>
        <w:t>2023</w:t>
      </w:r>
    </w:p>
    <w:p w14:paraId="36294CAA" w14:textId="12DF23C8" w:rsidR="00504AB2" w:rsidRPr="00617CFF" w:rsidRDefault="00504AB2" w:rsidP="00922AC1">
      <w:pPr>
        <w:pStyle w:val="NormalWeb"/>
        <w:shd w:val="clear" w:color="auto" w:fill="FFFFFF"/>
        <w:spacing w:before="0" w:beforeAutospacing="0" w:after="0" w:afterAutospacing="0"/>
        <w:jc w:val="both"/>
        <w:rPr>
          <w:rFonts w:asciiTheme="majorHAnsi" w:hAnsiTheme="majorHAnsi" w:cs="Helvetica"/>
        </w:rPr>
      </w:pPr>
      <w:r w:rsidRPr="00617CFF">
        <w:rPr>
          <w:rFonts w:asciiTheme="majorHAnsi" w:hAnsiTheme="majorHAnsi" w:cs="Helvetica"/>
        </w:rPr>
        <w:t xml:space="preserve">L’élaboration du plan de travail 2021-2023 a vu la contribution de plusieurs acteurs (les acteurs étatiques, les acteurs privés y compris le GPMCI, la société civile). En effet, un projet de plan de travail a été élaboré par le Secrétariat Permanent. Le projet du plan de travail a été élaboré en prenant en compte des recommandations des rapports de conciliation et de validation, les recommandations et les observations sur le plan de travail, les exigences de la Norme ITIE et les priorités nationales. </w:t>
      </w:r>
    </w:p>
    <w:p w14:paraId="22E2F25E" w14:textId="6C2AFED3" w:rsidR="00504AB2" w:rsidRPr="00617CFF" w:rsidRDefault="00504AB2" w:rsidP="00922AC1">
      <w:pPr>
        <w:pStyle w:val="NormalWeb"/>
        <w:shd w:val="clear" w:color="auto" w:fill="FFFFFF"/>
        <w:spacing w:before="0" w:beforeAutospacing="0" w:after="0" w:afterAutospacing="0"/>
        <w:jc w:val="both"/>
        <w:rPr>
          <w:rFonts w:asciiTheme="majorHAnsi" w:hAnsiTheme="majorHAnsi" w:cs="Helvetica"/>
        </w:rPr>
      </w:pPr>
      <w:r w:rsidRPr="00617CFF">
        <w:rPr>
          <w:rFonts w:asciiTheme="majorHAnsi" w:hAnsiTheme="majorHAnsi" w:cs="Helvetica"/>
        </w:rPr>
        <w:t xml:space="preserve">Il convient de relever qu’un plan opérationnel (Janvier – Juillet 2021) a été élaboré et validé au cours de la réunion du premier trimestre 2021. Cette décision adoptée au cours de cette réunion visait à donner plus de temps de temps à l’élaboration du plan 2021-2023. </w:t>
      </w:r>
    </w:p>
    <w:p w14:paraId="11081BC4" w14:textId="7BE825AC" w:rsidR="00A7441F" w:rsidRPr="00617CFF" w:rsidRDefault="00504AB2" w:rsidP="007F1E40">
      <w:pPr>
        <w:spacing w:after="0" w:line="240" w:lineRule="auto"/>
        <w:jc w:val="both"/>
        <w:rPr>
          <w:rFonts w:asciiTheme="majorHAnsi" w:hAnsiTheme="majorHAnsi"/>
          <w:sz w:val="24"/>
          <w:szCs w:val="24"/>
        </w:rPr>
      </w:pPr>
      <w:r w:rsidRPr="00617CFF">
        <w:rPr>
          <w:rFonts w:asciiTheme="majorHAnsi" w:hAnsiTheme="majorHAnsi"/>
          <w:sz w:val="24"/>
          <w:szCs w:val="24"/>
        </w:rPr>
        <w:t xml:space="preserve">Ainsi, la méthodologie de </w:t>
      </w:r>
      <w:r w:rsidR="001768E1" w:rsidRPr="00617CFF">
        <w:rPr>
          <w:rFonts w:asciiTheme="majorHAnsi" w:hAnsiTheme="majorHAnsi"/>
          <w:sz w:val="24"/>
          <w:szCs w:val="24"/>
        </w:rPr>
        <w:t xml:space="preserve">l’élaboration du plan de travail 2021 </w:t>
      </w:r>
      <w:r w:rsidR="00C571F9" w:rsidRPr="00617CFF">
        <w:rPr>
          <w:rFonts w:asciiTheme="majorHAnsi" w:hAnsiTheme="majorHAnsi"/>
          <w:sz w:val="24"/>
          <w:szCs w:val="24"/>
        </w:rPr>
        <w:t>–</w:t>
      </w:r>
      <w:r w:rsidR="001768E1" w:rsidRPr="00617CFF">
        <w:rPr>
          <w:rFonts w:asciiTheme="majorHAnsi" w:hAnsiTheme="majorHAnsi"/>
          <w:sz w:val="24"/>
          <w:szCs w:val="24"/>
        </w:rPr>
        <w:t xml:space="preserve"> 2023</w:t>
      </w:r>
      <w:r w:rsidR="00C571F9" w:rsidRPr="00617CFF">
        <w:rPr>
          <w:rFonts w:asciiTheme="majorHAnsi" w:hAnsiTheme="majorHAnsi"/>
          <w:sz w:val="24"/>
          <w:szCs w:val="24"/>
        </w:rPr>
        <w:t xml:space="preserve"> </w:t>
      </w:r>
      <w:r w:rsidRPr="00617CFF">
        <w:rPr>
          <w:rFonts w:asciiTheme="majorHAnsi" w:hAnsiTheme="majorHAnsi"/>
          <w:sz w:val="24"/>
          <w:szCs w:val="24"/>
        </w:rPr>
        <w:t>a été organisée comme suit</w:t>
      </w:r>
      <w:r w:rsidR="00C571F9" w:rsidRPr="00617CFF">
        <w:rPr>
          <w:rFonts w:asciiTheme="majorHAnsi" w:hAnsiTheme="majorHAnsi"/>
          <w:sz w:val="24"/>
          <w:szCs w:val="24"/>
        </w:rPr>
        <w:t>:</w:t>
      </w:r>
    </w:p>
    <w:p w14:paraId="18A7CF10" w14:textId="763B41CF" w:rsidR="00C571F9" w:rsidRPr="00617CFF" w:rsidRDefault="00504AB2" w:rsidP="003F5D03">
      <w:pPr>
        <w:pStyle w:val="Paragraphedeliste"/>
        <w:numPr>
          <w:ilvl w:val="0"/>
          <w:numId w:val="15"/>
        </w:numPr>
        <w:spacing w:before="120" w:after="120" w:line="240" w:lineRule="auto"/>
        <w:jc w:val="both"/>
        <w:rPr>
          <w:rFonts w:asciiTheme="majorHAnsi" w:hAnsiTheme="majorHAnsi"/>
          <w:b/>
          <w:sz w:val="24"/>
          <w:szCs w:val="24"/>
        </w:rPr>
      </w:pPr>
      <w:r w:rsidRPr="00617CFF">
        <w:rPr>
          <w:rFonts w:asciiTheme="majorHAnsi" w:hAnsiTheme="majorHAnsi"/>
          <w:b/>
          <w:sz w:val="24"/>
          <w:szCs w:val="24"/>
        </w:rPr>
        <w:t>D</w:t>
      </w:r>
      <w:r w:rsidR="008D1F0E" w:rsidRPr="00617CFF">
        <w:rPr>
          <w:rFonts w:asciiTheme="majorHAnsi" w:hAnsiTheme="majorHAnsi"/>
          <w:b/>
          <w:sz w:val="24"/>
          <w:szCs w:val="24"/>
        </w:rPr>
        <w:t>iscussion du CN-ITIE sur les recommandations des rapports et</w:t>
      </w:r>
      <w:r w:rsidR="00C571F9" w:rsidRPr="00617CFF">
        <w:rPr>
          <w:rFonts w:asciiTheme="majorHAnsi" w:hAnsiTheme="majorHAnsi"/>
          <w:b/>
          <w:sz w:val="24"/>
          <w:szCs w:val="24"/>
        </w:rPr>
        <w:t xml:space="preserve"> les actions à mettre en œuvre </w:t>
      </w:r>
    </w:p>
    <w:p w14:paraId="142EF1DC" w14:textId="503FA518" w:rsidR="00C571F9" w:rsidRPr="00617CFF" w:rsidRDefault="00C571F9" w:rsidP="00F11042">
      <w:pPr>
        <w:spacing w:before="120" w:after="120" w:line="240" w:lineRule="auto"/>
        <w:jc w:val="both"/>
        <w:rPr>
          <w:rFonts w:asciiTheme="majorHAnsi" w:hAnsiTheme="majorHAnsi"/>
          <w:sz w:val="24"/>
          <w:szCs w:val="24"/>
        </w:rPr>
      </w:pPr>
      <w:r w:rsidRPr="00617CFF">
        <w:rPr>
          <w:rFonts w:asciiTheme="majorHAnsi" w:hAnsiTheme="majorHAnsi"/>
          <w:sz w:val="24"/>
          <w:szCs w:val="24"/>
        </w:rPr>
        <w:t>Les rapports de conciliation ITIE et le rapport de validation</w:t>
      </w:r>
      <w:r w:rsidR="008A01E2" w:rsidRPr="00617CFF">
        <w:rPr>
          <w:rFonts w:asciiTheme="majorHAnsi" w:hAnsiTheme="majorHAnsi"/>
          <w:sz w:val="24"/>
          <w:szCs w:val="24"/>
        </w:rPr>
        <w:t xml:space="preserve"> ont fait l’objet de discussion. Un projet de plan de suivi a été élaboré et discuté au cours des rencontres du CN-ITIE.</w:t>
      </w:r>
      <w:r w:rsidRPr="00617CFF">
        <w:rPr>
          <w:rFonts w:asciiTheme="majorHAnsi" w:hAnsiTheme="majorHAnsi"/>
          <w:sz w:val="24"/>
          <w:szCs w:val="24"/>
        </w:rPr>
        <w:t xml:space="preserve"> </w:t>
      </w:r>
    </w:p>
    <w:p w14:paraId="37AB1AAC" w14:textId="2724518D" w:rsidR="008D1F0E" w:rsidRPr="00617CFF" w:rsidRDefault="008D1F0E" w:rsidP="003F5D03">
      <w:pPr>
        <w:pStyle w:val="Paragraphedeliste"/>
        <w:numPr>
          <w:ilvl w:val="0"/>
          <w:numId w:val="20"/>
        </w:numPr>
        <w:spacing w:before="120" w:after="120" w:line="240" w:lineRule="auto"/>
        <w:jc w:val="both"/>
        <w:rPr>
          <w:rFonts w:asciiTheme="majorHAnsi" w:hAnsiTheme="majorHAnsi"/>
          <w:b/>
          <w:sz w:val="24"/>
          <w:szCs w:val="24"/>
        </w:rPr>
      </w:pPr>
      <w:r w:rsidRPr="00617CFF">
        <w:rPr>
          <w:rFonts w:asciiTheme="majorHAnsi" w:hAnsiTheme="majorHAnsi"/>
          <w:b/>
          <w:sz w:val="24"/>
          <w:szCs w:val="24"/>
        </w:rPr>
        <w:t>Séance de travail avec la DGH et la DGMG</w:t>
      </w:r>
    </w:p>
    <w:p w14:paraId="3759666A" w14:textId="4C284E62" w:rsidR="00504AB2" w:rsidRPr="00617CFF" w:rsidRDefault="00504AB2" w:rsidP="007F1E40">
      <w:pPr>
        <w:spacing w:after="0" w:line="240" w:lineRule="auto"/>
        <w:jc w:val="both"/>
        <w:rPr>
          <w:rFonts w:asciiTheme="majorHAnsi" w:hAnsiTheme="majorHAnsi"/>
          <w:sz w:val="24"/>
          <w:szCs w:val="24"/>
        </w:rPr>
      </w:pPr>
      <w:r w:rsidRPr="00617CFF">
        <w:rPr>
          <w:rFonts w:asciiTheme="majorHAnsi" w:hAnsiTheme="majorHAnsi"/>
          <w:sz w:val="24"/>
          <w:szCs w:val="24"/>
        </w:rPr>
        <w:t>Des courriers ont été transmis aux Ministres en charges du Pétrole et des Mines sur les recommandations</w:t>
      </w:r>
      <w:r w:rsidR="00B6130C" w:rsidRPr="00617CFF">
        <w:rPr>
          <w:rFonts w:asciiTheme="majorHAnsi" w:hAnsiTheme="majorHAnsi"/>
          <w:sz w:val="24"/>
          <w:szCs w:val="24"/>
        </w:rPr>
        <w:t xml:space="preserve"> et les actions nécessaires à mener dans le cadre des rapports de validation 2020 </w:t>
      </w:r>
      <w:r w:rsidRPr="00617CFF">
        <w:rPr>
          <w:rFonts w:asciiTheme="majorHAnsi" w:hAnsiTheme="majorHAnsi"/>
          <w:sz w:val="24"/>
          <w:szCs w:val="24"/>
        </w:rPr>
        <w:t xml:space="preserve">et de conciliation </w:t>
      </w:r>
      <w:r w:rsidR="00B6130C" w:rsidRPr="00617CFF">
        <w:rPr>
          <w:rFonts w:asciiTheme="majorHAnsi" w:hAnsiTheme="majorHAnsi"/>
          <w:sz w:val="24"/>
          <w:szCs w:val="24"/>
        </w:rPr>
        <w:t xml:space="preserve">ITIE </w:t>
      </w:r>
      <w:r w:rsidRPr="00617CFF">
        <w:rPr>
          <w:rFonts w:asciiTheme="majorHAnsi" w:hAnsiTheme="majorHAnsi"/>
          <w:sz w:val="24"/>
          <w:szCs w:val="24"/>
        </w:rPr>
        <w:t>2018.</w:t>
      </w:r>
      <w:r w:rsidR="0087461D" w:rsidRPr="00617CFF">
        <w:rPr>
          <w:rFonts w:asciiTheme="majorHAnsi" w:hAnsiTheme="majorHAnsi"/>
          <w:sz w:val="24"/>
          <w:szCs w:val="24"/>
        </w:rPr>
        <w:t xml:space="preserve"> </w:t>
      </w:r>
      <w:r w:rsidR="00AC4EE4" w:rsidRPr="00617CFF">
        <w:rPr>
          <w:rFonts w:asciiTheme="majorHAnsi" w:hAnsiTheme="majorHAnsi"/>
          <w:sz w:val="24"/>
          <w:szCs w:val="24"/>
        </w:rPr>
        <w:t xml:space="preserve">Aussi, plusieurs séances de travail </w:t>
      </w:r>
      <w:r w:rsidR="00B6130C" w:rsidRPr="00617CFF">
        <w:rPr>
          <w:rFonts w:asciiTheme="majorHAnsi" w:hAnsiTheme="majorHAnsi"/>
          <w:sz w:val="24"/>
          <w:szCs w:val="24"/>
        </w:rPr>
        <w:t xml:space="preserve">avec les représentants de la </w:t>
      </w:r>
      <w:r w:rsidR="0087461D" w:rsidRPr="00617CFF">
        <w:rPr>
          <w:rFonts w:asciiTheme="majorHAnsi" w:hAnsiTheme="majorHAnsi"/>
          <w:sz w:val="24"/>
          <w:szCs w:val="24"/>
        </w:rPr>
        <w:t xml:space="preserve">Direction Général des Hydrocarbures </w:t>
      </w:r>
      <w:r w:rsidR="00AC4EE4" w:rsidRPr="00617CFF">
        <w:rPr>
          <w:rFonts w:asciiTheme="majorHAnsi" w:hAnsiTheme="majorHAnsi"/>
          <w:sz w:val="24"/>
          <w:szCs w:val="24"/>
        </w:rPr>
        <w:t xml:space="preserve">et ceux de la Direction Générale des Mines et de la Géologie ont été organisés. Le représentant de l’Administrateurs Indépendant – le Cabinet BDO a assisté à certaines rencontres, au cours desquelles certaines recommandations ont été discutées. </w:t>
      </w:r>
    </w:p>
    <w:p w14:paraId="304471D6" w14:textId="519496F1" w:rsidR="00AC4EE4" w:rsidRPr="00F11042" w:rsidRDefault="006C18B6" w:rsidP="003F5D03">
      <w:pPr>
        <w:pStyle w:val="Paragraphedeliste"/>
        <w:numPr>
          <w:ilvl w:val="0"/>
          <w:numId w:val="21"/>
        </w:numPr>
        <w:spacing w:before="120" w:after="120" w:line="240" w:lineRule="auto"/>
        <w:jc w:val="both"/>
        <w:rPr>
          <w:rFonts w:asciiTheme="majorHAnsi" w:hAnsiTheme="majorHAnsi"/>
          <w:b/>
          <w:sz w:val="24"/>
          <w:szCs w:val="24"/>
        </w:rPr>
      </w:pPr>
      <w:r w:rsidRPr="00F11042">
        <w:rPr>
          <w:rFonts w:asciiTheme="majorHAnsi" w:hAnsiTheme="majorHAnsi"/>
          <w:b/>
          <w:sz w:val="24"/>
          <w:szCs w:val="24"/>
        </w:rPr>
        <w:t>Préparation</w:t>
      </w:r>
      <w:r w:rsidR="00AC4EE4" w:rsidRPr="00F11042">
        <w:rPr>
          <w:rFonts w:asciiTheme="majorHAnsi" w:hAnsiTheme="majorHAnsi"/>
          <w:b/>
          <w:sz w:val="24"/>
          <w:szCs w:val="24"/>
        </w:rPr>
        <w:t xml:space="preserve"> du draft du plan de travail 2021-2023 </w:t>
      </w:r>
    </w:p>
    <w:p w14:paraId="61B41279" w14:textId="3E029A4A" w:rsidR="00AC4EE4" w:rsidRPr="00617CFF" w:rsidRDefault="00AC4EE4" w:rsidP="007F1E40">
      <w:pPr>
        <w:spacing w:after="0" w:line="240" w:lineRule="auto"/>
        <w:jc w:val="both"/>
        <w:rPr>
          <w:rFonts w:asciiTheme="majorHAnsi" w:hAnsiTheme="majorHAnsi"/>
          <w:sz w:val="24"/>
          <w:szCs w:val="24"/>
        </w:rPr>
      </w:pPr>
      <w:r w:rsidRPr="00617CFF">
        <w:rPr>
          <w:rFonts w:asciiTheme="majorHAnsi" w:hAnsiTheme="majorHAnsi"/>
          <w:sz w:val="24"/>
          <w:szCs w:val="24"/>
        </w:rPr>
        <w:t xml:space="preserve">Faisant suite aux différentes rencontres, un draft du plan de travail a été élaboré par le Secrétariat Permanent pour servir de base de discussion. </w:t>
      </w:r>
    </w:p>
    <w:p w14:paraId="6A7E6947" w14:textId="38C01D1D" w:rsidR="00AC4EE4" w:rsidRPr="00617CFF" w:rsidRDefault="00AC4EE4" w:rsidP="003F5D03">
      <w:pPr>
        <w:pStyle w:val="Paragraphedeliste"/>
        <w:numPr>
          <w:ilvl w:val="0"/>
          <w:numId w:val="22"/>
        </w:numPr>
        <w:spacing w:before="120" w:after="120" w:line="240" w:lineRule="auto"/>
        <w:jc w:val="both"/>
        <w:rPr>
          <w:rFonts w:asciiTheme="majorHAnsi" w:hAnsiTheme="majorHAnsi"/>
          <w:b/>
          <w:sz w:val="24"/>
          <w:szCs w:val="24"/>
        </w:rPr>
      </w:pPr>
      <w:r w:rsidRPr="00617CFF">
        <w:rPr>
          <w:rFonts w:asciiTheme="majorHAnsi" w:hAnsiTheme="majorHAnsi"/>
          <w:b/>
          <w:sz w:val="24"/>
          <w:szCs w:val="24"/>
        </w:rPr>
        <w:t xml:space="preserve">Echange avec les partenaires </w:t>
      </w:r>
      <w:r w:rsidR="006C18B6" w:rsidRPr="00617CFF">
        <w:rPr>
          <w:rFonts w:asciiTheme="majorHAnsi" w:hAnsiTheme="majorHAnsi"/>
          <w:b/>
          <w:sz w:val="24"/>
          <w:szCs w:val="24"/>
        </w:rPr>
        <w:t>techniques et financiers</w:t>
      </w:r>
    </w:p>
    <w:p w14:paraId="64F3F64D" w14:textId="1B99F047" w:rsidR="00AC4EE4" w:rsidRPr="00617CFF" w:rsidRDefault="00AC4EE4" w:rsidP="007F1E40">
      <w:pPr>
        <w:spacing w:after="0" w:line="240" w:lineRule="auto"/>
        <w:jc w:val="both"/>
        <w:rPr>
          <w:rFonts w:asciiTheme="majorHAnsi" w:hAnsiTheme="majorHAnsi"/>
          <w:sz w:val="24"/>
          <w:szCs w:val="24"/>
        </w:rPr>
      </w:pPr>
      <w:r w:rsidRPr="00617CFF">
        <w:rPr>
          <w:rFonts w:asciiTheme="majorHAnsi" w:hAnsiTheme="majorHAnsi"/>
          <w:sz w:val="24"/>
          <w:szCs w:val="24"/>
        </w:rPr>
        <w:t xml:space="preserve">Plusieurs séances de travail ont été organisées avec les projets GIZ/GRSE et GIZ/Bonne Gouvernance sur les </w:t>
      </w:r>
      <w:r w:rsidR="003730EE" w:rsidRPr="00617CFF">
        <w:rPr>
          <w:rFonts w:asciiTheme="majorHAnsi" w:hAnsiTheme="majorHAnsi"/>
          <w:sz w:val="24"/>
          <w:szCs w:val="24"/>
        </w:rPr>
        <w:t xml:space="preserve">activités proposées. </w:t>
      </w:r>
    </w:p>
    <w:p w14:paraId="4F9D8681" w14:textId="5D8185B1" w:rsidR="003730EE" w:rsidRPr="00617CFF" w:rsidRDefault="003730EE" w:rsidP="007F1E40">
      <w:pPr>
        <w:spacing w:after="0" w:line="240" w:lineRule="auto"/>
        <w:jc w:val="both"/>
        <w:rPr>
          <w:rFonts w:asciiTheme="majorHAnsi" w:hAnsiTheme="majorHAnsi"/>
          <w:sz w:val="24"/>
          <w:szCs w:val="24"/>
        </w:rPr>
      </w:pPr>
      <w:r w:rsidRPr="00617CFF">
        <w:rPr>
          <w:rFonts w:asciiTheme="majorHAnsi" w:hAnsiTheme="majorHAnsi"/>
          <w:sz w:val="24"/>
          <w:szCs w:val="24"/>
        </w:rPr>
        <w:t xml:space="preserve">Des échanges entre </w:t>
      </w:r>
      <w:r w:rsidR="006C18B6" w:rsidRPr="00617CFF">
        <w:rPr>
          <w:rFonts w:asciiTheme="majorHAnsi" w:hAnsiTheme="majorHAnsi"/>
          <w:sz w:val="24"/>
          <w:szCs w:val="24"/>
        </w:rPr>
        <w:t xml:space="preserve">le CN-ITIE et </w:t>
      </w:r>
      <w:r w:rsidRPr="00617CFF">
        <w:rPr>
          <w:rFonts w:asciiTheme="majorHAnsi" w:hAnsiTheme="majorHAnsi"/>
          <w:sz w:val="24"/>
          <w:szCs w:val="24"/>
        </w:rPr>
        <w:t xml:space="preserve">des représentants de la Banque Mondiale ont été également organisées avec l’appui du </w:t>
      </w:r>
      <w:r w:rsidR="006C18B6" w:rsidRPr="00617CFF">
        <w:rPr>
          <w:rFonts w:asciiTheme="majorHAnsi" w:hAnsiTheme="majorHAnsi"/>
          <w:sz w:val="24"/>
          <w:szCs w:val="24"/>
        </w:rPr>
        <w:t>Secrétariat International ITIE. C</w:t>
      </w:r>
      <w:r w:rsidRPr="00617CFF">
        <w:rPr>
          <w:rFonts w:asciiTheme="majorHAnsi" w:hAnsiTheme="majorHAnsi"/>
          <w:sz w:val="24"/>
          <w:szCs w:val="24"/>
        </w:rPr>
        <w:t xml:space="preserve">es échanges ont abouti à </w:t>
      </w:r>
      <w:r w:rsidR="006C18B6" w:rsidRPr="00617CFF">
        <w:rPr>
          <w:rFonts w:asciiTheme="majorHAnsi" w:hAnsiTheme="majorHAnsi"/>
          <w:sz w:val="24"/>
          <w:szCs w:val="24"/>
        </w:rPr>
        <w:t>l’organisation d’</w:t>
      </w:r>
      <w:r w:rsidRPr="00617CFF">
        <w:rPr>
          <w:rFonts w:asciiTheme="majorHAnsi" w:hAnsiTheme="majorHAnsi"/>
          <w:sz w:val="24"/>
          <w:szCs w:val="24"/>
        </w:rPr>
        <w:t xml:space="preserve">un webinaire au cours duquel le CN-ITIE a présenté les activités du draft de plan de travail. </w:t>
      </w:r>
    </w:p>
    <w:p w14:paraId="4C6F7CE2" w14:textId="13D6805A" w:rsidR="006C18B6" w:rsidRPr="00617CFF" w:rsidRDefault="006C18B6" w:rsidP="003F5D03">
      <w:pPr>
        <w:pStyle w:val="Paragraphedeliste"/>
        <w:numPr>
          <w:ilvl w:val="0"/>
          <w:numId w:val="16"/>
        </w:numPr>
        <w:spacing w:before="120" w:after="120" w:line="240" w:lineRule="auto"/>
        <w:jc w:val="both"/>
        <w:rPr>
          <w:rFonts w:asciiTheme="majorHAnsi" w:hAnsiTheme="majorHAnsi"/>
          <w:b/>
          <w:sz w:val="24"/>
          <w:szCs w:val="24"/>
        </w:rPr>
      </w:pPr>
      <w:r w:rsidRPr="00617CFF">
        <w:rPr>
          <w:rFonts w:asciiTheme="majorHAnsi" w:hAnsiTheme="majorHAnsi"/>
          <w:b/>
          <w:sz w:val="24"/>
          <w:szCs w:val="24"/>
        </w:rPr>
        <w:t>Elaboration d’un rapport faisant ressortir les résultats, l’impact et les défis ainsi les besoins des parties prenantes </w:t>
      </w:r>
    </w:p>
    <w:p w14:paraId="00CF7C00" w14:textId="3BD49281" w:rsidR="008D1F0E" w:rsidRPr="00617CFF" w:rsidRDefault="006C18B6" w:rsidP="007F1E40">
      <w:pPr>
        <w:spacing w:after="0" w:line="240" w:lineRule="auto"/>
        <w:jc w:val="both"/>
        <w:rPr>
          <w:rFonts w:asciiTheme="majorHAnsi" w:hAnsiTheme="majorHAnsi"/>
          <w:sz w:val="24"/>
          <w:szCs w:val="24"/>
        </w:rPr>
      </w:pPr>
      <w:r w:rsidRPr="00617CFF">
        <w:rPr>
          <w:rFonts w:asciiTheme="majorHAnsi" w:hAnsiTheme="majorHAnsi"/>
          <w:sz w:val="24"/>
          <w:szCs w:val="24"/>
        </w:rPr>
        <w:t>Avec l’</w:t>
      </w:r>
      <w:r w:rsidR="00D21AF3" w:rsidRPr="00617CFF">
        <w:rPr>
          <w:rFonts w:asciiTheme="majorHAnsi" w:hAnsiTheme="majorHAnsi"/>
          <w:sz w:val="24"/>
          <w:szCs w:val="24"/>
        </w:rPr>
        <w:t>appui du CN-ITIE, l’ONG</w:t>
      </w:r>
      <w:r w:rsidRPr="00617CFF">
        <w:rPr>
          <w:rFonts w:asciiTheme="majorHAnsi" w:hAnsiTheme="majorHAnsi"/>
          <w:sz w:val="24"/>
          <w:szCs w:val="24"/>
        </w:rPr>
        <w:t xml:space="preserve"> PCQVP Côte d’</w:t>
      </w:r>
      <w:r w:rsidR="00D21AF3" w:rsidRPr="00617CFF">
        <w:rPr>
          <w:rFonts w:asciiTheme="majorHAnsi" w:hAnsiTheme="majorHAnsi"/>
          <w:sz w:val="24"/>
          <w:szCs w:val="24"/>
        </w:rPr>
        <w:t>Ivoire a conduit</w:t>
      </w:r>
      <w:r w:rsidRPr="00617CFF">
        <w:rPr>
          <w:rFonts w:asciiTheme="majorHAnsi" w:hAnsiTheme="majorHAnsi"/>
          <w:sz w:val="24"/>
          <w:szCs w:val="24"/>
        </w:rPr>
        <w:t xml:space="preserve"> une étude faisant ressortir les résultats, les impacts, ainsi que les attentes des populations</w:t>
      </w:r>
      <w:r w:rsidR="00D21AF3" w:rsidRPr="00617CFF">
        <w:rPr>
          <w:rFonts w:asciiTheme="majorHAnsi" w:hAnsiTheme="majorHAnsi"/>
          <w:sz w:val="24"/>
          <w:szCs w:val="24"/>
        </w:rPr>
        <w:t xml:space="preserve"> dans le cadre de la mise en œuvre de l’ITIE en Côte d’Ivoire. Les résultats et recommandations de cette étude ont fait l’objet de discussion et ont permis de ressortir des activités en terme de sensibilisation et de communication. </w:t>
      </w:r>
    </w:p>
    <w:p w14:paraId="3A68DB87" w14:textId="47953361" w:rsidR="008D1F0E" w:rsidRPr="00617CFF" w:rsidRDefault="008D1F0E" w:rsidP="003F5D03">
      <w:pPr>
        <w:pStyle w:val="Paragraphedeliste"/>
        <w:numPr>
          <w:ilvl w:val="0"/>
          <w:numId w:val="17"/>
        </w:numPr>
        <w:spacing w:before="120" w:after="120" w:line="240" w:lineRule="auto"/>
        <w:jc w:val="both"/>
        <w:rPr>
          <w:rFonts w:asciiTheme="majorHAnsi" w:hAnsiTheme="majorHAnsi"/>
          <w:b/>
          <w:sz w:val="24"/>
          <w:szCs w:val="24"/>
        </w:rPr>
      </w:pPr>
      <w:r w:rsidRPr="00617CFF">
        <w:rPr>
          <w:rFonts w:asciiTheme="majorHAnsi" w:hAnsiTheme="majorHAnsi"/>
          <w:b/>
          <w:sz w:val="24"/>
          <w:szCs w:val="24"/>
        </w:rPr>
        <w:t>Atelier d’échange avec les parties prenantes</w:t>
      </w:r>
    </w:p>
    <w:p w14:paraId="41E0EC53" w14:textId="1AEFE9F5" w:rsidR="00D21AF3" w:rsidRPr="00617CFF" w:rsidRDefault="00D21AF3" w:rsidP="00341F3F">
      <w:pPr>
        <w:spacing w:before="120" w:after="120" w:line="240" w:lineRule="auto"/>
        <w:ind w:left="357"/>
        <w:jc w:val="both"/>
        <w:rPr>
          <w:rFonts w:asciiTheme="majorHAnsi" w:hAnsiTheme="majorHAnsi"/>
          <w:sz w:val="24"/>
          <w:szCs w:val="24"/>
        </w:rPr>
      </w:pPr>
      <w:r w:rsidRPr="00617CFF">
        <w:rPr>
          <w:rFonts w:asciiTheme="majorHAnsi" w:hAnsiTheme="majorHAnsi"/>
          <w:sz w:val="24"/>
          <w:szCs w:val="24"/>
        </w:rPr>
        <w:lastRenderedPageBreak/>
        <w:t>Cet atelier qui a vu la participation du représentant du Cabinet BDO, en charge de l’élaboration du rapport ITIE 2019</w:t>
      </w:r>
      <w:r w:rsidR="00AE296C" w:rsidRPr="00617CFF">
        <w:rPr>
          <w:rFonts w:asciiTheme="majorHAnsi" w:hAnsiTheme="majorHAnsi"/>
          <w:sz w:val="24"/>
          <w:szCs w:val="24"/>
        </w:rPr>
        <w:t xml:space="preserve"> a été l’occasion</w:t>
      </w:r>
      <w:r w:rsidRPr="00617CFF">
        <w:rPr>
          <w:rFonts w:asciiTheme="majorHAnsi" w:hAnsiTheme="majorHAnsi"/>
          <w:sz w:val="24"/>
          <w:szCs w:val="24"/>
        </w:rPr>
        <w:t xml:space="preserve"> de :</w:t>
      </w:r>
    </w:p>
    <w:p w14:paraId="6D4B01BD" w14:textId="6A503A1C" w:rsidR="00AE296C" w:rsidRPr="00617CFF" w:rsidRDefault="00D21AF3" w:rsidP="003F5D03">
      <w:pPr>
        <w:pStyle w:val="Paragraphedeliste"/>
        <w:numPr>
          <w:ilvl w:val="0"/>
          <w:numId w:val="23"/>
        </w:numPr>
        <w:spacing w:before="120" w:after="120" w:line="240" w:lineRule="auto"/>
        <w:jc w:val="both"/>
        <w:rPr>
          <w:rFonts w:asciiTheme="majorHAnsi" w:hAnsiTheme="majorHAnsi"/>
          <w:sz w:val="24"/>
          <w:szCs w:val="24"/>
        </w:rPr>
      </w:pPr>
      <w:r w:rsidRPr="00617CFF">
        <w:rPr>
          <w:rFonts w:asciiTheme="majorHAnsi" w:hAnsiTheme="majorHAnsi"/>
          <w:sz w:val="24"/>
          <w:szCs w:val="24"/>
        </w:rPr>
        <w:t xml:space="preserve">Faire la mise en contexte qui a consisté à présenter </w:t>
      </w:r>
      <w:r w:rsidR="00AE296C" w:rsidRPr="00617CFF">
        <w:rPr>
          <w:rFonts w:asciiTheme="majorHAnsi" w:hAnsiTheme="majorHAnsi"/>
          <w:sz w:val="24"/>
          <w:szCs w:val="24"/>
        </w:rPr>
        <w:t xml:space="preserve">et discuter </w:t>
      </w:r>
      <w:r w:rsidRPr="00617CFF">
        <w:rPr>
          <w:rFonts w:asciiTheme="majorHAnsi" w:hAnsiTheme="majorHAnsi"/>
          <w:sz w:val="24"/>
          <w:szCs w:val="24"/>
        </w:rPr>
        <w:t>la No</w:t>
      </w:r>
      <w:r w:rsidR="00AE296C" w:rsidRPr="00617CFF">
        <w:rPr>
          <w:rFonts w:asciiTheme="majorHAnsi" w:hAnsiTheme="majorHAnsi"/>
          <w:sz w:val="24"/>
          <w:szCs w:val="24"/>
        </w:rPr>
        <w:t>rme ITIE 2019 et les nouvelles dispo</w:t>
      </w:r>
      <w:r w:rsidRPr="00617CFF">
        <w:rPr>
          <w:rFonts w:asciiTheme="majorHAnsi" w:hAnsiTheme="majorHAnsi"/>
          <w:sz w:val="24"/>
          <w:szCs w:val="24"/>
        </w:rPr>
        <w:t>s</w:t>
      </w:r>
      <w:r w:rsidR="00AE296C" w:rsidRPr="00617CFF">
        <w:rPr>
          <w:rFonts w:asciiTheme="majorHAnsi" w:hAnsiTheme="majorHAnsi"/>
          <w:sz w:val="24"/>
          <w:szCs w:val="24"/>
        </w:rPr>
        <w:t>i</w:t>
      </w:r>
      <w:r w:rsidRPr="00617CFF">
        <w:rPr>
          <w:rFonts w:asciiTheme="majorHAnsi" w:hAnsiTheme="majorHAnsi"/>
          <w:sz w:val="24"/>
          <w:szCs w:val="24"/>
        </w:rPr>
        <w:t>tions</w:t>
      </w:r>
      <w:r w:rsidR="00AE296C" w:rsidRPr="00617CFF">
        <w:rPr>
          <w:rFonts w:asciiTheme="majorHAnsi" w:hAnsiTheme="majorHAnsi"/>
          <w:sz w:val="24"/>
          <w:szCs w:val="24"/>
        </w:rPr>
        <w:t xml:space="preserve"> ITIE ainsi que les constations du rapport ITIE 2018. L’étude sur l’impact et les résultats de l’ITIE a été également présentée et discutée. Les recommandations du dernier rapport de validation ont été également présentées et discutées. Enfin, les priorités nationales ont été présentées par la Direction Générale du Plan, la Direction générale des Hydrocarbures et la Direction Générale des Mines ;</w:t>
      </w:r>
    </w:p>
    <w:p w14:paraId="71A70B85" w14:textId="41BB67FB" w:rsidR="00AE296C" w:rsidRPr="00F11042" w:rsidRDefault="00FD3A27" w:rsidP="003F5D03">
      <w:pPr>
        <w:pStyle w:val="Paragraphedeliste"/>
        <w:numPr>
          <w:ilvl w:val="0"/>
          <w:numId w:val="24"/>
        </w:numPr>
        <w:spacing w:before="120" w:after="120" w:line="240" w:lineRule="auto"/>
        <w:jc w:val="both"/>
        <w:rPr>
          <w:rFonts w:asciiTheme="majorHAnsi" w:hAnsiTheme="majorHAnsi"/>
          <w:b/>
          <w:sz w:val="24"/>
          <w:szCs w:val="24"/>
        </w:rPr>
      </w:pPr>
      <w:r w:rsidRPr="00F11042">
        <w:rPr>
          <w:rFonts w:asciiTheme="majorHAnsi" w:hAnsiTheme="majorHAnsi"/>
          <w:b/>
          <w:sz w:val="24"/>
          <w:szCs w:val="24"/>
        </w:rPr>
        <w:t>Organiser des travaux de groupes</w:t>
      </w:r>
    </w:p>
    <w:p w14:paraId="09752774" w14:textId="77777777" w:rsidR="00350350" w:rsidRPr="00617CFF" w:rsidRDefault="00AE296C" w:rsidP="00922AC1">
      <w:pPr>
        <w:pStyle w:val="Paragraphedeliste"/>
        <w:spacing w:after="0" w:line="240" w:lineRule="auto"/>
        <w:ind w:left="1349"/>
        <w:jc w:val="both"/>
        <w:rPr>
          <w:rFonts w:asciiTheme="majorHAnsi" w:hAnsiTheme="majorHAnsi"/>
          <w:sz w:val="24"/>
          <w:szCs w:val="24"/>
        </w:rPr>
      </w:pPr>
      <w:r w:rsidRPr="00617CFF">
        <w:rPr>
          <w:rFonts w:asciiTheme="majorHAnsi" w:hAnsiTheme="majorHAnsi"/>
          <w:sz w:val="24"/>
          <w:szCs w:val="24"/>
        </w:rPr>
        <w:t>Cette mise en contexte a été suivi</w:t>
      </w:r>
      <w:r w:rsidR="00FD3A27" w:rsidRPr="00617CFF">
        <w:rPr>
          <w:rFonts w:asciiTheme="majorHAnsi" w:hAnsiTheme="majorHAnsi"/>
          <w:sz w:val="24"/>
          <w:szCs w:val="24"/>
        </w:rPr>
        <w:t>e</w:t>
      </w:r>
      <w:r w:rsidRPr="00617CFF">
        <w:rPr>
          <w:rFonts w:asciiTheme="majorHAnsi" w:hAnsiTheme="majorHAnsi"/>
          <w:sz w:val="24"/>
          <w:szCs w:val="24"/>
        </w:rPr>
        <w:t xml:space="preserve"> des travaux de groupes qui ont permis de dégager les objectifs, les actions nécessaires.</w:t>
      </w:r>
    </w:p>
    <w:p w14:paraId="0AED97DA" w14:textId="7BAC442C" w:rsidR="009544C2" w:rsidRPr="00617CFF" w:rsidRDefault="00FD3A27" w:rsidP="003F5D03">
      <w:pPr>
        <w:pStyle w:val="Paragraphedeliste"/>
        <w:numPr>
          <w:ilvl w:val="0"/>
          <w:numId w:val="18"/>
        </w:numPr>
        <w:spacing w:after="0" w:line="240" w:lineRule="auto"/>
        <w:jc w:val="both"/>
        <w:rPr>
          <w:rFonts w:asciiTheme="majorHAnsi" w:hAnsiTheme="majorHAnsi"/>
          <w:b/>
          <w:sz w:val="24"/>
          <w:szCs w:val="24"/>
        </w:rPr>
      </w:pPr>
      <w:r w:rsidRPr="00617CFF">
        <w:rPr>
          <w:rFonts w:asciiTheme="majorHAnsi" w:hAnsiTheme="majorHAnsi"/>
          <w:b/>
          <w:sz w:val="24"/>
          <w:szCs w:val="24"/>
        </w:rPr>
        <w:t>Préparation et Finalisation du projet de rapport par le secrétariat permanent</w:t>
      </w:r>
    </w:p>
    <w:p w14:paraId="1AC039C2" w14:textId="1AD09DF8" w:rsidR="00FD3A27" w:rsidRPr="00617CFF" w:rsidRDefault="00FD3A27" w:rsidP="00341F3F">
      <w:pPr>
        <w:spacing w:after="0" w:line="240" w:lineRule="auto"/>
        <w:jc w:val="both"/>
        <w:rPr>
          <w:rFonts w:asciiTheme="majorHAnsi" w:hAnsiTheme="majorHAnsi"/>
          <w:sz w:val="24"/>
          <w:szCs w:val="24"/>
        </w:rPr>
      </w:pPr>
      <w:r w:rsidRPr="00617CFF">
        <w:rPr>
          <w:rFonts w:asciiTheme="majorHAnsi" w:hAnsiTheme="majorHAnsi"/>
          <w:sz w:val="24"/>
          <w:szCs w:val="24"/>
        </w:rPr>
        <w:t>Cette phase a consisté à élaborer la partie narrative du plan de travail, le plan de travail 2021-2023 ainsi que le plan de suivi évalu</w:t>
      </w:r>
      <w:r w:rsidR="00350350" w:rsidRPr="00617CFF">
        <w:rPr>
          <w:rFonts w:asciiTheme="majorHAnsi" w:hAnsiTheme="majorHAnsi"/>
          <w:sz w:val="24"/>
          <w:szCs w:val="24"/>
        </w:rPr>
        <w:t>ation de l’année 2021.</w:t>
      </w:r>
    </w:p>
    <w:p w14:paraId="081B59A8" w14:textId="3015C43A" w:rsidR="00350350" w:rsidRPr="00617CFF" w:rsidRDefault="00350350" w:rsidP="003F5D03">
      <w:pPr>
        <w:pStyle w:val="Paragraphedeliste"/>
        <w:numPr>
          <w:ilvl w:val="0"/>
          <w:numId w:val="19"/>
        </w:numPr>
        <w:spacing w:after="0" w:line="240" w:lineRule="auto"/>
        <w:jc w:val="both"/>
        <w:rPr>
          <w:rFonts w:asciiTheme="majorHAnsi" w:hAnsiTheme="majorHAnsi"/>
          <w:b/>
          <w:sz w:val="24"/>
          <w:szCs w:val="24"/>
        </w:rPr>
      </w:pPr>
      <w:r w:rsidRPr="00617CFF">
        <w:rPr>
          <w:rFonts w:asciiTheme="majorHAnsi" w:hAnsiTheme="majorHAnsi"/>
          <w:b/>
          <w:sz w:val="24"/>
          <w:szCs w:val="24"/>
        </w:rPr>
        <w:t>Discussion et validation du projet de plan de travail 2021-2023 et des documents annexes</w:t>
      </w:r>
    </w:p>
    <w:p w14:paraId="58849589" w14:textId="3663433B" w:rsidR="00350350" w:rsidRPr="00617CFF" w:rsidRDefault="00350350" w:rsidP="00F11042">
      <w:pPr>
        <w:widowControl w:val="0"/>
        <w:shd w:val="clear" w:color="auto" w:fill="FFFFFF"/>
        <w:suppressAutoHyphens/>
        <w:autoSpaceDE w:val="0"/>
        <w:autoSpaceDN w:val="0"/>
        <w:adjustRightInd w:val="0"/>
        <w:spacing w:before="120" w:after="120" w:line="240" w:lineRule="auto"/>
        <w:jc w:val="both"/>
        <w:rPr>
          <w:rFonts w:asciiTheme="majorHAnsi" w:hAnsiTheme="majorHAnsi"/>
          <w:sz w:val="24"/>
          <w:szCs w:val="24"/>
        </w:rPr>
      </w:pPr>
      <w:r w:rsidRPr="00617CFF">
        <w:rPr>
          <w:rFonts w:asciiTheme="majorHAnsi" w:hAnsiTheme="majorHAnsi"/>
          <w:sz w:val="24"/>
          <w:szCs w:val="24"/>
        </w:rPr>
        <w:t xml:space="preserve">Le plan de travail comprenant ses annexes </w:t>
      </w:r>
      <w:r w:rsidR="00617CFF" w:rsidRPr="00617CFF">
        <w:rPr>
          <w:rFonts w:asciiTheme="majorHAnsi" w:hAnsiTheme="majorHAnsi"/>
          <w:sz w:val="24"/>
          <w:szCs w:val="24"/>
        </w:rPr>
        <w:t>a</w:t>
      </w:r>
      <w:r w:rsidRPr="00617CFF">
        <w:rPr>
          <w:rFonts w:asciiTheme="majorHAnsi" w:hAnsiTheme="majorHAnsi"/>
          <w:sz w:val="24"/>
          <w:szCs w:val="24"/>
        </w:rPr>
        <w:t xml:space="preserve"> été validés au cours de la 2</w:t>
      </w:r>
      <w:r w:rsidRPr="00617CFF">
        <w:rPr>
          <w:rFonts w:asciiTheme="majorHAnsi" w:hAnsiTheme="majorHAnsi"/>
          <w:sz w:val="24"/>
          <w:szCs w:val="24"/>
          <w:vertAlign w:val="superscript"/>
        </w:rPr>
        <w:t>ème</w:t>
      </w:r>
      <w:r w:rsidRPr="00617CFF">
        <w:rPr>
          <w:rFonts w:asciiTheme="majorHAnsi" w:hAnsiTheme="majorHAnsi"/>
          <w:sz w:val="24"/>
          <w:szCs w:val="24"/>
        </w:rPr>
        <w:t xml:space="preserve"> session du CN-ITIE. </w:t>
      </w:r>
    </w:p>
    <w:p w14:paraId="65B4388A" w14:textId="77777777" w:rsidR="00D5769D" w:rsidRDefault="00D5769D" w:rsidP="00F11042">
      <w:pPr>
        <w:spacing w:before="120" w:after="120" w:line="240" w:lineRule="auto"/>
        <w:jc w:val="both"/>
        <w:rPr>
          <w:rFonts w:asciiTheme="majorHAnsi" w:hAnsiTheme="majorHAnsi"/>
          <w:b/>
          <w:sz w:val="26"/>
          <w:szCs w:val="26"/>
        </w:rPr>
      </w:pPr>
    </w:p>
    <w:p w14:paraId="22D187A5" w14:textId="77777777" w:rsidR="00D5769D" w:rsidRDefault="00D5769D" w:rsidP="00F11042">
      <w:pPr>
        <w:spacing w:before="120" w:after="120" w:line="240" w:lineRule="auto"/>
        <w:jc w:val="both"/>
        <w:rPr>
          <w:rFonts w:asciiTheme="majorHAnsi" w:hAnsiTheme="majorHAnsi"/>
          <w:b/>
          <w:sz w:val="26"/>
          <w:szCs w:val="26"/>
        </w:rPr>
      </w:pPr>
    </w:p>
    <w:p w14:paraId="48EB91B2" w14:textId="77777777" w:rsidR="00D5769D" w:rsidRDefault="00D5769D" w:rsidP="00F11042">
      <w:pPr>
        <w:spacing w:before="120" w:after="120" w:line="240" w:lineRule="auto"/>
        <w:jc w:val="both"/>
        <w:rPr>
          <w:rFonts w:asciiTheme="majorHAnsi" w:hAnsiTheme="majorHAnsi"/>
          <w:b/>
          <w:sz w:val="26"/>
          <w:szCs w:val="26"/>
        </w:rPr>
      </w:pPr>
    </w:p>
    <w:p w14:paraId="2EACC132" w14:textId="77777777" w:rsidR="00D5769D" w:rsidRDefault="00D5769D" w:rsidP="00F11042">
      <w:pPr>
        <w:spacing w:before="120" w:after="120" w:line="240" w:lineRule="auto"/>
        <w:jc w:val="both"/>
        <w:rPr>
          <w:rFonts w:asciiTheme="majorHAnsi" w:hAnsiTheme="majorHAnsi"/>
          <w:b/>
          <w:sz w:val="26"/>
          <w:szCs w:val="26"/>
        </w:rPr>
      </w:pPr>
    </w:p>
    <w:p w14:paraId="21B3664D" w14:textId="77777777" w:rsidR="00D5769D" w:rsidRDefault="00D5769D" w:rsidP="00F11042">
      <w:pPr>
        <w:spacing w:before="120" w:after="120" w:line="240" w:lineRule="auto"/>
        <w:jc w:val="both"/>
        <w:rPr>
          <w:rFonts w:asciiTheme="majorHAnsi" w:hAnsiTheme="majorHAnsi"/>
          <w:b/>
          <w:sz w:val="26"/>
          <w:szCs w:val="26"/>
        </w:rPr>
      </w:pPr>
    </w:p>
    <w:p w14:paraId="1181A5A8" w14:textId="77777777" w:rsidR="00D5769D" w:rsidRDefault="00D5769D" w:rsidP="00F11042">
      <w:pPr>
        <w:spacing w:before="120" w:after="120" w:line="240" w:lineRule="auto"/>
        <w:jc w:val="both"/>
        <w:rPr>
          <w:rFonts w:asciiTheme="majorHAnsi" w:hAnsiTheme="majorHAnsi"/>
          <w:b/>
          <w:sz w:val="26"/>
          <w:szCs w:val="26"/>
        </w:rPr>
      </w:pPr>
    </w:p>
    <w:p w14:paraId="2665496B" w14:textId="77777777" w:rsidR="00D5769D" w:rsidRDefault="00D5769D" w:rsidP="00F11042">
      <w:pPr>
        <w:spacing w:before="120" w:after="120" w:line="240" w:lineRule="auto"/>
        <w:jc w:val="both"/>
        <w:rPr>
          <w:rFonts w:asciiTheme="majorHAnsi" w:hAnsiTheme="majorHAnsi"/>
          <w:b/>
          <w:sz w:val="26"/>
          <w:szCs w:val="26"/>
        </w:rPr>
      </w:pPr>
    </w:p>
    <w:p w14:paraId="20EB4ACF" w14:textId="77777777" w:rsidR="00D5769D" w:rsidRDefault="00D5769D" w:rsidP="00F11042">
      <w:pPr>
        <w:spacing w:before="120" w:after="120" w:line="240" w:lineRule="auto"/>
        <w:jc w:val="both"/>
        <w:rPr>
          <w:rFonts w:asciiTheme="majorHAnsi" w:hAnsiTheme="majorHAnsi"/>
          <w:b/>
          <w:sz w:val="26"/>
          <w:szCs w:val="26"/>
        </w:rPr>
      </w:pPr>
    </w:p>
    <w:p w14:paraId="3F720595" w14:textId="77777777" w:rsidR="00D5769D" w:rsidRDefault="00D5769D" w:rsidP="00F11042">
      <w:pPr>
        <w:spacing w:before="120" w:after="120" w:line="240" w:lineRule="auto"/>
        <w:jc w:val="both"/>
        <w:rPr>
          <w:rFonts w:asciiTheme="majorHAnsi" w:hAnsiTheme="majorHAnsi"/>
          <w:b/>
          <w:sz w:val="26"/>
          <w:szCs w:val="26"/>
        </w:rPr>
      </w:pPr>
    </w:p>
    <w:p w14:paraId="6AC12C09" w14:textId="77777777" w:rsidR="00D5769D" w:rsidRDefault="00D5769D" w:rsidP="00F11042">
      <w:pPr>
        <w:spacing w:before="120" w:after="120" w:line="240" w:lineRule="auto"/>
        <w:jc w:val="both"/>
        <w:rPr>
          <w:rFonts w:asciiTheme="majorHAnsi" w:hAnsiTheme="majorHAnsi"/>
          <w:b/>
          <w:sz w:val="26"/>
          <w:szCs w:val="26"/>
        </w:rPr>
      </w:pPr>
    </w:p>
    <w:p w14:paraId="535C9882" w14:textId="77777777" w:rsidR="00D5769D" w:rsidRDefault="00D5769D" w:rsidP="00F11042">
      <w:pPr>
        <w:spacing w:before="120" w:after="120" w:line="240" w:lineRule="auto"/>
        <w:jc w:val="both"/>
        <w:rPr>
          <w:rFonts w:asciiTheme="majorHAnsi" w:hAnsiTheme="majorHAnsi"/>
          <w:b/>
          <w:sz w:val="26"/>
          <w:szCs w:val="26"/>
        </w:rPr>
      </w:pPr>
    </w:p>
    <w:p w14:paraId="7B8E08E1" w14:textId="77777777" w:rsidR="00D5769D" w:rsidRDefault="00D5769D" w:rsidP="00F11042">
      <w:pPr>
        <w:spacing w:before="120" w:after="120" w:line="240" w:lineRule="auto"/>
        <w:jc w:val="both"/>
        <w:rPr>
          <w:rFonts w:asciiTheme="majorHAnsi" w:hAnsiTheme="majorHAnsi"/>
          <w:b/>
          <w:sz w:val="26"/>
          <w:szCs w:val="26"/>
        </w:rPr>
      </w:pPr>
    </w:p>
    <w:p w14:paraId="3D391AE8" w14:textId="77777777" w:rsidR="00D5769D" w:rsidRDefault="00D5769D" w:rsidP="00F11042">
      <w:pPr>
        <w:spacing w:before="120" w:after="120" w:line="240" w:lineRule="auto"/>
        <w:jc w:val="both"/>
        <w:rPr>
          <w:rFonts w:asciiTheme="majorHAnsi" w:hAnsiTheme="majorHAnsi"/>
          <w:b/>
          <w:sz w:val="26"/>
          <w:szCs w:val="26"/>
        </w:rPr>
      </w:pPr>
    </w:p>
    <w:p w14:paraId="2C46AD88" w14:textId="77777777" w:rsidR="00D5769D" w:rsidRDefault="00D5769D" w:rsidP="00F11042">
      <w:pPr>
        <w:spacing w:before="120" w:after="120" w:line="240" w:lineRule="auto"/>
        <w:jc w:val="both"/>
        <w:rPr>
          <w:rFonts w:asciiTheme="majorHAnsi" w:hAnsiTheme="majorHAnsi"/>
          <w:b/>
          <w:sz w:val="26"/>
          <w:szCs w:val="26"/>
        </w:rPr>
      </w:pPr>
    </w:p>
    <w:p w14:paraId="6610C9DD" w14:textId="77777777" w:rsidR="00D5769D" w:rsidRDefault="00D5769D" w:rsidP="00F11042">
      <w:pPr>
        <w:spacing w:before="120" w:after="120" w:line="240" w:lineRule="auto"/>
        <w:jc w:val="both"/>
        <w:rPr>
          <w:rFonts w:asciiTheme="majorHAnsi" w:hAnsiTheme="majorHAnsi"/>
          <w:b/>
          <w:sz w:val="26"/>
          <w:szCs w:val="26"/>
        </w:rPr>
      </w:pPr>
    </w:p>
    <w:p w14:paraId="4DF6517A" w14:textId="77777777" w:rsidR="00D5769D" w:rsidRDefault="00D5769D" w:rsidP="00F11042">
      <w:pPr>
        <w:spacing w:before="120" w:after="120" w:line="240" w:lineRule="auto"/>
        <w:jc w:val="both"/>
        <w:rPr>
          <w:rFonts w:asciiTheme="majorHAnsi" w:hAnsiTheme="majorHAnsi"/>
          <w:b/>
          <w:sz w:val="26"/>
          <w:szCs w:val="26"/>
        </w:rPr>
      </w:pPr>
    </w:p>
    <w:p w14:paraId="11DD9DE0" w14:textId="77777777" w:rsidR="00D5769D" w:rsidRDefault="00D5769D" w:rsidP="00F11042">
      <w:pPr>
        <w:spacing w:before="120" w:after="120" w:line="240" w:lineRule="auto"/>
        <w:jc w:val="both"/>
        <w:rPr>
          <w:rFonts w:asciiTheme="majorHAnsi" w:hAnsiTheme="majorHAnsi"/>
          <w:b/>
          <w:sz w:val="26"/>
          <w:szCs w:val="26"/>
        </w:rPr>
      </w:pPr>
    </w:p>
    <w:p w14:paraId="1F28BF71" w14:textId="77777777" w:rsidR="00D5769D" w:rsidRDefault="00D5769D" w:rsidP="00F11042">
      <w:pPr>
        <w:spacing w:before="120" w:after="120" w:line="240" w:lineRule="auto"/>
        <w:jc w:val="both"/>
        <w:rPr>
          <w:rFonts w:asciiTheme="majorHAnsi" w:hAnsiTheme="majorHAnsi"/>
          <w:b/>
          <w:sz w:val="26"/>
          <w:szCs w:val="26"/>
        </w:rPr>
      </w:pPr>
    </w:p>
    <w:p w14:paraId="313DD329" w14:textId="77777777" w:rsidR="00D5769D" w:rsidRDefault="00D5769D" w:rsidP="00F11042">
      <w:pPr>
        <w:spacing w:before="120" w:after="120" w:line="240" w:lineRule="auto"/>
        <w:jc w:val="both"/>
        <w:rPr>
          <w:rFonts w:asciiTheme="majorHAnsi" w:hAnsiTheme="majorHAnsi"/>
          <w:b/>
          <w:sz w:val="26"/>
          <w:szCs w:val="26"/>
        </w:rPr>
      </w:pPr>
    </w:p>
    <w:p w14:paraId="15BFD7CB" w14:textId="1267C002" w:rsidR="001C50D6" w:rsidRPr="003F5D03" w:rsidRDefault="00697A3E" w:rsidP="00F11042">
      <w:pPr>
        <w:spacing w:before="120" w:after="120" w:line="240" w:lineRule="auto"/>
        <w:jc w:val="both"/>
        <w:rPr>
          <w:rFonts w:asciiTheme="majorHAnsi" w:hAnsiTheme="majorHAnsi"/>
          <w:b/>
          <w:sz w:val="26"/>
          <w:szCs w:val="26"/>
        </w:rPr>
      </w:pPr>
      <w:r w:rsidRPr="003F5D03">
        <w:rPr>
          <w:rFonts w:asciiTheme="majorHAnsi" w:hAnsiTheme="majorHAnsi"/>
          <w:b/>
          <w:sz w:val="26"/>
          <w:szCs w:val="26"/>
        </w:rPr>
        <w:lastRenderedPageBreak/>
        <w:t xml:space="preserve">BUDGET </w:t>
      </w:r>
    </w:p>
    <w:p w14:paraId="79F246B0" w14:textId="4EC7F92F" w:rsidR="006175EB" w:rsidRPr="00617CFF" w:rsidRDefault="00021945" w:rsidP="00341F3F">
      <w:pPr>
        <w:spacing w:after="0" w:line="240" w:lineRule="auto"/>
        <w:jc w:val="both"/>
        <w:rPr>
          <w:rFonts w:asciiTheme="majorHAnsi" w:eastAsia="Times New Roman" w:hAnsiTheme="majorHAnsi" w:cs="Times New Roman"/>
          <w:b/>
          <w:bCs/>
          <w:color w:val="000000"/>
          <w:sz w:val="24"/>
          <w:szCs w:val="24"/>
        </w:rPr>
      </w:pPr>
      <w:r w:rsidRPr="00617CFF">
        <w:rPr>
          <w:rFonts w:asciiTheme="majorHAnsi" w:hAnsiTheme="majorHAnsi"/>
          <w:sz w:val="24"/>
          <w:szCs w:val="24"/>
        </w:rPr>
        <w:t xml:space="preserve">Le budget de l’Etat est la principale source de financement de la mise en œuvre de l’ITIE en Côte d’Ivoire. En plus de ce financement de l’Etat, </w:t>
      </w:r>
      <w:r w:rsidR="00350350" w:rsidRPr="00617CFF">
        <w:rPr>
          <w:rFonts w:asciiTheme="majorHAnsi" w:hAnsiTheme="majorHAnsi"/>
          <w:sz w:val="24"/>
          <w:szCs w:val="24"/>
        </w:rPr>
        <w:t xml:space="preserve">deux (02) projet de la GIZ ainsi qu’une contribution de </w:t>
      </w:r>
      <w:r w:rsidRPr="00617CFF">
        <w:rPr>
          <w:rFonts w:asciiTheme="majorHAnsi" w:hAnsiTheme="majorHAnsi"/>
          <w:sz w:val="24"/>
          <w:szCs w:val="24"/>
        </w:rPr>
        <w:t>l’UEMOA, financent certaines activités du plan d</w:t>
      </w:r>
      <w:r w:rsidR="00EE32A0" w:rsidRPr="00617CFF">
        <w:rPr>
          <w:rFonts w:asciiTheme="majorHAnsi" w:hAnsiTheme="majorHAnsi"/>
          <w:sz w:val="24"/>
          <w:szCs w:val="24"/>
        </w:rPr>
        <w:t xml:space="preserve">e travail </w:t>
      </w:r>
      <w:r w:rsidRPr="00617CFF">
        <w:rPr>
          <w:rFonts w:asciiTheme="majorHAnsi" w:hAnsiTheme="majorHAnsi"/>
          <w:sz w:val="24"/>
          <w:szCs w:val="24"/>
        </w:rPr>
        <w:t xml:space="preserve">du CN-ITIE. Les différents financements reçus de l’Etat et des partenaires couvrent les </w:t>
      </w:r>
      <w:r w:rsidR="00EE32A0" w:rsidRPr="00617CFF">
        <w:rPr>
          <w:rFonts w:asciiTheme="majorHAnsi" w:hAnsiTheme="majorHAnsi"/>
          <w:sz w:val="24"/>
          <w:szCs w:val="24"/>
        </w:rPr>
        <w:t xml:space="preserve">dépenses de </w:t>
      </w:r>
      <w:r w:rsidRPr="00617CFF">
        <w:rPr>
          <w:rFonts w:asciiTheme="majorHAnsi" w:hAnsiTheme="majorHAnsi"/>
          <w:sz w:val="24"/>
          <w:szCs w:val="24"/>
        </w:rPr>
        <w:t xml:space="preserve">fonctionnement, </w:t>
      </w:r>
      <w:r w:rsidR="00EE32A0" w:rsidRPr="00617CFF">
        <w:rPr>
          <w:rFonts w:asciiTheme="majorHAnsi" w:hAnsiTheme="majorHAnsi"/>
          <w:sz w:val="24"/>
          <w:szCs w:val="24"/>
        </w:rPr>
        <w:t>les charges salariales</w:t>
      </w:r>
      <w:r w:rsidRPr="00617CFF">
        <w:rPr>
          <w:rFonts w:asciiTheme="majorHAnsi" w:hAnsiTheme="majorHAnsi"/>
          <w:sz w:val="24"/>
          <w:szCs w:val="24"/>
        </w:rPr>
        <w:t xml:space="preserve">, </w:t>
      </w:r>
      <w:r w:rsidR="00E35D01" w:rsidRPr="00617CFF">
        <w:rPr>
          <w:rFonts w:asciiTheme="majorHAnsi" w:hAnsiTheme="majorHAnsi"/>
          <w:sz w:val="24"/>
          <w:szCs w:val="24"/>
        </w:rPr>
        <w:t>les indemnités</w:t>
      </w:r>
      <w:r w:rsidRPr="00617CFF">
        <w:rPr>
          <w:rFonts w:asciiTheme="majorHAnsi" w:hAnsiTheme="majorHAnsi"/>
          <w:sz w:val="24"/>
          <w:szCs w:val="24"/>
        </w:rPr>
        <w:t xml:space="preserve"> du GMP ainsi que le</w:t>
      </w:r>
      <w:r w:rsidR="00EE32A0" w:rsidRPr="00617CFF">
        <w:rPr>
          <w:rFonts w:asciiTheme="majorHAnsi" w:hAnsiTheme="majorHAnsi"/>
          <w:sz w:val="24"/>
          <w:szCs w:val="24"/>
        </w:rPr>
        <w:t xml:space="preserve">s dépenses liées </w:t>
      </w:r>
      <w:r w:rsidRPr="00617CFF">
        <w:rPr>
          <w:rFonts w:asciiTheme="majorHAnsi" w:hAnsiTheme="majorHAnsi"/>
          <w:sz w:val="24"/>
          <w:szCs w:val="24"/>
        </w:rPr>
        <w:t xml:space="preserve">à la réalisation des activités. </w:t>
      </w:r>
      <w:r w:rsidR="00251FE4" w:rsidRPr="00617CFF">
        <w:rPr>
          <w:rFonts w:asciiTheme="majorHAnsi" w:hAnsiTheme="majorHAnsi"/>
          <w:sz w:val="24"/>
          <w:szCs w:val="24"/>
        </w:rPr>
        <w:t>Le budget</w:t>
      </w:r>
      <w:r w:rsidR="006175EB" w:rsidRPr="00617CFF">
        <w:rPr>
          <w:rFonts w:asciiTheme="majorHAnsi" w:hAnsiTheme="majorHAnsi"/>
          <w:sz w:val="24"/>
          <w:szCs w:val="24"/>
        </w:rPr>
        <w:t xml:space="preserve"> du plan de travail </w:t>
      </w:r>
      <w:r w:rsidR="00350350" w:rsidRPr="00617CFF">
        <w:rPr>
          <w:rFonts w:asciiTheme="majorHAnsi" w:hAnsiTheme="majorHAnsi"/>
          <w:sz w:val="24"/>
          <w:szCs w:val="24"/>
        </w:rPr>
        <w:t>2021</w:t>
      </w:r>
      <w:r w:rsidRPr="00617CFF">
        <w:rPr>
          <w:rFonts w:asciiTheme="majorHAnsi" w:hAnsiTheme="majorHAnsi"/>
          <w:sz w:val="24"/>
          <w:szCs w:val="24"/>
        </w:rPr>
        <w:t xml:space="preserve"> se chiffre à </w:t>
      </w:r>
      <w:r w:rsidR="006175EB" w:rsidRPr="00617CFF">
        <w:rPr>
          <w:rFonts w:asciiTheme="majorHAnsi" w:eastAsia="Times New Roman" w:hAnsiTheme="majorHAnsi" w:cs="Times New Roman"/>
          <w:b/>
          <w:bCs/>
          <w:color w:val="000000"/>
          <w:sz w:val="24"/>
          <w:szCs w:val="24"/>
        </w:rPr>
        <w:t xml:space="preserve">479 626 900   </w:t>
      </w:r>
      <w:r w:rsidRPr="00617CFF">
        <w:rPr>
          <w:rFonts w:asciiTheme="majorHAnsi" w:hAnsiTheme="majorHAnsi"/>
          <w:sz w:val="24"/>
          <w:szCs w:val="24"/>
        </w:rPr>
        <w:t>FCFA.</w:t>
      </w:r>
      <w:r w:rsidR="006175EB" w:rsidRPr="00617CFF">
        <w:rPr>
          <w:rFonts w:asciiTheme="majorHAnsi" w:eastAsia="Times New Roman" w:hAnsiTheme="majorHAnsi" w:cs="Times New Roman"/>
          <w:b/>
          <w:bCs/>
          <w:color w:val="000000"/>
          <w:sz w:val="24"/>
          <w:szCs w:val="24"/>
        </w:rPr>
        <w:t xml:space="preserve"> </w:t>
      </w:r>
      <w:r w:rsidR="006175EB" w:rsidRPr="00617CFF">
        <w:rPr>
          <w:rFonts w:asciiTheme="majorHAnsi" w:eastAsia="Times New Roman" w:hAnsiTheme="majorHAnsi" w:cs="Times New Roman"/>
          <w:bCs/>
          <w:color w:val="000000"/>
          <w:sz w:val="24"/>
          <w:szCs w:val="24"/>
        </w:rPr>
        <w:t>Quant au budget des exercices 2022 et 2023, il se chiffre respectivement à</w:t>
      </w:r>
      <w:r w:rsidR="006175EB" w:rsidRPr="00617CFF">
        <w:rPr>
          <w:rFonts w:asciiTheme="majorHAnsi" w:eastAsia="Times New Roman" w:hAnsiTheme="majorHAnsi" w:cs="Times New Roman"/>
          <w:b/>
          <w:bCs/>
          <w:color w:val="000000"/>
          <w:sz w:val="24"/>
          <w:szCs w:val="24"/>
        </w:rPr>
        <w:t xml:space="preserve"> 568 295 000 FCFA </w:t>
      </w:r>
      <w:r w:rsidR="006175EB" w:rsidRPr="00617CFF">
        <w:rPr>
          <w:rFonts w:asciiTheme="majorHAnsi" w:eastAsia="Times New Roman" w:hAnsiTheme="majorHAnsi" w:cs="Times New Roman"/>
          <w:bCs/>
          <w:color w:val="000000"/>
          <w:sz w:val="24"/>
          <w:szCs w:val="24"/>
        </w:rPr>
        <w:t>et à</w:t>
      </w:r>
      <w:r w:rsidR="006175EB" w:rsidRPr="00617CFF">
        <w:rPr>
          <w:rFonts w:asciiTheme="majorHAnsi" w:eastAsia="Times New Roman" w:hAnsiTheme="majorHAnsi" w:cs="Times New Roman"/>
          <w:b/>
          <w:bCs/>
          <w:color w:val="000000"/>
          <w:sz w:val="24"/>
          <w:szCs w:val="24"/>
        </w:rPr>
        <w:t xml:space="preserve"> 416 000 000 FCFA.</w:t>
      </w:r>
    </w:p>
    <w:p w14:paraId="0B5A3832" w14:textId="77777777" w:rsidR="00021945" w:rsidRPr="00617CFF" w:rsidRDefault="00021945" w:rsidP="004B6BBF">
      <w:pPr>
        <w:jc w:val="both"/>
        <w:rPr>
          <w:rFonts w:asciiTheme="majorHAnsi" w:hAnsiTheme="majorHAnsi"/>
          <w:sz w:val="24"/>
          <w:szCs w:val="24"/>
        </w:rPr>
      </w:pPr>
    </w:p>
    <w:p w14:paraId="1F2A7D81" w14:textId="77777777" w:rsidR="00021945" w:rsidRPr="00617CFF" w:rsidRDefault="00021945" w:rsidP="00021945">
      <w:pPr>
        <w:rPr>
          <w:rFonts w:asciiTheme="majorHAnsi" w:hAnsiTheme="majorHAnsi"/>
          <w:color w:val="000000"/>
          <w:sz w:val="24"/>
          <w:szCs w:val="24"/>
        </w:rPr>
      </w:pPr>
      <w:r w:rsidRPr="00617CFF">
        <w:rPr>
          <w:rFonts w:asciiTheme="majorHAnsi" w:hAnsiTheme="majorHAnsi"/>
          <w:color w:val="000000"/>
          <w:sz w:val="24"/>
          <w:szCs w:val="24"/>
        </w:rPr>
        <w:br/>
      </w:r>
    </w:p>
    <w:p w14:paraId="3C1D7F34" w14:textId="77777777" w:rsidR="00021945" w:rsidRPr="00617CFF" w:rsidRDefault="00021945" w:rsidP="00021945">
      <w:pPr>
        <w:rPr>
          <w:rFonts w:asciiTheme="majorHAnsi" w:hAnsiTheme="majorHAnsi"/>
          <w:color w:val="000000"/>
          <w:sz w:val="24"/>
          <w:szCs w:val="24"/>
        </w:rPr>
      </w:pPr>
    </w:p>
    <w:p w14:paraId="52A5B05A" w14:textId="77777777" w:rsidR="00021945" w:rsidRPr="00617CFF" w:rsidRDefault="00021945" w:rsidP="00021945">
      <w:pPr>
        <w:rPr>
          <w:rFonts w:asciiTheme="majorHAnsi" w:hAnsiTheme="majorHAnsi"/>
          <w:color w:val="000000"/>
          <w:sz w:val="24"/>
          <w:szCs w:val="24"/>
        </w:rPr>
      </w:pPr>
    </w:p>
    <w:p w14:paraId="64275FCF" w14:textId="305FB46A" w:rsidR="00021945" w:rsidRPr="006175EB" w:rsidRDefault="00021945" w:rsidP="00021945">
      <w:pPr>
        <w:rPr>
          <w:rFonts w:ascii="Franklin Gothic Book" w:hAnsi="Franklin Gothic Book"/>
          <w:color w:val="000000"/>
          <w:sz w:val="24"/>
          <w:szCs w:val="24"/>
        </w:rPr>
        <w:sectPr w:rsidR="00021945" w:rsidRPr="006175EB" w:rsidSect="00F11042">
          <w:pgSz w:w="11906" w:h="16838"/>
          <w:pgMar w:top="1418" w:right="1134" w:bottom="1418" w:left="1701" w:header="709" w:footer="709" w:gutter="0"/>
          <w:cols w:space="708"/>
          <w:docGrid w:linePitch="360"/>
        </w:sectPr>
      </w:pPr>
    </w:p>
    <w:p w14:paraId="2DDEDD98" w14:textId="299ABD5F" w:rsidR="00D2057B" w:rsidRPr="006175EB" w:rsidRDefault="00D2057B" w:rsidP="00D2057B">
      <w:pPr>
        <w:rPr>
          <w:rFonts w:ascii="Franklin Gothic Book" w:hAnsi="Franklin Gothic Book"/>
          <w:sz w:val="24"/>
          <w:szCs w:val="24"/>
        </w:rPr>
      </w:pPr>
    </w:p>
    <w:tbl>
      <w:tblPr>
        <w:tblW w:w="14317" w:type="dxa"/>
        <w:tblInd w:w="-5" w:type="dxa"/>
        <w:tblCellMar>
          <w:left w:w="70" w:type="dxa"/>
          <w:right w:w="70" w:type="dxa"/>
        </w:tblCellMar>
        <w:tblLook w:val="04A0" w:firstRow="1" w:lastRow="0" w:firstColumn="1" w:lastColumn="0" w:noHBand="0" w:noVBand="1"/>
      </w:tblPr>
      <w:tblGrid>
        <w:gridCol w:w="3969"/>
        <w:gridCol w:w="3119"/>
        <w:gridCol w:w="4111"/>
        <w:gridCol w:w="3118"/>
      </w:tblGrid>
      <w:tr w:rsidR="006175EB" w:rsidRPr="006175EB" w14:paraId="7FFFF0E0" w14:textId="77777777" w:rsidTr="007F1E40">
        <w:trPr>
          <w:trHeight w:val="6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BDF0B" w14:textId="1BA33B3A" w:rsidR="006175EB" w:rsidRPr="006175EB" w:rsidRDefault="006175EB" w:rsidP="006175EB">
            <w:pPr>
              <w:spacing w:after="0" w:line="240" w:lineRule="auto"/>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Partenaires</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3D288575" w14:textId="40517B05" w:rsidR="006175EB" w:rsidRPr="006175EB" w:rsidRDefault="006175EB" w:rsidP="006175EB">
            <w:pPr>
              <w:spacing w:after="0" w:line="240" w:lineRule="auto"/>
              <w:jc w:val="right"/>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 xml:space="preserve">      Année 2021                    </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5694B8E3" w14:textId="41DC6D14" w:rsidR="006175EB" w:rsidRPr="006175EB" w:rsidRDefault="006175EB" w:rsidP="006175EB">
            <w:pPr>
              <w:spacing w:after="0" w:line="240" w:lineRule="auto"/>
              <w:jc w:val="right"/>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 xml:space="preserve">Année 2022               </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2285BF13" w14:textId="3153E8BD" w:rsidR="006175EB" w:rsidRPr="006175EB" w:rsidRDefault="006175EB" w:rsidP="006175EB">
            <w:pPr>
              <w:spacing w:after="0" w:line="240" w:lineRule="auto"/>
              <w:jc w:val="right"/>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 xml:space="preserve">Année 2023                    </w:t>
            </w:r>
          </w:p>
        </w:tc>
      </w:tr>
      <w:tr w:rsidR="006175EB" w:rsidRPr="006175EB" w14:paraId="618C79B5" w14:textId="77777777" w:rsidTr="007F1E40">
        <w:trPr>
          <w:trHeight w:val="6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70630" w14:textId="3303E13F" w:rsidR="006175EB" w:rsidRPr="006175EB" w:rsidRDefault="006175EB" w:rsidP="006175EB">
            <w:pPr>
              <w:spacing w:after="0" w:line="240" w:lineRule="auto"/>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FINANCEMENT BANQUE MONDIALE</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48A5420B" w14:textId="77777777" w:rsidR="006175EB" w:rsidRPr="006175EB" w:rsidRDefault="006175EB" w:rsidP="006175EB">
            <w:pPr>
              <w:spacing w:after="0" w:line="240" w:lineRule="auto"/>
              <w:jc w:val="right"/>
              <w:rPr>
                <w:rFonts w:ascii="Franklin Gothic Book" w:eastAsia="Times New Roman" w:hAnsi="Franklin Gothic Book" w:cs="Times New Roman"/>
                <w:b/>
                <w:bCs/>
                <w:color w:val="000000"/>
                <w:sz w:val="24"/>
                <w:szCs w:val="24"/>
              </w:rPr>
            </w:pP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06E37B56" w14:textId="4FFB79DE" w:rsidR="006175EB" w:rsidRPr="006175EB" w:rsidRDefault="006175EB" w:rsidP="006175EB">
            <w:pPr>
              <w:spacing w:after="0" w:line="240" w:lineRule="auto"/>
              <w:jc w:val="right"/>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 xml:space="preserve">      54 500 000   </w:t>
            </w: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5FFF55D3" w14:textId="1D178441" w:rsidR="006175EB" w:rsidRPr="006175EB" w:rsidRDefault="006175EB" w:rsidP="006175EB">
            <w:pPr>
              <w:spacing w:after="0" w:line="240" w:lineRule="auto"/>
              <w:jc w:val="right"/>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 xml:space="preserve">121 500 000   </w:t>
            </w:r>
          </w:p>
        </w:tc>
      </w:tr>
      <w:tr w:rsidR="006175EB" w:rsidRPr="006175EB" w14:paraId="549BA857" w14:textId="77777777" w:rsidTr="007F1E40">
        <w:trPr>
          <w:trHeight w:val="6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8AB54" w14:textId="77777777" w:rsidR="006175EB" w:rsidRPr="006175EB" w:rsidRDefault="006175EB" w:rsidP="006175EB">
            <w:pPr>
              <w:spacing w:after="0" w:line="240" w:lineRule="auto"/>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FINANCEMENT CN-ITIE</w:t>
            </w:r>
          </w:p>
        </w:tc>
        <w:tc>
          <w:tcPr>
            <w:tcW w:w="3119" w:type="dxa"/>
            <w:tcBorders>
              <w:top w:val="nil"/>
              <w:left w:val="nil"/>
              <w:bottom w:val="single" w:sz="4" w:space="0" w:color="auto"/>
              <w:right w:val="single" w:sz="4" w:space="0" w:color="auto"/>
            </w:tcBorders>
            <w:shd w:val="clear" w:color="auto" w:fill="auto"/>
            <w:noWrap/>
            <w:vAlign w:val="center"/>
            <w:hideMark/>
          </w:tcPr>
          <w:p w14:paraId="656162FF" w14:textId="77777777" w:rsidR="006175EB" w:rsidRPr="006175EB" w:rsidRDefault="006175EB" w:rsidP="006175EB">
            <w:pPr>
              <w:spacing w:after="0" w:line="240" w:lineRule="auto"/>
              <w:jc w:val="right"/>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 xml:space="preserve">    302 100 000   </w:t>
            </w:r>
          </w:p>
        </w:tc>
        <w:tc>
          <w:tcPr>
            <w:tcW w:w="4111" w:type="dxa"/>
            <w:tcBorders>
              <w:top w:val="nil"/>
              <w:left w:val="nil"/>
              <w:bottom w:val="single" w:sz="4" w:space="0" w:color="auto"/>
              <w:right w:val="single" w:sz="4" w:space="0" w:color="auto"/>
            </w:tcBorders>
            <w:shd w:val="clear" w:color="auto" w:fill="auto"/>
            <w:noWrap/>
            <w:vAlign w:val="center"/>
            <w:hideMark/>
          </w:tcPr>
          <w:p w14:paraId="641FB44A" w14:textId="77777777" w:rsidR="006175EB" w:rsidRPr="006175EB" w:rsidRDefault="006175EB" w:rsidP="006175EB">
            <w:pPr>
              <w:spacing w:after="0" w:line="240" w:lineRule="auto"/>
              <w:jc w:val="right"/>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 xml:space="preserve">    408 500 000   </w:t>
            </w:r>
          </w:p>
        </w:tc>
        <w:tc>
          <w:tcPr>
            <w:tcW w:w="3118" w:type="dxa"/>
            <w:tcBorders>
              <w:top w:val="nil"/>
              <w:left w:val="nil"/>
              <w:bottom w:val="single" w:sz="4" w:space="0" w:color="auto"/>
              <w:right w:val="single" w:sz="4" w:space="0" w:color="auto"/>
            </w:tcBorders>
            <w:shd w:val="clear" w:color="auto" w:fill="auto"/>
            <w:noWrap/>
            <w:vAlign w:val="center"/>
            <w:hideMark/>
          </w:tcPr>
          <w:p w14:paraId="2F546B0D" w14:textId="77777777" w:rsidR="006175EB" w:rsidRPr="006175EB" w:rsidRDefault="006175EB" w:rsidP="006175EB">
            <w:pPr>
              <w:spacing w:after="0" w:line="240" w:lineRule="auto"/>
              <w:jc w:val="right"/>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 xml:space="preserve">     254 500 000   </w:t>
            </w:r>
          </w:p>
        </w:tc>
      </w:tr>
      <w:tr w:rsidR="006175EB" w:rsidRPr="006175EB" w14:paraId="62B9FFFE" w14:textId="77777777" w:rsidTr="007F1E40">
        <w:trPr>
          <w:trHeight w:val="6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5EA8B" w14:textId="77777777" w:rsidR="006175EB" w:rsidRPr="006175EB" w:rsidRDefault="006175EB" w:rsidP="006175EB">
            <w:pPr>
              <w:spacing w:after="0" w:line="240" w:lineRule="auto"/>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FINANCEMENT CN-ITIE / GIZ / BONNE GOUVERNANCE</w:t>
            </w:r>
          </w:p>
        </w:tc>
        <w:tc>
          <w:tcPr>
            <w:tcW w:w="3119" w:type="dxa"/>
            <w:tcBorders>
              <w:top w:val="nil"/>
              <w:left w:val="nil"/>
              <w:bottom w:val="single" w:sz="4" w:space="0" w:color="auto"/>
              <w:right w:val="single" w:sz="4" w:space="0" w:color="auto"/>
            </w:tcBorders>
            <w:shd w:val="clear" w:color="auto" w:fill="auto"/>
            <w:noWrap/>
            <w:vAlign w:val="center"/>
            <w:hideMark/>
          </w:tcPr>
          <w:p w14:paraId="7C53C7A2" w14:textId="77777777" w:rsidR="006175EB" w:rsidRPr="006175EB" w:rsidRDefault="006175EB" w:rsidP="006175EB">
            <w:pPr>
              <w:spacing w:after="0" w:line="240" w:lineRule="auto"/>
              <w:jc w:val="right"/>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 xml:space="preserve">                     -     </w:t>
            </w:r>
          </w:p>
        </w:tc>
        <w:tc>
          <w:tcPr>
            <w:tcW w:w="4111" w:type="dxa"/>
            <w:tcBorders>
              <w:top w:val="nil"/>
              <w:left w:val="nil"/>
              <w:bottom w:val="single" w:sz="4" w:space="0" w:color="auto"/>
              <w:right w:val="single" w:sz="4" w:space="0" w:color="auto"/>
            </w:tcBorders>
            <w:shd w:val="clear" w:color="auto" w:fill="auto"/>
            <w:noWrap/>
            <w:vAlign w:val="bottom"/>
            <w:hideMark/>
          </w:tcPr>
          <w:p w14:paraId="351E9CD8" w14:textId="77777777" w:rsidR="006175EB" w:rsidRPr="006175EB" w:rsidRDefault="006175EB" w:rsidP="006175EB">
            <w:pPr>
              <w:spacing w:after="0" w:line="240" w:lineRule="auto"/>
              <w:jc w:val="right"/>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 xml:space="preserve">                     -     </w:t>
            </w:r>
          </w:p>
        </w:tc>
        <w:tc>
          <w:tcPr>
            <w:tcW w:w="3118" w:type="dxa"/>
            <w:tcBorders>
              <w:top w:val="nil"/>
              <w:left w:val="nil"/>
              <w:bottom w:val="single" w:sz="4" w:space="0" w:color="auto"/>
              <w:right w:val="single" w:sz="4" w:space="0" w:color="auto"/>
            </w:tcBorders>
            <w:shd w:val="clear" w:color="auto" w:fill="auto"/>
            <w:noWrap/>
            <w:vAlign w:val="bottom"/>
            <w:hideMark/>
          </w:tcPr>
          <w:p w14:paraId="7273E235" w14:textId="77777777" w:rsidR="006175EB" w:rsidRPr="006175EB" w:rsidRDefault="006175EB" w:rsidP="006175EB">
            <w:pPr>
              <w:spacing w:after="0" w:line="240" w:lineRule="auto"/>
              <w:jc w:val="right"/>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 xml:space="preserve">                      -     </w:t>
            </w:r>
          </w:p>
        </w:tc>
      </w:tr>
      <w:tr w:rsidR="006175EB" w:rsidRPr="006175EB" w14:paraId="2AAC2E60" w14:textId="77777777" w:rsidTr="007F1E40">
        <w:trPr>
          <w:trHeight w:val="6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E8D1E" w14:textId="77777777" w:rsidR="006175EB" w:rsidRPr="006175EB" w:rsidRDefault="006175EB" w:rsidP="006175EB">
            <w:pPr>
              <w:spacing w:after="0" w:line="240" w:lineRule="auto"/>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FINANCEMENT CN-ITIE /  BANQUE MONDIALE</w:t>
            </w:r>
          </w:p>
        </w:tc>
        <w:tc>
          <w:tcPr>
            <w:tcW w:w="3119" w:type="dxa"/>
            <w:tcBorders>
              <w:top w:val="nil"/>
              <w:left w:val="nil"/>
              <w:bottom w:val="single" w:sz="4" w:space="0" w:color="auto"/>
              <w:right w:val="single" w:sz="4" w:space="0" w:color="auto"/>
            </w:tcBorders>
            <w:shd w:val="clear" w:color="auto" w:fill="auto"/>
            <w:noWrap/>
            <w:vAlign w:val="center"/>
            <w:hideMark/>
          </w:tcPr>
          <w:p w14:paraId="21986336" w14:textId="77777777" w:rsidR="006175EB" w:rsidRPr="006175EB" w:rsidRDefault="006175EB" w:rsidP="006175EB">
            <w:pPr>
              <w:spacing w:after="0" w:line="240" w:lineRule="auto"/>
              <w:jc w:val="right"/>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 xml:space="preserve">                     -     </w:t>
            </w:r>
          </w:p>
        </w:tc>
        <w:tc>
          <w:tcPr>
            <w:tcW w:w="4111" w:type="dxa"/>
            <w:tcBorders>
              <w:top w:val="nil"/>
              <w:left w:val="nil"/>
              <w:bottom w:val="single" w:sz="4" w:space="0" w:color="auto"/>
              <w:right w:val="single" w:sz="4" w:space="0" w:color="auto"/>
            </w:tcBorders>
            <w:shd w:val="clear" w:color="auto" w:fill="auto"/>
            <w:noWrap/>
            <w:vAlign w:val="bottom"/>
            <w:hideMark/>
          </w:tcPr>
          <w:p w14:paraId="6E22C1A4" w14:textId="77777777" w:rsidR="006175EB" w:rsidRPr="006175EB" w:rsidRDefault="006175EB" w:rsidP="006175EB">
            <w:pPr>
              <w:spacing w:after="0" w:line="240" w:lineRule="auto"/>
              <w:jc w:val="right"/>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 xml:space="preserve">                     -     </w:t>
            </w:r>
          </w:p>
        </w:tc>
        <w:tc>
          <w:tcPr>
            <w:tcW w:w="3118" w:type="dxa"/>
            <w:tcBorders>
              <w:top w:val="nil"/>
              <w:left w:val="nil"/>
              <w:bottom w:val="single" w:sz="4" w:space="0" w:color="auto"/>
              <w:right w:val="single" w:sz="4" w:space="0" w:color="auto"/>
            </w:tcBorders>
            <w:shd w:val="clear" w:color="auto" w:fill="auto"/>
            <w:noWrap/>
            <w:vAlign w:val="bottom"/>
            <w:hideMark/>
          </w:tcPr>
          <w:p w14:paraId="466BA52B" w14:textId="77777777" w:rsidR="006175EB" w:rsidRPr="006175EB" w:rsidRDefault="006175EB" w:rsidP="006175EB">
            <w:pPr>
              <w:spacing w:after="0" w:line="240" w:lineRule="auto"/>
              <w:jc w:val="right"/>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 xml:space="preserve">       15 000 000   </w:t>
            </w:r>
          </w:p>
        </w:tc>
      </w:tr>
      <w:tr w:rsidR="006175EB" w:rsidRPr="006175EB" w14:paraId="3E5173D6" w14:textId="77777777" w:rsidTr="007F1E40">
        <w:trPr>
          <w:trHeight w:val="6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BE4DB" w14:textId="77777777" w:rsidR="006175EB" w:rsidRPr="006175EB" w:rsidRDefault="006175EB" w:rsidP="006175EB">
            <w:pPr>
              <w:spacing w:after="0" w:line="240" w:lineRule="auto"/>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FINANCEMENT CN-ITIE / GIZ</w:t>
            </w:r>
          </w:p>
        </w:tc>
        <w:tc>
          <w:tcPr>
            <w:tcW w:w="3119" w:type="dxa"/>
            <w:tcBorders>
              <w:top w:val="nil"/>
              <w:left w:val="nil"/>
              <w:bottom w:val="single" w:sz="4" w:space="0" w:color="auto"/>
              <w:right w:val="single" w:sz="4" w:space="0" w:color="auto"/>
            </w:tcBorders>
            <w:shd w:val="clear" w:color="auto" w:fill="auto"/>
            <w:noWrap/>
            <w:vAlign w:val="center"/>
            <w:hideMark/>
          </w:tcPr>
          <w:p w14:paraId="6E076013" w14:textId="77777777" w:rsidR="006175EB" w:rsidRPr="006175EB" w:rsidRDefault="006175EB" w:rsidP="006175EB">
            <w:pPr>
              <w:spacing w:after="0" w:line="240" w:lineRule="auto"/>
              <w:jc w:val="right"/>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 xml:space="preserve">        3 500 000   </w:t>
            </w:r>
          </w:p>
        </w:tc>
        <w:tc>
          <w:tcPr>
            <w:tcW w:w="4111" w:type="dxa"/>
            <w:tcBorders>
              <w:top w:val="nil"/>
              <w:left w:val="nil"/>
              <w:bottom w:val="single" w:sz="4" w:space="0" w:color="auto"/>
              <w:right w:val="single" w:sz="4" w:space="0" w:color="auto"/>
            </w:tcBorders>
            <w:shd w:val="clear" w:color="auto" w:fill="auto"/>
            <w:noWrap/>
            <w:vAlign w:val="center"/>
            <w:hideMark/>
          </w:tcPr>
          <w:p w14:paraId="2BFDB3C9" w14:textId="77777777" w:rsidR="006175EB" w:rsidRPr="006175EB" w:rsidRDefault="006175EB" w:rsidP="006175EB">
            <w:pPr>
              <w:spacing w:after="0" w:line="240" w:lineRule="auto"/>
              <w:jc w:val="right"/>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 xml:space="preserve">        3 500 000   </w:t>
            </w:r>
          </w:p>
        </w:tc>
        <w:tc>
          <w:tcPr>
            <w:tcW w:w="3118" w:type="dxa"/>
            <w:tcBorders>
              <w:top w:val="nil"/>
              <w:left w:val="nil"/>
              <w:bottom w:val="single" w:sz="4" w:space="0" w:color="auto"/>
              <w:right w:val="single" w:sz="4" w:space="0" w:color="auto"/>
            </w:tcBorders>
            <w:shd w:val="clear" w:color="auto" w:fill="auto"/>
            <w:noWrap/>
            <w:vAlign w:val="center"/>
            <w:hideMark/>
          </w:tcPr>
          <w:p w14:paraId="3EE6FBAA" w14:textId="77777777" w:rsidR="006175EB" w:rsidRPr="006175EB" w:rsidRDefault="006175EB" w:rsidP="006175EB">
            <w:pPr>
              <w:spacing w:after="0" w:line="240" w:lineRule="auto"/>
              <w:jc w:val="right"/>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 xml:space="preserve">                      -     </w:t>
            </w:r>
          </w:p>
        </w:tc>
      </w:tr>
      <w:tr w:rsidR="006175EB" w:rsidRPr="006175EB" w14:paraId="5106D314" w14:textId="77777777" w:rsidTr="007F1E40">
        <w:trPr>
          <w:trHeight w:val="6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5B2BB" w14:textId="77777777" w:rsidR="006175EB" w:rsidRPr="006175EB" w:rsidRDefault="006175EB" w:rsidP="006175EB">
            <w:pPr>
              <w:spacing w:after="0" w:line="240" w:lineRule="auto"/>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FINANCEMENT CN-ITIE / GIZ / OSC</w:t>
            </w:r>
          </w:p>
        </w:tc>
        <w:tc>
          <w:tcPr>
            <w:tcW w:w="3119" w:type="dxa"/>
            <w:tcBorders>
              <w:top w:val="nil"/>
              <w:left w:val="nil"/>
              <w:bottom w:val="single" w:sz="4" w:space="0" w:color="auto"/>
              <w:right w:val="single" w:sz="4" w:space="0" w:color="auto"/>
            </w:tcBorders>
            <w:shd w:val="clear" w:color="auto" w:fill="auto"/>
            <w:noWrap/>
            <w:vAlign w:val="center"/>
            <w:hideMark/>
          </w:tcPr>
          <w:p w14:paraId="02368F8C" w14:textId="77777777" w:rsidR="006175EB" w:rsidRPr="006175EB" w:rsidRDefault="006175EB" w:rsidP="006175EB">
            <w:pPr>
              <w:spacing w:after="0" w:line="240" w:lineRule="auto"/>
              <w:jc w:val="right"/>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 xml:space="preserve">      19 370 000   </w:t>
            </w:r>
          </w:p>
        </w:tc>
        <w:tc>
          <w:tcPr>
            <w:tcW w:w="4111" w:type="dxa"/>
            <w:tcBorders>
              <w:top w:val="nil"/>
              <w:left w:val="nil"/>
              <w:bottom w:val="single" w:sz="4" w:space="0" w:color="auto"/>
              <w:right w:val="single" w:sz="4" w:space="0" w:color="auto"/>
            </w:tcBorders>
            <w:shd w:val="clear" w:color="auto" w:fill="auto"/>
            <w:noWrap/>
            <w:vAlign w:val="center"/>
            <w:hideMark/>
          </w:tcPr>
          <w:p w14:paraId="022D98A6" w14:textId="77777777" w:rsidR="006175EB" w:rsidRPr="006175EB" w:rsidRDefault="006175EB" w:rsidP="006175EB">
            <w:pPr>
              <w:spacing w:after="0" w:line="240" w:lineRule="auto"/>
              <w:jc w:val="right"/>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 xml:space="preserve">      12 800 000   </w:t>
            </w:r>
          </w:p>
        </w:tc>
        <w:tc>
          <w:tcPr>
            <w:tcW w:w="3118" w:type="dxa"/>
            <w:tcBorders>
              <w:top w:val="nil"/>
              <w:left w:val="nil"/>
              <w:bottom w:val="single" w:sz="4" w:space="0" w:color="auto"/>
              <w:right w:val="single" w:sz="4" w:space="0" w:color="auto"/>
            </w:tcBorders>
            <w:shd w:val="clear" w:color="auto" w:fill="auto"/>
            <w:noWrap/>
            <w:vAlign w:val="center"/>
            <w:hideMark/>
          </w:tcPr>
          <w:p w14:paraId="2A45C0EB" w14:textId="77777777" w:rsidR="006175EB" w:rsidRPr="006175EB" w:rsidRDefault="006175EB" w:rsidP="006175EB">
            <w:pPr>
              <w:spacing w:after="0" w:line="240" w:lineRule="auto"/>
              <w:jc w:val="right"/>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 xml:space="preserve">                      -     </w:t>
            </w:r>
          </w:p>
        </w:tc>
      </w:tr>
      <w:tr w:rsidR="006175EB" w:rsidRPr="006175EB" w14:paraId="773B4817" w14:textId="77777777" w:rsidTr="007F1E40">
        <w:trPr>
          <w:trHeight w:val="6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C850E" w14:textId="77777777" w:rsidR="006175EB" w:rsidRPr="006175EB" w:rsidRDefault="006175EB" w:rsidP="006175EB">
            <w:pPr>
              <w:spacing w:after="0" w:line="240" w:lineRule="auto"/>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FINANCEMENT  CN-ITIE  / AUTRES PARTENAIRES</w:t>
            </w:r>
          </w:p>
        </w:tc>
        <w:tc>
          <w:tcPr>
            <w:tcW w:w="3119" w:type="dxa"/>
            <w:tcBorders>
              <w:top w:val="nil"/>
              <w:left w:val="nil"/>
              <w:bottom w:val="single" w:sz="4" w:space="0" w:color="auto"/>
              <w:right w:val="single" w:sz="4" w:space="0" w:color="auto"/>
            </w:tcBorders>
            <w:shd w:val="clear" w:color="auto" w:fill="auto"/>
            <w:noWrap/>
            <w:vAlign w:val="center"/>
            <w:hideMark/>
          </w:tcPr>
          <w:p w14:paraId="5FE914F1" w14:textId="77777777" w:rsidR="006175EB" w:rsidRPr="006175EB" w:rsidRDefault="006175EB" w:rsidP="006175EB">
            <w:pPr>
              <w:spacing w:after="0" w:line="240" w:lineRule="auto"/>
              <w:jc w:val="right"/>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 xml:space="preserve">                     -     </w:t>
            </w:r>
          </w:p>
        </w:tc>
        <w:tc>
          <w:tcPr>
            <w:tcW w:w="4111" w:type="dxa"/>
            <w:tcBorders>
              <w:top w:val="nil"/>
              <w:left w:val="nil"/>
              <w:bottom w:val="single" w:sz="4" w:space="0" w:color="auto"/>
              <w:right w:val="single" w:sz="4" w:space="0" w:color="auto"/>
            </w:tcBorders>
            <w:shd w:val="clear" w:color="auto" w:fill="auto"/>
            <w:noWrap/>
            <w:vAlign w:val="center"/>
            <w:hideMark/>
          </w:tcPr>
          <w:p w14:paraId="0BD55DDC" w14:textId="77777777" w:rsidR="006175EB" w:rsidRPr="006175EB" w:rsidRDefault="006175EB" w:rsidP="006175EB">
            <w:pPr>
              <w:spacing w:after="0" w:line="240" w:lineRule="auto"/>
              <w:jc w:val="right"/>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 xml:space="preserve">      25 000 000   </w:t>
            </w:r>
          </w:p>
        </w:tc>
        <w:tc>
          <w:tcPr>
            <w:tcW w:w="3118" w:type="dxa"/>
            <w:tcBorders>
              <w:top w:val="nil"/>
              <w:left w:val="nil"/>
              <w:bottom w:val="single" w:sz="4" w:space="0" w:color="auto"/>
              <w:right w:val="single" w:sz="4" w:space="0" w:color="auto"/>
            </w:tcBorders>
            <w:shd w:val="clear" w:color="auto" w:fill="auto"/>
            <w:noWrap/>
            <w:vAlign w:val="center"/>
            <w:hideMark/>
          </w:tcPr>
          <w:p w14:paraId="137E8183" w14:textId="77777777" w:rsidR="006175EB" w:rsidRPr="006175EB" w:rsidRDefault="006175EB" w:rsidP="006175EB">
            <w:pPr>
              <w:spacing w:after="0" w:line="240" w:lineRule="auto"/>
              <w:jc w:val="right"/>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 xml:space="preserve">       25 000 000   </w:t>
            </w:r>
          </w:p>
        </w:tc>
      </w:tr>
      <w:tr w:rsidR="006175EB" w:rsidRPr="006175EB" w14:paraId="35F260FB" w14:textId="77777777" w:rsidTr="007F1E40">
        <w:trPr>
          <w:trHeight w:val="6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9A1D4" w14:textId="77777777" w:rsidR="006175EB" w:rsidRPr="006175EB" w:rsidRDefault="006175EB" w:rsidP="006175EB">
            <w:pPr>
              <w:spacing w:after="0" w:line="240" w:lineRule="auto"/>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FINANCEMENT GRSE GIZ</w:t>
            </w:r>
          </w:p>
        </w:tc>
        <w:tc>
          <w:tcPr>
            <w:tcW w:w="3119" w:type="dxa"/>
            <w:tcBorders>
              <w:top w:val="nil"/>
              <w:left w:val="nil"/>
              <w:bottom w:val="single" w:sz="4" w:space="0" w:color="auto"/>
              <w:right w:val="single" w:sz="4" w:space="0" w:color="auto"/>
            </w:tcBorders>
            <w:shd w:val="clear" w:color="auto" w:fill="auto"/>
            <w:noWrap/>
            <w:vAlign w:val="center"/>
            <w:hideMark/>
          </w:tcPr>
          <w:p w14:paraId="7BD20513" w14:textId="77777777" w:rsidR="006175EB" w:rsidRPr="006175EB" w:rsidRDefault="006175EB" w:rsidP="006175EB">
            <w:pPr>
              <w:spacing w:after="0" w:line="240" w:lineRule="auto"/>
              <w:jc w:val="right"/>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 xml:space="preserve">    101 656 900   </w:t>
            </w:r>
          </w:p>
        </w:tc>
        <w:tc>
          <w:tcPr>
            <w:tcW w:w="4111" w:type="dxa"/>
            <w:tcBorders>
              <w:top w:val="nil"/>
              <w:left w:val="nil"/>
              <w:bottom w:val="single" w:sz="4" w:space="0" w:color="auto"/>
              <w:right w:val="single" w:sz="4" w:space="0" w:color="auto"/>
            </w:tcBorders>
            <w:shd w:val="clear" w:color="auto" w:fill="auto"/>
            <w:noWrap/>
            <w:vAlign w:val="center"/>
            <w:hideMark/>
          </w:tcPr>
          <w:p w14:paraId="4319998C" w14:textId="77777777" w:rsidR="006175EB" w:rsidRPr="006175EB" w:rsidRDefault="006175EB" w:rsidP="006175EB">
            <w:pPr>
              <w:spacing w:after="0" w:line="240" w:lineRule="auto"/>
              <w:jc w:val="right"/>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 xml:space="preserve">      22 995 000   </w:t>
            </w:r>
          </w:p>
        </w:tc>
        <w:tc>
          <w:tcPr>
            <w:tcW w:w="3118" w:type="dxa"/>
            <w:tcBorders>
              <w:top w:val="nil"/>
              <w:left w:val="nil"/>
              <w:bottom w:val="single" w:sz="4" w:space="0" w:color="auto"/>
              <w:right w:val="single" w:sz="4" w:space="0" w:color="auto"/>
            </w:tcBorders>
            <w:shd w:val="clear" w:color="auto" w:fill="auto"/>
            <w:noWrap/>
            <w:vAlign w:val="center"/>
            <w:hideMark/>
          </w:tcPr>
          <w:p w14:paraId="48245C36" w14:textId="77777777" w:rsidR="006175EB" w:rsidRPr="006175EB" w:rsidRDefault="006175EB" w:rsidP="006175EB">
            <w:pPr>
              <w:spacing w:after="0" w:line="240" w:lineRule="auto"/>
              <w:jc w:val="right"/>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 xml:space="preserve">                      -     </w:t>
            </w:r>
          </w:p>
        </w:tc>
      </w:tr>
      <w:tr w:rsidR="006175EB" w:rsidRPr="006175EB" w14:paraId="50AAAEEC" w14:textId="77777777" w:rsidTr="007F1E40">
        <w:trPr>
          <w:trHeight w:val="6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F3D19" w14:textId="77777777" w:rsidR="006175EB" w:rsidRPr="006175EB" w:rsidRDefault="006175EB" w:rsidP="006175EB">
            <w:pPr>
              <w:spacing w:after="0" w:line="240" w:lineRule="auto"/>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FINANCEMENT GRSE GIZ / BONNE GOUVERNANCE</w:t>
            </w:r>
          </w:p>
        </w:tc>
        <w:tc>
          <w:tcPr>
            <w:tcW w:w="3119" w:type="dxa"/>
            <w:tcBorders>
              <w:top w:val="nil"/>
              <w:left w:val="nil"/>
              <w:bottom w:val="single" w:sz="4" w:space="0" w:color="auto"/>
              <w:right w:val="single" w:sz="4" w:space="0" w:color="auto"/>
            </w:tcBorders>
            <w:shd w:val="clear" w:color="auto" w:fill="auto"/>
            <w:noWrap/>
            <w:vAlign w:val="center"/>
            <w:hideMark/>
          </w:tcPr>
          <w:p w14:paraId="6257BF99" w14:textId="77777777" w:rsidR="006175EB" w:rsidRPr="006175EB" w:rsidRDefault="006175EB" w:rsidP="006175EB">
            <w:pPr>
              <w:spacing w:after="0" w:line="240" w:lineRule="auto"/>
              <w:jc w:val="right"/>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 xml:space="preserve">      42 500 000   </w:t>
            </w:r>
          </w:p>
        </w:tc>
        <w:tc>
          <w:tcPr>
            <w:tcW w:w="4111" w:type="dxa"/>
            <w:tcBorders>
              <w:top w:val="nil"/>
              <w:left w:val="nil"/>
              <w:bottom w:val="single" w:sz="4" w:space="0" w:color="auto"/>
              <w:right w:val="single" w:sz="4" w:space="0" w:color="auto"/>
            </w:tcBorders>
            <w:shd w:val="clear" w:color="auto" w:fill="auto"/>
            <w:noWrap/>
            <w:vAlign w:val="center"/>
            <w:hideMark/>
          </w:tcPr>
          <w:p w14:paraId="5B5E306A" w14:textId="77777777" w:rsidR="006175EB" w:rsidRPr="006175EB" w:rsidRDefault="006175EB" w:rsidP="006175EB">
            <w:pPr>
              <w:spacing w:after="0" w:line="240" w:lineRule="auto"/>
              <w:jc w:val="right"/>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 xml:space="preserve">      20 000 000   </w:t>
            </w:r>
          </w:p>
        </w:tc>
        <w:tc>
          <w:tcPr>
            <w:tcW w:w="3118" w:type="dxa"/>
            <w:tcBorders>
              <w:top w:val="nil"/>
              <w:left w:val="nil"/>
              <w:bottom w:val="single" w:sz="4" w:space="0" w:color="auto"/>
              <w:right w:val="single" w:sz="4" w:space="0" w:color="auto"/>
            </w:tcBorders>
            <w:shd w:val="clear" w:color="auto" w:fill="auto"/>
            <w:noWrap/>
            <w:vAlign w:val="center"/>
            <w:hideMark/>
          </w:tcPr>
          <w:p w14:paraId="4774388F" w14:textId="77777777" w:rsidR="006175EB" w:rsidRPr="006175EB" w:rsidRDefault="006175EB" w:rsidP="006175EB">
            <w:pPr>
              <w:spacing w:after="0" w:line="240" w:lineRule="auto"/>
              <w:jc w:val="right"/>
              <w:rPr>
                <w:rFonts w:ascii="Franklin Gothic Book" w:eastAsia="Times New Roman" w:hAnsi="Franklin Gothic Book" w:cs="Times New Roman"/>
                <w:b/>
                <w:bCs/>
                <w:color w:val="000000"/>
                <w:sz w:val="24"/>
                <w:szCs w:val="24"/>
              </w:rPr>
            </w:pPr>
            <w:r w:rsidRPr="006175EB">
              <w:rPr>
                <w:rFonts w:ascii="Franklin Gothic Book" w:eastAsia="Times New Roman" w:hAnsi="Franklin Gothic Book" w:cs="Times New Roman"/>
                <w:b/>
                <w:bCs/>
                <w:color w:val="000000"/>
                <w:sz w:val="24"/>
                <w:szCs w:val="24"/>
              </w:rPr>
              <w:t xml:space="preserve">                      -     </w:t>
            </w:r>
          </w:p>
        </w:tc>
      </w:tr>
    </w:tbl>
    <w:p w14:paraId="6ABE4018" w14:textId="7D32C14B" w:rsidR="00D2057B" w:rsidRDefault="00D2057B" w:rsidP="00D2057B">
      <w:pPr>
        <w:rPr>
          <w:rFonts w:ascii="Franklin Gothic Book" w:hAnsi="Franklin Gothic Book"/>
          <w:sz w:val="24"/>
          <w:szCs w:val="24"/>
        </w:rPr>
      </w:pPr>
    </w:p>
    <w:p w14:paraId="1F2E5FB2" w14:textId="5119F678" w:rsidR="00074C98" w:rsidRDefault="00074C98" w:rsidP="00D2057B">
      <w:pPr>
        <w:rPr>
          <w:rFonts w:ascii="Franklin Gothic Book" w:hAnsi="Franklin Gothic Book"/>
          <w:sz w:val="24"/>
          <w:szCs w:val="24"/>
        </w:rPr>
      </w:pPr>
    </w:p>
    <w:p w14:paraId="6C114C62" w14:textId="6EAC2FEE" w:rsidR="00074C98" w:rsidRDefault="00074C98" w:rsidP="00D2057B">
      <w:pPr>
        <w:rPr>
          <w:rFonts w:ascii="Franklin Gothic Book" w:hAnsi="Franklin Gothic Book"/>
          <w:sz w:val="24"/>
          <w:szCs w:val="24"/>
        </w:rPr>
      </w:pPr>
    </w:p>
    <w:p w14:paraId="5EB79FB1" w14:textId="4576283C" w:rsidR="00074C98" w:rsidRDefault="00074C98" w:rsidP="00D2057B">
      <w:pPr>
        <w:rPr>
          <w:rFonts w:ascii="Franklin Gothic Book" w:hAnsi="Franklin Gothic Book"/>
          <w:sz w:val="24"/>
          <w:szCs w:val="24"/>
        </w:rPr>
      </w:pPr>
    </w:p>
    <w:p w14:paraId="60F264F4" w14:textId="77777777" w:rsidR="00074C98" w:rsidRPr="006175EB" w:rsidRDefault="00074C98" w:rsidP="00D2057B">
      <w:pPr>
        <w:rPr>
          <w:rFonts w:ascii="Franklin Gothic Book" w:hAnsi="Franklin Gothic Book"/>
          <w:sz w:val="24"/>
          <w:szCs w:val="24"/>
        </w:rPr>
      </w:pPr>
    </w:p>
    <w:tbl>
      <w:tblPr>
        <w:tblStyle w:val="Grilledutableau"/>
        <w:tblW w:w="13320" w:type="dxa"/>
        <w:tblLook w:val="04A0" w:firstRow="1" w:lastRow="0" w:firstColumn="1" w:lastColumn="0" w:noHBand="0" w:noVBand="1"/>
      </w:tblPr>
      <w:tblGrid>
        <w:gridCol w:w="3681"/>
        <w:gridCol w:w="5670"/>
        <w:gridCol w:w="3969"/>
      </w:tblGrid>
      <w:tr w:rsidR="00074C98" w:rsidRPr="004B6BBF" w14:paraId="58A6570B" w14:textId="77777777" w:rsidTr="00AA3A37">
        <w:trPr>
          <w:trHeight w:val="328"/>
        </w:trPr>
        <w:tc>
          <w:tcPr>
            <w:tcW w:w="3681" w:type="dxa"/>
            <w:vMerge w:val="restart"/>
          </w:tcPr>
          <w:p w14:paraId="53F7626A" w14:textId="61B0260F" w:rsidR="00074C98" w:rsidRPr="00933535" w:rsidRDefault="00074C98" w:rsidP="00AA3A37">
            <w:pPr>
              <w:rPr>
                <w:rFonts w:ascii="Cambria" w:hAnsi="Cambria"/>
                <w:b/>
                <w:sz w:val="28"/>
                <w:szCs w:val="28"/>
              </w:rPr>
            </w:pPr>
            <w:r w:rsidRPr="00933535">
              <w:rPr>
                <w:rFonts w:ascii="Cambria" w:hAnsi="Cambria"/>
                <w:b/>
                <w:sz w:val="28"/>
                <w:szCs w:val="28"/>
              </w:rPr>
              <w:lastRenderedPageBreak/>
              <w:t>PARTENAIRES</w:t>
            </w:r>
            <w:r w:rsidR="00517D9C" w:rsidRPr="00933535">
              <w:rPr>
                <w:rFonts w:ascii="Cambria" w:hAnsi="Cambria"/>
                <w:b/>
                <w:sz w:val="28"/>
                <w:szCs w:val="28"/>
              </w:rPr>
              <w:t xml:space="preserve"> 2021</w:t>
            </w:r>
          </w:p>
        </w:tc>
        <w:tc>
          <w:tcPr>
            <w:tcW w:w="5670" w:type="dxa"/>
            <w:vMerge w:val="restart"/>
          </w:tcPr>
          <w:p w14:paraId="54876974" w14:textId="77777777" w:rsidR="00074C98" w:rsidRPr="004B6BBF" w:rsidRDefault="00074C98" w:rsidP="00AA3A37">
            <w:pPr>
              <w:jc w:val="center"/>
              <w:rPr>
                <w:rFonts w:ascii="Cambria" w:hAnsi="Cambria"/>
                <w:sz w:val="24"/>
                <w:szCs w:val="24"/>
              </w:rPr>
            </w:pPr>
            <w:r w:rsidRPr="004B6BBF">
              <w:rPr>
                <w:rFonts w:ascii="Cambria" w:hAnsi="Cambria"/>
                <w:sz w:val="24"/>
                <w:szCs w:val="24"/>
              </w:rPr>
              <w:t>Contribution au plan de travail</w:t>
            </w:r>
          </w:p>
          <w:p w14:paraId="69E56506" w14:textId="77777777" w:rsidR="00074C98" w:rsidRPr="004B6BBF" w:rsidRDefault="00074C98" w:rsidP="00AA3A37">
            <w:pPr>
              <w:jc w:val="center"/>
              <w:rPr>
                <w:rFonts w:ascii="Cambria" w:hAnsi="Cambria"/>
                <w:sz w:val="24"/>
                <w:szCs w:val="24"/>
              </w:rPr>
            </w:pPr>
            <w:r w:rsidRPr="004B6BBF">
              <w:rPr>
                <w:rFonts w:ascii="Cambria" w:hAnsi="Cambria"/>
                <w:sz w:val="24"/>
                <w:szCs w:val="24"/>
              </w:rPr>
              <w:t>en FCFA</w:t>
            </w:r>
          </w:p>
        </w:tc>
        <w:tc>
          <w:tcPr>
            <w:tcW w:w="3969" w:type="dxa"/>
            <w:vMerge w:val="restart"/>
          </w:tcPr>
          <w:p w14:paraId="206187E0" w14:textId="77777777" w:rsidR="00074C98" w:rsidRPr="004B6BBF" w:rsidRDefault="00074C98" w:rsidP="00AA3A37">
            <w:pPr>
              <w:jc w:val="center"/>
              <w:rPr>
                <w:rFonts w:ascii="Cambria" w:hAnsi="Cambria"/>
                <w:sz w:val="24"/>
                <w:szCs w:val="24"/>
              </w:rPr>
            </w:pPr>
            <w:r w:rsidRPr="004B6BBF">
              <w:rPr>
                <w:rFonts w:ascii="Cambria" w:hAnsi="Cambria"/>
                <w:sz w:val="24"/>
                <w:szCs w:val="24"/>
              </w:rPr>
              <w:t>Contribution en % au budget total</w:t>
            </w:r>
          </w:p>
        </w:tc>
      </w:tr>
      <w:tr w:rsidR="00074C98" w:rsidRPr="004B6BBF" w14:paraId="3ECD077C" w14:textId="77777777" w:rsidTr="00AA3A37">
        <w:trPr>
          <w:trHeight w:val="281"/>
        </w:trPr>
        <w:tc>
          <w:tcPr>
            <w:tcW w:w="3681" w:type="dxa"/>
            <w:vMerge/>
          </w:tcPr>
          <w:p w14:paraId="00662375" w14:textId="77777777" w:rsidR="00074C98" w:rsidRPr="004B6BBF" w:rsidRDefault="00074C98" w:rsidP="00AA3A37">
            <w:pPr>
              <w:rPr>
                <w:rFonts w:ascii="Cambria" w:hAnsi="Cambria"/>
                <w:b/>
                <w:sz w:val="24"/>
                <w:szCs w:val="24"/>
              </w:rPr>
            </w:pPr>
          </w:p>
        </w:tc>
        <w:tc>
          <w:tcPr>
            <w:tcW w:w="5670" w:type="dxa"/>
            <w:vMerge/>
          </w:tcPr>
          <w:p w14:paraId="696AE68A" w14:textId="77777777" w:rsidR="00074C98" w:rsidRPr="004B6BBF" w:rsidRDefault="00074C98" w:rsidP="00AA3A37">
            <w:pPr>
              <w:jc w:val="center"/>
              <w:rPr>
                <w:rFonts w:ascii="Cambria" w:hAnsi="Cambria"/>
                <w:sz w:val="24"/>
                <w:szCs w:val="24"/>
              </w:rPr>
            </w:pPr>
          </w:p>
        </w:tc>
        <w:tc>
          <w:tcPr>
            <w:tcW w:w="3969" w:type="dxa"/>
            <w:vMerge/>
          </w:tcPr>
          <w:p w14:paraId="451B2E53" w14:textId="77777777" w:rsidR="00074C98" w:rsidRPr="004B6BBF" w:rsidRDefault="00074C98" w:rsidP="00AA3A37">
            <w:pPr>
              <w:jc w:val="center"/>
              <w:rPr>
                <w:rFonts w:ascii="Cambria" w:hAnsi="Cambria"/>
                <w:sz w:val="24"/>
                <w:szCs w:val="24"/>
              </w:rPr>
            </w:pPr>
          </w:p>
        </w:tc>
      </w:tr>
      <w:tr w:rsidR="00074C98" w:rsidRPr="004B6BBF" w14:paraId="46449FF7" w14:textId="77777777" w:rsidTr="00AA3A37">
        <w:tc>
          <w:tcPr>
            <w:tcW w:w="3681" w:type="dxa"/>
          </w:tcPr>
          <w:p w14:paraId="5AA4F803" w14:textId="38907759" w:rsidR="00074C98" w:rsidRPr="004B6BBF" w:rsidRDefault="00074C98" w:rsidP="00AA3A37">
            <w:pPr>
              <w:rPr>
                <w:rFonts w:ascii="Cambria" w:hAnsi="Cambria"/>
                <w:b/>
                <w:sz w:val="24"/>
                <w:szCs w:val="24"/>
              </w:rPr>
            </w:pPr>
            <w:r w:rsidRPr="004B6BBF">
              <w:rPr>
                <w:rFonts w:ascii="Cambria" w:hAnsi="Cambria"/>
                <w:b/>
                <w:sz w:val="24"/>
                <w:szCs w:val="24"/>
              </w:rPr>
              <w:t>CN-ITIE</w:t>
            </w:r>
          </w:p>
        </w:tc>
        <w:tc>
          <w:tcPr>
            <w:tcW w:w="5670" w:type="dxa"/>
          </w:tcPr>
          <w:p w14:paraId="05CB6E60" w14:textId="0287367A" w:rsidR="00074C98" w:rsidRPr="004B6BBF" w:rsidRDefault="00074C98" w:rsidP="006A77A1">
            <w:pPr>
              <w:jc w:val="center"/>
              <w:rPr>
                <w:rFonts w:ascii="Cambria" w:hAnsi="Cambria"/>
                <w:sz w:val="24"/>
                <w:szCs w:val="24"/>
              </w:rPr>
            </w:pPr>
            <w:r w:rsidRPr="004B6BBF">
              <w:rPr>
                <w:rFonts w:ascii="Cambria" w:hAnsi="Cambria"/>
                <w:sz w:val="24"/>
                <w:szCs w:val="24"/>
              </w:rPr>
              <w:t>3</w:t>
            </w:r>
            <w:r w:rsidR="006A77A1">
              <w:rPr>
                <w:rFonts w:ascii="Cambria" w:hAnsi="Cambria"/>
                <w:sz w:val="24"/>
                <w:szCs w:val="24"/>
              </w:rPr>
              <w:t>02</w:t>
            </w:r>
            <w:r w:rsidRPr="004B6BBF">
              <w:rPr>
                <w:rFonts w:ascii="Cambria" w:hAnsi="Cambria"/>
                <w:sz w:val="24"/>
                <w:szCs w:val="24"/>
              </w:rPr>
              <w:t> </w:t>
            </w:r>
            <w:r w:rsidR="006A77A1">
              <w:rPr>
                <w:rFonts w:ascii="Cambria" w:hAnsi="Cambria"/>
                <w:sz w:val="24"/>
                <w:szCs w:val="24"/>
              </w:rPr>
              <w:t>1</w:t>
            </w:r>
            <w:r w:rsidRPr="004B6BBF">
              <w:rPr>
                <w:rFonts w:ascii="Cambria" w:hAnsi="Cambria"/>
                <w:sz w:val="24"/>
                <w:szCs w:val="24"/>
              </w:rPr>
              <w:t>00 000</w:t>
            </w:r>
          </w:p>
        </w:tc>
        <w:tc>
          <w:tcPr>
            <w:tcW w:w="3969" w:type="dxa"/>
          </w:tcPr>
          <w:p w14:paraId="6855FFD6" w14:textId="10136A26" w:rsidR="00074C98" w:rsidRPr="004B6BBF" w:rsidRDefault="00517D9C" w:rsidP="00AA3A37">
            <w:pPr>
              <w:jc w:val="center"/>
              <w:rPr>
                <w:rFonts w:ascii="Cambria" w:hAnsi="Cambria"/>
                <w:sz w:val="24"/>
                <w:szCs w:val="24"/>
              </w:rPr>
            </w:pPr>
            <w:r>
              <w:rPr>
                <w:rFonts w:ascii="Cambria" w:hAnsi="Cambria"/>
                <w:sz w:val="24"/>
                <w:szCs w:val="24"/>
              </w:rPr>
              <w:t>64,40%</w:t>
            </w:r>
            <w:r w:rsidR="00172209">
              <w:rPr>
                <w:rFonts w:ascii="Cambria" w:hAnsi="Cambria"/>
                <w:sz w:val="24"/>
                <w:szCs w:val="24"/>
              </w:rPr>
              <w:t xml:space="preserve"> </w:t>
            </w:r>
          </w:p>
        </w:tc>
      </w:tr>
      <w:tr w:rsidR="00060D92" w:rsidRPr="004B6BBF" w14:paraId="42584825" w14:textId="77777777" w:rsidTr="00AA3A37">
        <w:tc>
          <w:tcPr>
            <w:tcW w:w="3681" w:type="dxa"/>
          </w:tcPr>
          <w:p w14:paraId="59B10B86" w14:textId="2C2DB2EB" w:rsidR="00060D92" w:rsidRPr="004B6BBF" w:rsidRDefault="00060D92" w:rsidP="00AA3A37">
            <w:pPr>
              <w:rPr>
                <w:rFonts w:ascii="Cambria" w:hAnsi="Cambria"/>
                <w:b/>
                <w:sz w:val="24"/>
                <w:szCs w:val="24"/>
              </w:rPr>
            </w:pPr>
            <w:r>
              <w:rPr>
                <w:rFonts w:ascii="Cambria" w:hAnsi="Cambria"/>
                <w:b/>
                <w:sz w:val="24"/>
                <w:szCs w:val="24"/>
              </w:rPr>
              <w:t>UEMOA</w:t>
            </w:r>
          </w:p>
        </w:tc>
        <w:tc>
          <w:tcPr>
            <w:tcW w:w="5670" w:type="dxa"/>
          </w:tcPr>
          <w:p w14:paraId="7813F695" w14:textId="77777777" w:rsidR="00060D92" w:rsidRPr="004B6BBF" w:rsidRDefault="00060D92" w:rsidP="006A77A1">
            <w:pPr>
              <w:jc w:val="center"/>
              <w:rPr>
                <w:rFonts w:ascii="Cambria" w:hAnsi="Cambria"/>
                <w:sz w:val="24"/>
                <w:szCs w:val="24"/>
              </w:rPr>
            </w:pPr>
          </w:p>
        </w:tc>
        <w:tc>
          <w:tcPr>
            <w:tcW w:w="3969" w:type="dxa"/>
          </w:tcPr>
          <w:p w14:paraId="30E7A957" w14:textId="77777777" w:rsidR="00060D92" w:rsidRDefault="00060D92" w:rsidP="00AA3A37">
            <w:pPr>
              <w:jc w:val="center"/>
              <w:rPr>
                <w:rFonts w:ascii="Cambria" w:hAnsi="Cambria"/>
                <w:sz w:val="24"/>
                <w:szCs w:val="24"/>
              </w:rPr>
            </w:pPr>
          </w:p>
        </w:tc>
      </w:tr>
      <w:tr w:rsidR="00074C98" w:rsidRPr="004B6BBF" w14:paraId="2A8DD6F3" w14:textId="77777777" w:rsidTr="00AA3A37">
        <w:tc>
          <w:tcPr>
            <w:tcW w:w="3681" w:type="dxa"/>
          </w:tcPr>
          <w:p w14:paraId="51B99DCC" w14:textId="0FE7F1DF" w:rsidR="00074C98" w:rsidRPr="004B6BBF" w:rsidRDefault="00074C98" w:rsidP="00AA3A37">
            <w:pPr>
              <w:rPr>
                <w:rFonts w:ascii="Cambria" w:hAnsi="Cambria"/>
                <w:b/>
                <w:sz w:val="24"/>
                <w:szCs w:val="24"/>
              </w:rPr>
            </w:pPr>
            <w:r w:rsidRPr="004B6BBF">
              <w:rPr>
                <w:rFonts w:ascii="Cambria" w:hAnsi="Cambria"/>
                <w:b/>
                <w:sz w:val="24"/>
                <w:szCs w:val="24"/>
              </w:rPr>
              <w:t>GRSE/GIZ</w:t>
            </w:r>
            <w:r w:rsidR="00D5769D">
              <w:rPr>
                <w:rFonts w:ascii="Cambria" w:hAnsi="Cambria"/>
                <w:b/>
                <w:sz w:val="24"/>
                <w:szCs w:val="24"/>
              </w:rPr>
              <w:t xml:space="preserve"> et Bonne Gouvernance/GIZ</w:t>
            </w:r>
          </w:p>
        </w:tc>
        <w:tc>
          <w:tcPr>
            <w:tcW w:w="5670" w:type="dxa"/>
          </w:tcPr>
          <w:p w14:paraId="58E7777F" w14:textId="3A83DA06" w:rsidR="00074C98" w:rsidRPr="004B6BBF" w:rsidRDefault="00074C98" w:rsidP="006A77A1">
            <w:pPr>
              <w:jc w:val="center"/>
              <w:rPr>
                <w:rFonts w:ascii="Cambria" w:hAnsi="Cambria"/>
                <w:sz w:val="24"/>
                <w:szCs w:val="24"/>
              </w:rPr>
            </w:pPr>
            <w:r w:rsidRPr="004B6BBF">
              <w:rPr>
                <w:rFonts w:ascii="Cambria" w:hAnsi="Cambria"/>
                <w:sz w:val="24"/>
                <w:szCs w:val="24"/>
              </w:rPr>
              <w:t xml:space="preserve">  </w:t>
            </w:r>
            <w:r w:rsidR="006A77A1">
              <w:rPr>
                <w:rFonts w:ascii="Cambria" w:hAnsi="Cambria"/>
                <w:sz w:val="24"/>
                <w:szCs w:val="24"/>
              </w:rPr>
              <w:t>1</w:t>
            </w:r>
            <w:r w:rsidRPr="004B6BBF">
              <w:rPr>
                <w:rFonts w:ascii="Cambria" w:hAnsi="Cambria"/>
                <w:sz w:val="24"/>
                <w:szCs w:val="24"/>
              </w:rPr>
              <w:t xml:space="preserve">67 </w:t>
            </w:r>
            <w:r w:rsidR="006A77A1">
              <w:rPr>
                <w:rFonts w:ascii="Cambria" w:hAnsi="Cambria"/>
                <w:sz w:val="24"/>
                <w:szCs w:val="24"/>
              </w:rPr>
              <w:t>026 9</w:t>
            </w:r>
            <w:r w:rsidRPr="004B6BBF">
              <w:rPr>
                <w:rFonts w:ascii="Cambria" w:hAnsi="Cambria"/>
                <w:sz w:val="24"/>
                <w:szCs w:val="24"/>
              </w:rPr>
              <w:t>00</w:t>
            </w:r>
          </w:p>
        </w:tc>
        <w:tc>
          <w:tcPr>
            <w:tcW w:w="3969" w:type="dxa"/>
          </w:tcPr>
          <w:p w14:paraId="42E01B8D" w14:textId="45273E3F" w:rsidR="00074C98" w:rsidRPr="004B6BBF" w:rsidRDefault="00517D9C" w:rsidP="00172209">
            <w:pPr>
              <w:jc w:val="center"/>
              <w:rPr>
                <w:rFonts w:ascii="Cambria" w:hAnsi="Cambria"/>
                <w:sz w:val="24"/>
                <w:szCs w:val="24"/>
              </w:rPr>
            </w:pPr>
            <w:r>
              <w:rPr>
                <w:rFonts w:ascii="Cambria" w:hAnsi="Cambria"/>
                <w:sz w:val="24"/>
                <w:szCs w:val="24"/>
              </w:rPr>
              <w:t>35,60%</w:t>
            </w:r>
            <w:r w:rsidR="00074C98" w:rsidRPr="004B6BBF">
              <w:rPr>
                <w:rFonts w:ascii="Cambria" w:hAnsi="Cambria"/>
                <w:sz w:val="24"/>
                <w:szCs w:val="24"/>
              </w:rPr>
              <w:t xml:space="preserve"> </w:t>
            </w:r>
            <w:r w:rsidR="00172209">
              <w:rPr>
                <w:rFonts w:ascii="Cambria" w:hAnsi="Cambria"/>
                <w:sz w:val="24"/>
                <w:szCs w:val="24"/>
              </w:rPr>
              <w:t xml:space="preserve"> </w:t>
            </w:r>
          </w:p>
        </w:tc>
      </w:tr>
      <w:tr w:rsidR="00074C98" w:rsidRPr="004B6BBF" w14:paraId="6500CDBB" w14:textId="77777777" w:rsidTr="00AA3A37">
        <w:tc>
          <w:tcPr>
            <w:tcW w:w="3681" w:type="dxa"/>
          </w:tcPr>
          <w:p w14:paraId="6E98B9CC" w14:textId="77777777" w:rsidR="00074C98" w:rsidRPr="004B6BBF" w:rsidRDefault="00074C98" w:rsidP="00AA3A37">
            <w:pPr>
              <w:rPr>
                <w:rFonts w:ascii="Cambria" w:hAnsi="Cambria"/>
                <w:b/>
                <w:sz w:val="24"/>
                <w:szCs w:val="24"/>
              </w:rPr>
            </w:pPr>
            <w:r w:rsidRPr="004B6BBF">
              <w:rPr>
                <w:rFonts w:ascii="Cambria" w:hAnsi="Cambria"/>
                <w:b/>
                <w:sz w:val="24"/>
                <w:szCs w:val="24"/>
              </w:rPr>
              <w:t>TOTAL</w:t>
            </w:r>
          </w:p>
        </w:tc>
        <w:tc>
          <w:tcPr>
            <w:tcW w:w="5670" w:type="dxa"/>
          </w:tcPr>
          <w:p w14:paraId="741CBE3E" w14:textId="27191221" w:rsidR="00074C98" w:rsidRPr="004B6BBF" w:rsidRDefault="00146AA8" w:rsidP="00146AA8">
            <w:pPr>
              <w:jc w:val="center"/>
              <w:rPr>
                <w:rFonts w:ascii="Cambria" w:hAnsi="Cambria"/>
                <w:b/>
                <w:sz w:val="24"/>
                <w:szCs w:val="24"/>
              </w:rPr>
            </w:pPr>
            <w:r>
              <w:rPr>
                <w:rFonts w:ascii="Cambria" w:hAnsi="Cambria"/>
                <w:b/>
                <w:sz w:val="24"/>
                <w:szCs w:val="24"/>
              </w:rPr>
              <w:t>469</w:t>
            </w:r>
            <w:r w:rsidR="00074C98" w:rsidRPr="004B6BBF">
              <w:rPr>
                <w:rFonts w:ascii="Cambria" w:hAnsi="Cambria"/>
                <w:b/>
                <w:sz w:val="24"/>
                <w:szCs w:val="24"/>
              </w:rPr>
              <w:t> </w:t>
            </w:r>
            <w:r>
              <w:rPr>
                <w:rFonts w:ascii="Cambria" w:hAnsi="Cambria"/>
                <w:b/>
                <w:sz w:val="24"/>
                <w:szCs w:val="24"/>
              </w:rPr>
              <w:t>126</w:t>
            </w:r>
            <w:r w:rsidR="00074C98" w:rsidRPr="004B6BBF">
              <w:rPr>
                <w:rFonts w:ascii="Cambria" w:hAnsi="Cambria"/>
                <w:b/>
                <w:sz w:val="24"/>
                <w:szCs w:val="24"/>
              </w:rPr>
              <w:t xml:space="preserve"> </w:t>
            </w:r>
            <w:r>
              <w:rPr>
                <w:rFonts w:ascii="Cambria" w:hAnsi="Cambria"/>
                <w:b/>
                <w:sz w:val="24"/>
                <w:szCs w:val="24"/>
              </w:rPr>
              <w:t>9</w:t>
            </w:r>
            <w:r w:rsidR="00074C98" w:rsidRPr="004B6BBF">
              <w:rPr>
                <w:rFonts w:ascii="Cambria" w:hAnsi="Cambria"/>
                <w:b/>
                <w:sz w:val="24"/>
                <w:szCs w:val="24"/>
              </w:rPr>
              <w:t>00</w:t>
            </w:r>
          </w:p>
        </w:tc>
        <w:tc>
          <w:tcPr>
            <w:tcW w:w="3969" w:type="dxa"/>
          </w:tcPr>
          <w:p w14:paraId="0DBB4989" w14:textId="77777777" w:rsidR="00074C98" w:rsidRPr="004B6BBF" w:rsidRDefault="00074C98" w:rsidP="00AA3A37">
            <w:pPr>
              <w:jc w:val="center"/>
              <w:rPr>
                <w:rFonts w:ascii="Cambria" w:hAnsi="Cambria"/>
                <w:b/>
                <w:sz w:val="24"/>
                <w:szCs w:val="24"/>
              </w:rPr>
            </w:pPr>
            <w:r w:rsidRPr="004B6BBF">
              <w:rPr>
                <w:rFonts w:ascii="Cambria" w:hAnsi="Cambria"/>
                <w:b/>
                <w:sz w:val="24"/>
                <w:szCs w:val="24"/>
              </w:rPr>
              <w:t>100%</w:t>
            </w:r>
          </w:p>
        </w:tc>
      </w:tr>
    </w:tbl>
    <w:p w14:paraId="4D371C91" w14:textId="117E0D47" w:rsidR="00537B39" w:rsidRDefault="00537B39" w:rsidP="00D2057B">
      <w:pPr>
        <w:tabs>
          <w:tab w:val="left" w:pos="4410"/>
        </w:tabs>
        <w:rPr>
          <w:rFonts w:ascii="Franklin Gothic Book" w:hAnsi="Franklin Gothic Book"/>
          <w:sz w:val="24"/>
          <w:szCs w:val="24"/>
        </w:rPr>
      </w:pPr>
    </w:p>
    <w:tbl>
      <w:tblPr>
        <w:tblStyle w:val="Grilledutableau"/>
        <w:tblW w:w="13320" w:type="dxa"/>
        <w:tblLook w:val="04A0" w:firstRow="1" w:lastRow="0" w:firstColumn="1" w:lastColumn="0" w:noHBand="0" w:noVBand="1"/>
      </w:tblPr>
      <w:tblGrid>
        <w:gridCol w:w="3681"/>
        <w:gridCol w:w="5670"/>
        <w:gridCol w:w="3969"/>
      </w:tblGrid>
      <w:tr w:rsidR="00537B39" w:rsidRPr="004B6BBF" w14:paraId="2AC9B310" w14:textId="77777777" w:rsidTr="00AA3A37">
        <w:trPr>
          <w:trHeight w:val="328"/>
        </w:trPr>
        <w:tc>
          <w:tcPr>
            <w:tcW w:w="3681" w:type="dxa"/>
            <w:vMerge w:val="restart"/>
          </w:tcPr>
          <w:p w14:paraId="7A6E3161" w14:textId="32885ACC" w:rsidR="00537B39" w:rsidRPr="00933535" w:rsidRDefault="00537B39" w:rsidP="00537B39">
            <w:pPr>
              <w:rPr>
                <w:rFonts w:ascii="Cambria" w:hAnsi="Cambria"/>
                <w:b/>
                <w:sz w:val="28"/>
                <w:szCs w:val="28"/>
              </w:rPr>
            </w:pPr>
            <w:r w:rsidRPr="00933535">
              <w:rPr>
                <w:rFonts w:ascii="Cambria" w:hAnsi="Cambria"/>
                <w:b/>
                <w:sz w:val="28"/>
                <w:szCs w:val="28"/>
              </w:rPr>
              <w:t>PARTENAIRES 2022</w:t>
            </w:r>
          </w:p>
        </w:tc>
        <w:tc>
          <w:tcPr>
            <w:tcW w:w="5670" w:type="dxa"/>
            <w:vMerge w:val="restart"/>
          </w:tcPr>
          <w:p w14:paraId="70695E61" w14:textId="77777777" w:rsidR="00537B39" w:rsidRPr="004B6BBF" w:rsidRDefault="00537B39" w:rsidP="00AA3A37">
            <w:pPr>
              <w:jc w:val="center"/>
              <w:rPr>
                <w:rFonts w:ascii="Cambria" w:hAnsi="Cambria"/>
                <w:sz w:val="24"/>
                <w:szCs w:val="24"/>
              </w:rPr>
            </w:pPr>
            <w:r w:rsidRPr="004B6BBF">
              <w:rPr>
                <w:rFonts w:ascii="Cambria" w:hAnsi="Cambria"/>
                <w:sz w:val="24"/>
                <w:szCs w:val="24"/>
              </w:rPr>
              <w:t>Contribution au plan de travail</w:t>
            </w:r>
          </w:p>
          <w:p w14:paraId="1556B118" w14:textId="77777777" w:rsidR="00537B39" w:rsidRPr="004B6BBF" w:rsidRDefault="00537B39" w:rsidP="00AA3A37">
            <w:pPr>
              <w:jc w:val="center"/>
              <w:rPr>
                <w:rFonts w:ascii="Cambria" w:hAnsi="Cambria"/>
                <w:sz w:val="24"/>
                <w:szCs w:val="24"/>
              </w:rPr>
            </w:pPr>
            <w:r w:rsidRPr="004B6BBF">
              <w:rPr>
                <w:rFonts w:ascii="Cambria" w:hAnsi="Cambria"/>
                <w:sz w:val="24"/>
                <w:szCs w:val="24"/>
              </w:rPr>
              <w:t>en FCFA</w:t>
            </w:r>
          </w:p>
        </w:tc>
        <w:tc>
          <w:tcPr>
            <w:tcW w:w="3969" w:type="dxa"/>
            <w:vMerge w:val="restart"/>
          </w:tcPr>
          <w:p w14:paraId="39D490F4" w14:textId="77777777" w:rsidR="00537B39" w:rsidRPr="004B6BBF" w:rsidRDefault="00537B39" w:rsidP="00AA3A37">
            <w:pPr>
              <w:jc w:val="center"/>
              <w:rPr>
                <w:rFonts w:ascii="Cambria" w:hAnsi="Cambria"/>
                <w:sz w:val="24"/>
                <w:szCs w:val="24"/>
              </w:rPr>
            </w:pPr>
            <w:r w:rsidRPr="004B6BBF">
              <w:rPr>
                <w:rFonts w:ascii="Cambria" w:hAnsi="Cambria"/>
                <w:sz w:val="24"/>
                <w:szCs w:val="24"/>
              </w:rPr>
              <w:t>Contribution en % au budget total</w:t>
            </w:r>
          </w:p>
        </w:tc>
      </w:tr>
      <w:tr w:rsidR="00537B39" w:rsidRPr="004B6BBF" w14:paraId="3DB9C096" w14:textId="77777777" w:rsidTr="00AA3A37">
        <w:trPr>
          <w:trHeight w:val="281"/>
        </w:trPr>
        <w:tc>
          <w:tcPr>
            <w:tcW w:w="3681" w:type="dxa"/>
            <w:vMerge/>
          </w:tcPr>
          <w:p w14:paraId="16E73F29" w14:textId="77777777" w:rsidR="00537B39" w:rsidRPr="004B6BBF" w:rsidRDefault="00537B39" w:rsidP="00AA3A37">
            <w:pPr>
              <w:rPr>
                <w:rFonts w:ascii="Cambria" w:hAnsi="Cambria"/>
                <w:b/>
                <w:sz w:val="24"/>
                <w:szCs w:val="24"/>
              </w:rPr>
            </w:pPr>
          </w:p>
        </w:tc>
        <w:tc>
          <w:tcPr>
            <w:tcW w:w="5670" w:type="dxa"/>
            <w:vMerge/>
          </w:tcPr>
          <w:p w14:paraId="406ED346" w14:textId="77777777" w:rsidR="00537B39" w:rsidRPr="004B6BBF" w:rsidRDefault="00537B39" w:rsidP="00AA3A37">
            <w:pPr>
              <w:jc w:val="center"/>
              <w:rPr>
                <w:rFonts w:ascii="Cambria" w:hAnsi="Cambria"/>
                <w:sz w:val="24"/>
                <w:szCs w:val="24"/>
              </w:rPr>
            </w:pPr>
          </w:p>
        </w:tc>
        <w:tc>
          <w:tcPr>
            <w:tcW w:w="3969" w:type="dxa"/>
            <w:vMerge/>
          </w:tcPr>
          <w:p w14:paraId="76ABF3ED" w14:textId="77777777" w:rsidR="00537B39" w:rsidRPr="004B6BBF" w:rsidRDefault="00537B39" w:rsidP="00AA3A37">
            <w:pPr>
              <w:jc w:val="center"/>
              <w:rPr>
                <w:rFonts w:ascii="Cambria" w:hAnsi="Cambria"/>
                <w:sz w:val="24"/>
                <w:szCs w:val="24"/>
              </w:rPr>
            </w:pPr>
          </w:p>
        </w:tc>
      </w:tr>
      <w:tr w:rsidR="00537B39" w:rsidRPr="004B6BBF" w14:paraId="5A16F5CB" w14:textId="77777777" w:rsidTr="00AA3A37">
        <w:tc>
          <w:tcPr>
            <w:tcW w:w="3681" w:type="dxa"/>
          </w:tcPr>
          <w:p w14:paraId="1A1E0D24" w14:textId="21C02560" w:rsidR="00537B39" w:rsidRPr="004B6BBF" w:rsidRDefault="00537B39" w:rsidP="00AA3A37">
            <w:pPr>
              <w:rPr>
                <w:rFonts w:ascii="Cambria" w:hAnsi="Cambria"/>
                <w:b/>
                <w:sz w:val="24"/>
                <w:szCs w:val="24"/>
              </w:rPr>
            </w:pPr>
            <w:r w:rsidRPr="004B6BBF">
              <w:rPr>
                <w:rFonts w:ascii="Cambria" w:hAnsi="Cambria"/>
                <w:b/>
                <w:sz w:val="24"/>
                <w:szCs w:val="24"/>
              </w:rPr>
              <w:t>CN-ITIE</w:t>
            </w:r>
          </w:p>
        </w:tc>
        <w:tc>
          <w:tcPr>
            <w:tcW w:w="5670" w:type="dxa"/>
          </w:tcPr>
          <w:p w14:paraId="0DEADEF8" w14:textId="29787626" w:rsidR="00537B39" w:rsidRPr="00537B39" w:rsidRDefault="00537B39" w:rsidP="00AA3A37">
            <w:pPr>
              <w:jc w:val="center"/>
              <w:rPr>
                <w:rFonts w:asciiTheme="majorHAnsi" w:hAnsiTheme="majorHAnsi"/>
                <w:sz w:val="24"/>
                <w:szCs w:val="24"/>
              </w:rPr>
            </w:pPr>
            <w:r w:rsidRPr="00537B39">
              <w:rPr>
                <w:rFonts w:asciiTheme="majorHAnsi" w:eastAsia="Times New Roman" w:hAnsiTheme="majorHAnsi" w:cs="Times New Roman"/>
                <w:bCs/>
                <w:color w:val="000000"/>
                <w:sz w:val="24"/>
                <w:szCs w:val="24"/>
              </w:rPr>
              <w:t xml:space="preserve">    408 500 000   </w:t>
            </w:r>
          </w:p>
        </w:tc>
        <w:tc>
          <w:tcPr>
            <w:tcW w:w="3969" w:type="dxa"/>
          </w:tcPr>
          <w:p w14:paraId="06788F1D" w14:textId="19F43957" w:rsidR="00537B39" w:rsidRPr="004B6BBF" w:rsidRDefault="00933535" w:rsidP="00933535">
            <w:pPr>
              <w:jc w:val="center"/>
              <w:rPr>
                <w:rFonts w:ascii="Cambria" w:hAnsi="Cambria"/>
                <w:sz w:val="24"/>
                <w:szCs w:val="24"/>
              </w:rPr>
            </w:pPr>
            <w:r>
              <w:rPr>
                <w:rFonts w:ascii="Cambria" w:hAnsi="Cambria"/>
                <w:sz w:val="24"/>
                <w:szCs w:val="24"/>
              </w:rPr>
              <w:t>7</w:t>
            </w:r>
            <w:r w:rsidR="00537B39">
              <w:rPr>
                <w:rFonts w:ascii="Cambria" w:hAnsi="Cambria"/>
                <w:sz w:val="24"/>
                <w:szCs w:val="24"/>
              </w:rPr>
              <w:t>4,</w:t>
            </w:r>
            <w:r>
              <w:rPr>
                <w:rFonts w:ascii="Cambria" w:hAnsi="Cambria"/>
                <w:sz w:val="24"/>
                <w:szCs w:val="24"/>
              </w:rPr>
              <w:t>64</w:t>
            </w:r>
            <w:r w:rsidR="00537B39">
              <w:rPr>
                <w:rFonts w:ascii="Cambria" w:hAnsi="Cambria"/>
                <w:sz w:val="24"/>
                <w:szCs w:val="24"/>
              </w:rPr>
              <w:t xml:space="preserve">% </w:t>
            </w:r>
          </w:p>
        </w:tc>
      </w:tr>
      <w:tr w:rsidR="00060D92" w:rsidRPr="004B6BBF" w14:paraId="6544AEB5" w14:textId="77777777" w:rsidTr="00AA3A37">
        <w:tc>
          <w:tcPr>
            <w:tcW w:w="3681" w:type="dxa"/>
          </w:tcPr>
          <w:p w14:paraId="616BF39E" w14:textId="7FB23E5E" w:rsidR="00060D92" w:rsidRPr="004B6BBF" w:rsidRDefault="00060D92" w:rsidP="00AA3A37">
            <w:pPr>
              <w:rPr>
                <w:rFonts w:ascii="Cambria" w:hAnsi="Cambria"/>
                <w:b/>
                <w:sz w:val="24"/>
                <w:szCs w:val="24"/>
              </w:rPr>
            </w:pPr>
            <w:r>
              <w:rPr>
                <w:rFonts w:ascii="Cambria" w:hAnsi="Cambria"/>
                <w:b/>
                <w:sz w:val="24"/>
                <w:szCs w:val="24"/>
              </w:rPr>
              <w:t>UEMOA</w:t>
            </w:r>
          </w:p>
        </w:tc>
        <w:tc>
          <w:tcPr>
            <w:tcW w:w="5670" w:type="dxa"/>
          </w:tcPr>
          <w:p w14:paraId="056DF13C" w14:textId="77777777" w:rsidR="00060D92" w:rsidRPr="00537B39" w:rsidRDefault="00060D92" w:rsidP="00AA3A37">
            <w:pPr>
              <w:jc w:val="center"/>
              <w:rPr>
                <w:rFonts w:asciiTheme="majorHAnsi" w:eastAsia="Times New Roman" w:hAnsiTheme="majorHAnsi" w:cs="Times New Roman"/>
                <w:bCs/>
                <w:color w:val="000000"/>
                <w:sz w:val="24"/>
                <w:szCs w:val="24"/>
              </w:rPr>
            </w:pPr>
          </w:p>
        </w:tc>
        <w:tc>
          <w:tcPr>
            <w:tcW w:w="3969" w:type="dxa"/>
          </w:tcPr>
          <w:p w14:paraId="65CC2F6F" w14:textId="77777777" w:rsidR="00060D92" w:rsidRDefault="00060D92" w:rsidP="00933535">
            <w:pPr>
              <w:jc w:val="center"/>
              <w:rPr>
                <w:rFonts w:ascii="Cambria" w:hAnsi="Cambria"/>
                <w:sz w:val="24"/>
                <w:szCs w:val="24"/>
              </w:rPr>
            </w:pPr>
          </w:p>
        </w:tc>
      </w:tr>
      <w:tr w:rsidR="00537B39" w:rsidRPr="004B6BBF" w14:paraId="684D3AC2" w14:textId="77777777" w:rsidTr="00AA3A37">
        <w:tc>
          <w:tcPr>
            <w:tcW w:w="3681" w:type="dxa"/>
          </w:tcPr>
          <w:p w14:paraId="3DE057AB" w14:textId="77777777" w:rsidR="00537B39" w:rsidRPr="004B6BBF" w:rsidRDefault="00537B39" w:rsidP="00AA3A37">
            <w:pPr>
              <w:rPr>
                <w:rFonts w:ascii="Cambria" w:hAnsi="Cambria"/>
                <w:b/>
                <w:sz w:val="24"/>
                <w:szCs w:val="24"/>
              </w:rPr>
            </w:pPr>
            <w:r w:rsidRPr="004B6BBF">
              <w:rPr>
                <w:rFonts w:ascii="Cambria" w:hAnsi="Cambria"/>
                <w:b/>
                <w:sz w:val="24"/>
                <w:szCs w:val="24"/>
              </w:rPr>
              <w:t>GRSE/GIZ</w:t>
            </w:r>
          </w:p>
        </w:tc>
        <w:tc>
          <w:tcPr>
            <w:tcW w:w="5670" w:type="dxa"/>
          </w:tcPr>
          <w:p w14:paraId="62901CAD" w14:textId="59E5B657" w:rsidR="00537B39" w:rsidRPr="004B6BBF" w:rsidRDefault="00537B39" w:rsidP="005024CB">
            <w:pPr>
              <w:jc w:val="center"/>
              <w:rPr>
                <w:rFonts w:ascii="Cambria" w:hAnsi="Cambria"/>
                <w:sz w:val="24"/>
                <w:szCs w:val="24"/>
              </w:rPr>
            </w:pPr>
            <w:r>
              <w:rPr>
                <w:rFonts w:ascii="Cambria" w:hAnsi="Cambria"/>
                <w:sz w:val="24"/>
                <w:szCs w:val="24"/>
              </w:rPr>
              <w:t xml:space="preserve">  </w:t>
            </w:r>
            <w:r w:rsidRPr="004B6BBF">
              <w:rPr>
                <w:rFonts w:ascii="Cambria" w:hAnsi="Cambria"/>
                <w:sz w:val="24"/>
                <w:szCs w:val="24"/>
              </w:rPr>
              <w:t xml:space="preserve">  </w:t>
            </w:r>
            <w:r w:rsidR="005024CB">
              <w:rPr>
                <w:rFonts w:ascii="Cambria" w:hAnsi="Cambria"/>
                <w:sz w:val="24"/>
                <w:szCs w:val="24"/>
              </w:rPr>
              <w:t xml:space="preserve">   59</w:t>
            </w:r>
            <w:r w:rsidRPr="004B6BBF">
              <w:rPr>
                <w:rFonts w:ascii="Cambria" w:hAnsi="Cambria"/>
                <w:sz w:val="24"/>
                <w:szCs w:val="24"/>
              </w:rPr>
              <w:t xml:space="preserve"> </w:t>
            </w:r>
            <w:r>
              <w:rPr>
                <w:rFonts w:ascii="Cambria" w:hAnsi="Cambria"/>
                <w:sz w:val="24"/>
                <w:szCs w:val="24"/>
              </w:rPr>
              <w:t>2</w:t>
            </w:r>
            <w:r w:rsidR="005024CB">
              <w:rPr>
                <w:rFonts w:ascii="Cambria" w:hAnsi="Cambria"/>
                <w:sz w:val="24"/>
                <w:szCs w:val="24"/>
              </w:rPr>
              <w:t>95</w:t>
            </w:r>
            <w:r>
              <w:rPr>
                <w:rFonts w:ascii="Cambria" w:hAnsi="Cambria"/>
                <w:sz w:val="24"/>
                <w:szCs w:val="24"/>
              </w:rPr>
              <w:t xml:space="preserve"> </w:t>
            </w:r>
            <w:r w:rsidR="005024CB">
              <w:rPr>
                <w:rFonts w:ascii="Cambria" w:hAnsi="Cambria"/>
                <w:sz w:val="24"/>
                <w:szCs w:val="24"/>
              </w:rPr>
              <w:t>0</w:t>
            </w:r>
            <w:r w:rsidRPr="004B6BBF">
              <w:rPr>
                <w:rFonts w:ascii="Cambria" w:hAnsi="Cambria"/>
                <w:sz w:val="24"/>
                <w:szCs w:val="24"/>
              </w:rPr>
              <w:t>00</w:t>
            </w:r>
          </w:p>
        </w:tc>
        <w:tc>
          <w:tcPr>
            <w:tcW w:w="3969" w:type="dxa"/>
          </w:tcPr>
          <w:p w14:paraId="4DA905B8" w14:textId="19A733EC" w:rsidR="00537B39" w:rsidRPr="004B6BBF" w:rsidRDefault="00933535" w:rsidP="00AA3A37">
            <w:pPr>
              <w:jc w:val="center"/>
              <w:rPr>
                <w:rFonts w:ascii="Cambria" w:hAnsi="Cambria"/>
                <w:sz w:val="24"/>
                <w:szCs w:val="24"/>
              </w:rPr>
            </w:pPr>
            <w:r>
              <w:rPr>
                <w:rFonts w:ascii="Cambria" w:hAnsi="Cambria"/>
                <w:sz w:val="24"/>
                <w:szCs w:val="24"/>
              </w:rPr>
              <w:t>10,83</w:t>
            </w:r>
            <w:r w:rsidR="00537B39">
              <w:rPr>
                <w:rFonts w:ascii="Cambria" w:hAnsi="Cambria"/>
                <w:sz w:val="24"/>
                <w:szCs w:val="24"/>
              </w:rPr>
              <w:t>%</w:t>
            </w:r>
            <w:r w:rsidR="00537B39" w:rsidRPr="004B6BBF">
              <w:rPr>
                <w:rFonts w:ascii="Cambria" w:hAnsi="Cambria"/>
                <w:sz w:val="24"/>
                <w:szCs w:val="24"/>
              </w:rPr>
              <w:t xml:space="preserve"> </w:t>
            </w:r>
            <w:r w:rsidR="00537B39">
              <w:rPr>
                <w:rFonts w:ascii="Cambria" w:hAnsi="Cambria"/>
                <w:sz w:val="24"/>
                <w:szCs w:val="24"/>
              </w:rPr>
              <w:t xml:space="preserve"> </w:t>
            </w:r>
          </w:p>
        </w:tc>
      </w:tr>
      <w:tr w:rsidR="00537B39" w:rsidRPr="004B6BBF" w14:paraId="4E1A03EB" w14:textId="77777777" w:rsidTr="00AA3A37">
        <w:tc>
          <w:tcPr>
            <w:tcW w:w="3681" w:type="dxa"/>
          </w:tcPr>
          <w:p w14:paraId="75D41949" w14:textId="77777777" w:rsidR="00537B39" w:rsidRPr="004B6BBF" w:rsidRDefault="00537B39" w:rsidP="00AA3A37">
            <w:pPr>
              <w:rPr>
                <w:rFonts w:ascii="Cambria" w:hAnsi="Cambria"/>
                <w:b/>
                <w:sz w:val="24"/>
                <w:szCs w:val="24"/>
              </w:rPr>
            </w:pPr>
            <w:r>
              <w:rPr>
                <w:rFonts w:ascii="Cambria" w:hAnsi="Cambria"/>
                <w:b/>
                <w:sz w:val="24"/>
                <w:szCs w:val="24"/>
              </w:rPr>
              <w:t>BM</w:t>
            </w:r>
          </w:p>
        </w:tc>
        <w:tc>
          <w:tcPr>
            <w:tcW w:w="5670" w:type="dxa"/>
          </w:tcPr>
          <w:p w14:paraId="64DB0C8A" w14:textId="7D9D3717" w:rsidR="00537B39" w:rsidRPr="004B6BBF" w:rsidRDefault="00D360AC" w:rsidP="00AA3A37">
            <w:pPr>
              <w:jc w:val="center"/>
              <w:rPr>
                <w:rFonts w:ascii="Cambria" w:hAnsi="Cambria"/>
                <w:sz w:val="24"/>
                <w:szCs w:val="24"/>
              </w:rPr>
            </w:pPr>
            <w:r>
              <w:rPr>
                <w:rFonts w:ascii="Cambria" w:hAnsi="Cambria"/>
                <w:sz w:val="24"/>
                <w:szCs w:val="24"/>
              </w:rPr>
              <w:t xml:space="preserve">       </w:t>
            </w:r>
            <w:r w:rsidR="00537B39">
              <w:rPr>
                <w:rFonts w:ascii="Cambria" w:hAnsi="Cambria"/>
                <w:sz w:val="24"/>
                <w:szCs w:val="24"/>
              </w:rPr>
              <w:t>54 </w:t>
            </w:r>
            <w:r w:rsidR="00BA2FE8">
              <w:rPr>
                <w:rFonts w:ascii="Cambria" w:hAnsi="Cambria"/>
                <w:sz w:val="24"/>
                <w:szCs w:val="24"/>
              </w:rPr>
              <w:t>5</w:t>
            </w:r>
            <w:r w:rsidR="00537B39">
              <w:rPr>
                <w:rFonts w:ascii="Cambria" w:hAnsi="Cambria"/>
                <w:sz w:val="24"/>
                <w:szCs w:val="24"/>
              </w:rPr>
              <w:t>00 000</w:t>
            </w:r>
          </w:p>
        </w:tc>
        <w:tc>
          <w:tcPr>
            <w:tcW w:w="3969" w:type="dxa"/>
          </w:tcPr>
          <w:p w14:paraId="427CF043" w14:textId="2547A490" w:rsidR="00537B39" w:rsidRPr="004B6BBF" w:rsidRDefault="00933535" w:rsidP="00933535">
            <w:pPr>
              <w:jc w:val="center"/>
              <w:rPr>
                <w:rFonts w:ascii="Cambria" w:hAnsi="Cambria"/>
                <w:sz w:val="24"/>
                <w:szCs w:val="24"/>
              </w:rPr>
            </w:pPr>
            <w:r>
              <w:rPr>
                <w:rFonts w:ascii="Cambria" w:hAnsi="Cambria"/>
                <w:sz w:val="24"/>
                <w:szCs w:val="24"/>
              </w:rPr>
              <w:t xml:space="preserve">   9,96</w:t>
            </w:r>
            <w:r w:rsidR="00537B39">
              <w:rPr>
                <w:rFonts w:ascii="Cambria" w:hAnsi="Cambria"/>
                <w:sz w:val="24"/>
                <w:szCs w:val="24"/>
              </w:rPr>
              <w:t>%</w:t>
            </w:r>
            <w:r w:rsidR="00537B39" w:rsidRPr="004B6BBF">
              <w:rPr>
                <w:rFonts w:ascii="Cambria" w:hAnsi="Cambria"/>
                <w:sz w:val="24"/>
                <w:szCs w:val="24"/>
              </w:rPr>
              <w:t xml:space="preserve">    </w:t>
            </w:r>
            <w:r w:rsidR="00537B39">
              <w:rPr>
                <w:rFonts w:ascii="Cambria" w:hAnsi="Cambria"/>
                <w:sz w:val="24"/>
                <w:szCs w:val="24"/>
              </w:rPr>
              <w:t xml:space="preserve"> </w:t>
            </w:r>
          </w:p>
        </w:tc>
      </w:tr>
      <w:tr w:rsidR="00537B39" w:rsidRPr="004B6BBF" w14:paraId="7CB77B39" w14:textId="77777777" w:rsidTr="00AA3A37">
        <w:tc>
          <w:tcPr>
            <w:tcW w:w="3681" w:type="dxa"/>
          </w:tcPr>
          <w:p w14:paraId="58E7B4E4" w14:textId="77777777" w:rsidR="00537B39" w:rsidRDefault="00537B39" w:rsidP="00AA3A37">
            <w:pPr>
              <w:rPr>
                <w:rFonts w:ascii="Cambria" w:hAnsi="Cambria"/>
                <w:b/>
                <w:sz w:val="24"/>
                <w:szCs w:val="24"/>
              </w:rPr>
            </w:pPr>
            <w:r>
              <w:rPr>
                <w:rFonts w:ascii="Cambria" w:hAnsi="Cambria"/>
                <w:b/>
                <w:sz w:val="24"/>
                <w:szCs w:val="24"/>
              </w:rPr>
              <w:t>CN-ITIE/Autres Partenaires</w:t>
            </w:r>
          </w:p>
        </w:tc>
        <w:tc>
          <w:tcPr>
            <w:tcW w:w="5670" w:type="dxa"/>
          </w:tcPr>
          <w:p w14:paraId="4C137F38" w14:textId="39EC1F31" w:rsidR="00537B39" w:rsidRPr="00D360AC" w:rsidRDefault="00D360AC" w:rsidP="00AA3A37">
            <w:pPr>
              <w:jc w:val="center"/>
              <w:rPr>
                <w:rFonts w:asciiTheme="majorHAnsi" w:hAnsiTheme="majorHAnsi"/>
                <w:sz w:val="24"/>
                <w:szCs w:val="24"/>
              </w:rPr>
            </w:pPr>
            <w:r>
              <w:rPr>
                <w:rFonts w:asciiTheme="majorHAnsi" w:eastAsia="Times New Roman" w:hAnsiTheme="majorHAnsi" w:cs="Times New Roman"/>
                <w:bCs/>
                <w:color w:val="000000"/>
                <w:sz w:val="24"/>
                <w:szCs w:val="24"/>
              </w:rPr>
              <w:t xml:space="preserve">       </w:t>
            </w:r>
            <w:r w:rsidRPr="00D360AC">
              <w:rPr>
                <w:rFonts w:asciiTheme="majorHAnsi" w:eastAsia="Times New Roman" w:hAnsiTheme="majorHAnsi" w:cs="Times New Roman"/>
                <w:bCs/>
                <w:color w:val="000000"/>
                <w:sz w:val="24"/>
                <w:szCs w:val="24"/>
              </w:rPr>
              <w:t xml:space="preserve">25 000 000   </w:t>
            </w:r>
          </w:p>
        </w:tc>
        <w:tc>
          <w:tcPr>
            <w:tcW w:w="3969" w:type="dxa"/>
          </w:tcPr>
          <w:p w14:paraId="230472DE" w14:textId="705F54DE" w:rsidR="00537B39" w:rsidRPr="004B6BBF" w:rsidRDefault="00933535" w:rsidP="00AA3A37">
            <w:pPr>
              <w:jc w:val="center"/>
              <w:rPr>
                <w:rFonts w:ascii="Cambria" w:hAnsi="Cambria"/>
                <w:sz w:val="24"/>
                <w:szCs w:val="24"/>
              </w:rPr>
            </w:pPr>
            <w:r>
              <w:rPr>
                <w:rFonts w:ascii="Cambria" w:hAnsi="Cambria"/>
                <w:sz w:val="24"/>
                <w:szCs w:val="24"/>
              </w:rPr>
              <w:t>4,57</w:t>
            </w:r>
            <w:r w:rsidR="00537B39">
              <w:rPr>
                <w:rFonts w:ascii="Cambria" w:hAnsi="Cambria"/>
                <w:sz w:val="24"/>
                <w:szCs w:val="24"/>
              </w:rPr>
              <w:t>%</w:t>
            </w:r>
          </w:p>
        </w:tc>
      </w:tr>
      <w:tr w:rsidR="00537B39" w:rsidRPr="004B6BBF" w14:paraId="29468954" w14:textId="77777777" w:rsidTr="00AA3A37">
        <w:tc>
          <w:tcPr>
            <w:tcW w:w="3681" w:type="dxa"/>
          </w:tcPr>
          <w:p w14:paraId="25FF2BF9" w14:textId="77777777" w:rsidR="00537B39" w:rsidRPr="004B6BBF" w:rsidRDefault="00537B39" w:rsidP="00AA3A37">
            <w:pPr>
              <w:rPr>
                <w:rFonts w:ascii="Cambria" w:hAnsi="Cambria"/>
                <w:b/>
                <w:sz w:val="24"/>
                <w:szCs w:val="24"/>
              </w:rPr>
            </w:pPr>
            <w:r w:rsidRPr="004B6BBF">
              <w:rPr>
                <w:rFonts w:ascii="Cambria" w:hAnsi="Cambria"/>
                <w:b/>
                <w:sz w:val="24"/>
                <w:szCs w:val="24"/>
              </w:rPr>
              <w:t>TOTAL</w:t>
            </w:r>
          </w:p>
        </w:tc>
        <w:tc>
          <w:tcPr>
            <w:tcW w:w="5670" w:type="dxa"/>
          </w:tcPr>
          <w:p w14:paraId="4946C972" w14:textId="6526CB58" w:rsidR="00537B39" w:rsidRPr="004B6BBF" w:rsidRDefault="00CC7740" w:rsidP="00CC7740">
            <w:pPr>
              <w:jc w:val="center"/>
              <w:rPr>
                <w:rFonts w:ascii="Cambria" w:hAnsi="Cambria"/>
                <w:b/>
                <w:sz w:val="24"/>
                <w:szCs w:val="24"/>
              </w:rPr>
            </w:pPr>
            <w:r>
              <w:rPr>
                <w:rFonts w:ascii="Cambria" w:hAnsi="Cambria"/>
                <w:b/>
                <w:sz w:val="24"/>
                <w:szCs w:val="24"/>
              </w:rPr>
              <w:t xml:space="preserve">        547 2</w:t>
            </w:r>
            <w:r w:rsidR="00BA5C1C">
              <w:rPr>
                <w:rFonts w:ascii="Cambria" w:hAnsi="Cambria"/>
                <w:b/>
                <w:sz w:val="24"/>
                <w:szCs w:val="24"/>
              </w:rPr>
              <w:t>95</w:t>
            </w:r>
            <w:r w:rsidR="00537B39" w:rsidRPr="004B6BBF">
              <w:rPr>
                <w:rFonts w:ascii="Cambria" w:hAnsi="Cambria"/>
                <w:b/>
                <w:sz w:val="24"/>
                <w:szCs w:val="24"/>
              </w:rPr>
              <w:t xml:space="preserve"> </w:t>
            </w:r>
            <w:r w:rsidR="00BA5C1C">
              <w:rPr>
                <w:rFonts w:ascii="Cambria" w:hAnsi="Cambria"/>
                <w:b/>
                <w:sz w:val="24"/>
                <w:szCs w:val="24"/>
              </w:rPr>
              <w:t>0</w:t>
            </w:r>
            <w:r w:rsidR="00537B39" w:rsidRPr="004B6BBF">
              <w:rPr>
                <w:rFonts w:ascii="Cambria" w:hAnsi="Cambria"/>
                <w:b/>
                <w:sz w:val="24"/>
                <w:szCs w:val="24"/>
              </w:rPr>
              <w:t>00</w:t>
            </w:r>
          </w:p>
        </w:tc>
        <w:tc>
          <w:tcPr>
            <w:tcW w:w="3969" w:type="dxa"/>
          </w:tcPr>
          <w:p w14:paraId="3BAAFA06" w14:textId="77777777" w:rsidR="00537B39" w:rsidRPr="004B6BBF" w:rsidRDefault="00537B39" w:rsidP="00AA3A37">
            <w:pPr>
              <w:jc w:val="center"/>
              <w:rPr>
                <w:rFonts w:ascii="Cambria" w:hAnsi="Cambria"/>
                <w:b/>
                <w:sz w:val="24"/>
                <w:szCs w:val="24"/>
              </w:rPr>
            </w:pPr>
            <w:r w:rsidRPr="004B6BBF">
              <w:rPr>
                <w:rFonts w:ascii="Cambria" w:hAnsi="Cambria"/>
                <w:b/>
                <w:sz w:val="24"/>
                <w:szCs w:val="24"/>
              </w:rPr>
              <w:t>100%</w:t>
            </w:r>
          </w:p>
        </w:tc>
      </w:tr>
    </w:tbl>
    <w:p w14:paraId="2BD01344" w14:textId="71EFF0F9" w:rsidR="00537B39" w:rsidRDefault="00537B39" w:rsidP="00537B39">
      <w:pPr>
        <w:rPr>
          <w:rFonts w:ascii="Franklin Gothic Book" w:hAnsi="Franklin Gothic Book"/>
          <w:sz w:val="24"/>
          <w:szCs w:val="24"/>
        </w:rPr>
      </w:pPr>
    </w:p>
    <w:tbl>
      <w:tblPr>
        <w:tblStyle w:val="Grilledutableau"/>
        <w:tblW w:w="13320" w:type="dxa"/>
        <w:tblLook w:val="04A0" w:firstRow="1" w:lastRow="0" w:firstColumn="1" w:lastColumn="0" w:noHBand="0" w:noVBand="1"/>
      </w:tblPr>
      <w:tblGrid>
        <w:gridCol w:w="3681"/>
        <w:gridCol w:w="5670"/>
        <w:gridCol w:w="3969"/>
      </w:tblGrid>
      <w:tr w:rsidR="00537B39" w:rsidRPr="004B6BBF" w14:paraId="09A42102" w14:textId="77777777" w:rsidTr="00AA3A37">
        <w:trPr>
          <w:trHeight w:val="328"/>
        </w:trPr>
        <w:tc>
          <w:tcPr>
            <w:tcW w:w="3681" w:type="dxa"/>
            <w:vMerge w:val="restart"/>
          </w:tcPr>
          <w:p w14:paraId="572547E9" w14:textId="66B08399" w:rsidR="00537B39" w:rsidRPr="00933535" w:rsidRDefault="00537B39" w:rsidP="00537B39">
            <w:pPr>
              <w:rPr>
                <w:rFonts w:ascii="Cambria" w:hAnsi="Cambria"/>
                <w:b/>
                <w:sz w:val="28"/>
                <w:szCs w:val="28"/>
              </w:rPr>
            </w:pPr>
            <w:r w:rsidRPr="00933535">
              <w:rPr>
                <w:rFonts w:ascii="Cambria" w:hAnsi="Cambria"/>
                <w:b/>
                <w:sz w:val="28"/>
                <w:szCs w:val="28"/>
              </w:rPr>
              <w:t>PARTENAIRES 2023</w:t>
            </w:r>
          </w:p>
        </w:tc>
        <w:tc>
          <w:tcPr>
            <w:tcW w:w="5670" w:type="dxa"/>
            <w:vMerge w:val="restart"/>
          </w:tcPr>
          <w:p w14:paraId="4C44AA15" w14:textId="77777777" w:rsidR="00537B39" w:rsidRPr="004B6BBF" w:rsidRDefault="00537B39" w:rsidP="00AA3A37">
            <w:pPr>
              <w:jc w:val="center"/>
              <w:rPr>
                <w:rFonts w:ascii="Cambria" w:hAnsi="Cambria"/>
                <w:sz w:val="24"/>
                <w:szCs w:val="24"/>
              </w:rPr>
            </w:pPr>
            <w:r w:rsidRPr="004B6BBF">
              <w:rPr>
                <w:rFonts w:ascii="Cambria" w:hAnsi="Cambria"/>
                <w:sz w:val="24"/>
                <w:szCs w:val="24"/>
              </w:rPr>
              <w:t>Contribution au plan de travail</w:t>
            </w:r>
          </w:p>
          <w:p w14:paraId="013DCBD0" w14:textId="77777777" w:rsidR="00537B39" w:rsidRPr="004B6BBF" w:rsidRDefault="00537B39" w:rsidP="00AA3A37">
            <w:pPr>
              <w:jc w:val="center"/>
              <w:rPr>
                <w:rFonts w:ascii="Cambria" w:hAnsi="Cambria"/>
                <w:sz w:val="24"/>
                <w:szCs w:val="24"/>
              </w:rPr>
            </w:pPr>
            <w:r w:rsidRPr="004B6BBF">
              <w:rPr>
                <w:rFonts w:ascii="Cambria" w:hAnsi="Cambria"/>
                <w:sz w:val="24"/>
                <w:szCs w:val="24"/>
              </w:rPr>
              <w:t>en FCFA</w:t>
            </w:r>
          </w:p>
        </w:tc>
        <w:tc>
          <w:tcPr>
            <w:tcW w:w="3969" w:type="dxa"/>
            <w:vMerge w:val="restart"/>
          </w:tcPr>
          <w:p w14:paraId="3AC0986B" w14:textId="77777777" w:rsidR="00537B39" w:rsidRPr="004B6BBF" w:rsidRDefault="00537B39" w:rsidP="00AA3A37">
            <w:pPr>
              <w:jc w:val="center"/>
              <w:rPr>
                <w:rFonts w:ascii="Cambria" w:hAnsi="Cambria"/>
                <w:sz w:val="24"/>
                <w:szCs w:val="24"/>
              </w:rPr>
            </w:pPr>
            <w:r w:rsidRPr="004B6BBF">
              <w:rPr>
                <w:rFonts w:ascii="Cambria" w:hAnsi="Cambria"/>
                <w:sz w:val="24"/>
                <w:szCs w:val="24"/>
              </w:rPr>
              <w:t>Contribution en % au budget total</w:t>
            </w:r>
          </w:p>
        </w:tc>
      </w:tr>
      <w:tr w:rsidR="00537B39" w:rsidRPr="004B6BBF" w14:paraId="6D35B10B" w14:textId="77777777" w:rsidTr="00AA3A37">
        <w:trPr>
          <w:trHeight w:val="281"/>
        </w:trPr>
        <w:tc>
          <w:tcPr>
            <w:tcW w:w="3681" w:type="dxa"/>
            <w:vMerge/>
          </w:tcPr>
          <w:p w14:paraId="78930A63" w14:textId="77777777" w:rsidR="00537B39" w:rsidRPr="004B6BBF" w:rsidRDefault="00537B39" w:rsidP="00AA3A37">
            <w:pPr>
              <w:rPr>
                <w:rFonts w:ascii="Cambria" w:hAnsi="Cambria"/>
                <w:b/>
                <w:sz w:val="24"/>
                <w:szCs w:val="24"/>
              </w:rPr>
            </w:pPr>
          </w:p>
        </w:tc>
        <w:tc>
          <w:tcPr>
            <w:tcW w:w="5670" w:type="dxa"/>
            <w:vMerge/>
          </w:tcPr>
          <w:p w14:paraId="3C026ECD" w14:textId="77777777" w:rsidR="00537B39" w:rsidRPr="004B6BBF" w:rsidRDefault="00537B39" w:rsidP="00AA3A37">
            <w:pPr>
              <w:jc w:val="center"/>
              <w:rPr>
                <w:rFonts w:ascii="Cambria" w:hAnsi="Cambria"/>
                <w:sz w:val="24"/>
                <w:szCs w:val="24"/>
              </w:rPr>
            </w:pPr>
          </w:p>
        </w:tc>
        <w:tc>
          <w:tcPr>
            <w:tcW w:w="3969" w:type="dxa"/>
            <w:vMerge/>
          </w:tcPr>
          <w:p w14:paraId="44618B9C" w14:textId="77777777" w:rsidR="00537B39" w:rsidRPr="004B6BBF" w:rsidRDefault="00537B39" w:rsidP="00AA3A37">
            <w:pPr>
              <w:jc w:val="center"/>
              <w:rPr>
                <w:rFonts w:ascii="Cambria" w:hAnsi="Cambria"/>
                <w:sz w:val="24"/>
                <w:szCs w:val="24"/>
              </w:rPr>
            </w:pPr>
          </w:p>
        </w:tc>
      </w:tr>
      <w:tr w:rsidR="00537B39" w:rsidRPr="004B6BBF" w14:paraId="21FBD0D8" w14:textId="77777777" w:rsidTr="00AA3A37">
        <w:tc>
          <w:tcPr>
            <w:tcW w:w="3681" w:type="dxa"/>
          </w:tcPr>
          <w:p w14:paraId="3FD5D6E0" w14:textId="77777777" w:rsidR="00537B39" w:rsidRPr="004B6BBF" w:rsidRDefault="00537B39" w:rsidP="00AA3A37">
            <w:pPr>
              <w:rPr>
                <w:rFonts w:ascii="Cambria" w:hAnsi="Cambria"/>
                <w:b/>
                <w:sz w:val="24"/>
                <w:szCs w:val="24"/>
              </w:rPr>
            </w:pPr>
            <w:r w:rsidRPr="004B6BBF">
              <w:rPr>
                <w:rFonts w:ascii="Cambria" w:hAnsi="Cambria"/>
                <w:b/>
                <w:sz w:val="24"/>
                <w:szCs w:val="24"/>
              </w:rPr>
              <w:t>Budget CN-ITIE</w:t>
            </w:r>
          </w:p>
        </w:tc>
        <w:tc>
          <w:tcPr>
            <w:tcW w:w="5670" w:type="dxa"/>
          </w:tcPr>
          <w:p w14:paraId="09A12E2A" w14:textId="0C9FBB2F" w:rsidR="00537B39" w:rsidRPr="00A2235D" w:rsidRDefault="00A2235D" w:rsidP="00AA3A37">
            <w:pPr>
              <w:jc w:val="center"/>
              <w:rPr>
                <w:rFonts w:asciiTheme="majorHAnsi" w:hAnsiTheme="majorHAnsi"/>
                <w:sz w:val="24"/>
                <w:szCs w:val="24"/>
              </w:rPr>
            </w:pPr>
            <w:r w:rsidRPr="00A2235D">
              <w:rPr>
                <w:rFonts w:asciiTheme="majorHAnsi" w:eastAsia="Times New Roman" w:hAnsiTheme="majorHAnsi" w:cs="Times New Roman"/>
                <w:bCs/>
                <w:color w:val="000000"/>
                <w:sz w:val="24"/>
                <w:szCs w:val="24"/>
              </w:rPr>
              <w:t xml:space="preserve">254 500 000   </w:t>
            </w:r>
          </w:p>
        </w:tc>
        <w:tc>
          <w:tcPr>
            <w:tcW w:w="3969" w:type="dxa"/>
          </w:tcPr>
          <w:p w14:paraId="0774AC1F" w14:textId="04A1158D" w:rsidR="00537B39" w:rsidRPr="004B6BBF" w:rsidRDefault="00537B39" w:rsidP="00A938B0">
            <w:pPr>
              <w:jc w:val="center"/>
              <w:rPr>
                <w:rFonts w:ascii="Cambria" w:hAnsi="Cambria"/>
                <w:sz w:val="24"/>
                <w:szCs w:val="24"/>
              </w:rPr>
            </w:pPr>
            <w:r>
              <w:rPr>
                <w:rFonts w:ascii="Cambria" w:hAnsi="Cambria"/>
                <w:sz w:val="24"/>
                <w:szCs w:val="24"/>
              </w:rPr>
              <w:t>6</w:t>
            </w:r>
            <w:r w:rsidR="00A938B0">
              <w:rPr>
                <w:rFonts w:ascii="Cambria" w:hAnsi="Cambria"/>
                <w:sz w:val="24"/>
                <w:szCs w:val="24"/>
              </w:rPr>
              <w:t>1</w:t>
            </w:r>
            <w:r>
              <w:rPr>
                <w:rFonts w:ascii="Cambria" w:hAnsi="Cambria"/>
                <w:sz w:val="24"/>
                <w:szCs w:val="24"/>
              </w:rPr>
              <w:t>,</w:t>
            </w:r>
            <w:r w:rsidR="00A938B0">
              <w:rPr>
                <w:rFonts w:ascii="Cambria" w:hAnsi="Cambria"/>
                <w:sz w:val="24"/>
                <w:szCs w:val="24"/>
              </w:rPr>
              <w:t>2</w:t>
            </w:r>
            <w:r>
              <w:rPr>
                <w:rFonts w:ascii="Cambria" w:hAnsi="Cambria"/>
                <w:sz w:val="24"/>
                <w:szCs w:val="24"/>
              </w:rPr>
              <w:t xml:space="preserve">0% </w:t>
            </w:r>
          </w:p>
        </w:tc>
      </w:tr>
      <w:tr w:rsidR="00537B39" w:rsidRPr="004B6BBF" w14:paraId="06F948D1" w14:textId="77777777" w:rsidTr="00AA3A37">
        <w:tc>
          <w:tcPr>
            <w:tcW w:w="3681" w:type="dxa"/>
          </w:tcPr>
          <w:p w14:paraId="5487AF0E" w14:textId="77777777" w:rsidR="00537B39" w:rsidRPr="004B6BBF" w:rsidRDefault="00537B39" w:rsidP="00AA3A37">
            <w:pPr>
              <w:rPr>
                <w:rFonts w:ascii="Cambria" w:hAnsi="Cambria"/>
                <w:b/>
                <w:sz w:val="24"/>
                <w:szCs w:val="24"/>
              </w:rPr>
            </w:pPr>
            <w:r w:rsidRPr="004B6BBF">
              <w:rPr>
                <w:rFonts w:ascii="Cambria" w:hAnsi="Cambria"/>
                <w:b/>
                <w:sz w:val="24"/>
                <w:szCs w:val="24"/>
              </w:rPr>
              <w:t>GRSE/GIZ</w:t>
            </w:r>
          </w:p>
        </w:tc>
        <w:tc>
          <w:tcPr>
            <w:tcW w:w="5670" w:type="dxa"/>
          </w:tcPr>
          <w:p w14:paraId="74539BF3" w14:textId="11C4FD77" w:rsidR="00537B39" w:rsidRPr="004B6BBF" w:rsidRDefault="00BA5C1C" w:rsidP="00AA3A37">
            <w:pPr>
              <w:jc w:val="center"/>
              <w:rPr>
                <w:rFonts w:ascii="Cambria" w:hAnsi="Cambria"/>
                <w:sz w:val="24"/>
                <w:szCs w:val="24"/>
              </w:rPr>
            </w:pPr>
            <w:r>
              <w:rPr>
                <w:rFonts w:ascii="Cambria" w:hAnsi="Cambria"/>
                <w:sz w:val="24"/>
                <w:szCs w:val="24"/>
              </w:rPr>
              <w:t xml:space="preserve"> </w:t>
            </w:r>
          </w:p>
        </w:tc>
        <w:tc>
          <w:tcPr>
            <w:tcW w:w="3969" w:type="dxa"/>
          </w:tcPr>
          <w:p w14:paraId="4692C0BF" w14:textId="16EFA32F" w:rsidR="00537B39" w:rsidRPr="004B6BBF" w:rsidRDefault="00A938B0" w:rsidP="00AA3A37">
            <w:pPr>
              <w:jc w:val="center"/>
              <w:rPr>
                <w:rFonts w:ascii="Cambria" w:hAnsi="Cambria"/>
                <w:sz w:val="24"/>
                <w:szCs w:val="24"/>
              </w:rPr>
            </w:pPr>
            <w:r>
              <w:rPr>
                <w:rFonts w:ascii="Cambria" w:hAnsi="Cambria"/>
                <w:sz w:val="24"/>
                <w:szCs w:val="24"/>
              </w:rPr>
              <w:t>00%</w:t>
            </w:r>
          </w:p>
        </w:tc>
      </w:tr>
      <w:tr w:rsidR="00537B39" w:rsidRPr="004B6BBF" w14:paraId="2EC159CD" w14:textId="77777777" w:rsidTr="00AA3A37">
        <w:tc>
          <w:tcPr>
            <w:tcW w:w="3681" w:type="dxa"/>
          </w:tcPr>
          <w:p w14:paraId="246B1CD8" w14:textId="77777777" w:rsidR="00537B39" w:rsidRPr="004B6BBF" w:rsidRDefault="00537B39" w:rsidP="00AA3A37">
            <w:pPr>
              <w:rPr>
                <w:rFonts w:ascii="Cambria" w:hAnsi="Cambria"/>
                <w:b/>
                <w:sz w:val="24"/>
                <w:szCs w:val="24"/>
              </w:rPr>
            </w:pPr>
            <w:r>
              <w:rPr>
                <w:rFonts w:ascii="Cambria" w:hAnsi="Cambria"/>
                <w:b/>
                <w:sz w:val="24"/>
                <w:szCs w:val="24"/>
              </w:rPr>
              <w:t>BM</w:t>
            </w:r>
          </w:p>
        </w:tc>
        <w:tc>
          <w:tcPr>
            <w:tcW w:w="5670" w:type="dxa"/>
          </w:tcPr>
          <w:p w14:paraId="3C3E56AC" w14:textId="32EA6868" w:rsidR="00537B39" w:rsidRPr="00D360AC" w:rsidRDefault="00D360AC" w:rsidP="00AA3A37">
            <w:pPr>
              <w:jc w:val="center"/>
              <w:rPr>
                <w:rFonts w:asciiTheme="majorHAnsi" w:hAnsiTheme="majorHAnsi"/>
                <w:sz w:val="24"/>
                <w:szCs w:val="24"/>
              </w:rPr>
            </w:pPr>
            <w:r w:rsidRPr="00D360AC">
              <w:rPr>
                <w:rFonts w:asciiTheme="majorHAnsi" w:eastAsia="Times New Roman" w:hAnsiTheme="majorHAnsi" w:cs="Times New Roman"/>
                <w:bCs/>
                <w:color w:val="000000"/>
                <w:sz w:val="24"/>
                <w:szCs w:val="24"/>
              </w:rPr>
              <w:t xml:space="preserve">121 500 000   </w:t>
            </w:r>
          </w:p>
        </w:tc>
        <w:tc>
          <w:tcPr>
            <w:tcW w:w="3969" w:type="dxa"/>
          </w:tcPr>
          <w:p w14:paraId="3E8FD3E9" w14:textId="1FEA4852" w:rsidR="00537B39" w:rsidRPr="004B6BBF" w:rsidRDefault="00A938B0" w:rsidP="00A938B0">
            <w:pPr>
              <w:jc w:val="center"/>
              <w:rPr>
                <w:rFonts w:ascii="Cambria" w:hAnsi="Cambria"/>
                <w:sz w:val="24"/>
                <w:szCs w:val="24"/>
              </w:rPr>
            </w:pPr>
            <w:r>
              <w:rPr>
                <w:rFonts w:ascii="Cambria" w:hAnsi="Cambria"/>
                <w:sz w:val="24"/>
                <w:szCs w:val="24"/>
              </w:rPr>
              <w:t xml:space="preserve">  29,20%</w:t>
            </w:r>
            <w:r w:rsidRPr="004B6BBF">
              <w:rPr>
                <w:rFonts w:ascii="Cambria" w:hAnsi="Cambria"/>
                <w:sz w:val="24"/>
                <w:szCs w:val="24"/>
              </w:rPr>
              <w:t xml:space="preserve"> </w:t>
            </w:r>
            <w:r>
              <w:rPr>
                <w:rFonts w:ascii="Cambria" w:hAnsi="Cambria"/>
                <w:sz w:val="24"/>
                <w:szCs w:val="24"/>
              </w:rPr>
              <w:t xml:space="preserve"> </w:t>
            </w:r>
            <w:r w:rsidR="00537B39" w:rsidRPr="004B6BBF">
              <w:rPr>
                <w:rFonts w:ascii="Cambria" w:hAnsi="Cambria"/>
                <w:sz w:val="24"/>
                <w:szCs w:val="24"/>
              </w:rPr>
              <w:t xml:space="preserve">    </w:t>
            </w:r>
            <w:r w:rsidR="00537B39">
              <w:rPr>
                <w:rFonts w:ascii="Cambria" w:hAnsi="Cambria"/>
                <w:sz w:val="24"/>
                <w:szCs w:val="24"/>
              </w:rPr>
              <w:t xml:space="preserve"> </w:t>
            </w:r>
          </w:p>
        </w:tc>
      </w:tr>
      <w:tr w:rsidR="00537B39" w:rsidRPr="004B6BBF" w14:paraId="4FB567D9" w14:textId="77777777" w:rsidTr="00AA3A37">
        <w:tc>
          <w:tcPr>
            <w:tcW w:w="3681" w:type="dxa"/>
          </w:tcPr>
          <w:p w14:paraId="4A9EE43D" w14:textId="77777777" w:rsidR="00537B39" w:rsidRDefault="00537B39" w:rsidP="00AA3A37">
            <w:pPr>
              <w:rPr>
                <w:rFonts w:ascii="Cambria" w:hAnsi="Cambria"/>
                <w:b/>
                <w:sz w:val="24"/>
                <w:szCs w:val="24"/>
              </w:rPr>
            </w:pPr>
            <w:r>
              <w:rPr>
                <w:rFonts w:ascii="Cambria" w:hAnsi="Cambria"/>
                <w:b/>
                <w:sz w:val="24"/>
                <w:szCs w:val="24"/>
              </w:rPr>
              <w:t>CN-ITIE /BM</w:t>
            </w:r>
          </w:p>
        </w:tc>
        <w:tc>
          <w:tcPr>
            <w:tcW w:w="5670" w:type="dxa"/>
          </w:tcPr>
          <w:p w14:paraId="4CA6DF09" w14:textId="509F1B1A" w:rsidR="00537B39" w:rsidRPr="00A2235D" w:rsidRDefault="00A2235D" w:rsidP="00AA3A37">
            <w:pPr>
              <w:jc w:val="center"/>
              <w:rPr>
                <w:rFonts w:asciiTheme="majorHAnsi" w:hAnsiTheme="majorHAnsi"/>
                <w:sz w:val="24"/>
                <w:szCs w:val="24"/>
              </w:rPr>
            </w:pPr>
            <w:r>
              <w:rPr>
                <w:rFonts w:asciiTheme="majorHAnsi" w:eastAsia="Times New Roman" w:hAnsiTheme="majorHAnsi" w:cs="Times New Roman"/>
                <w:bCs/>
                <w:color w:val="000000"/>
                <w:sz w:val="24"/>
                <w:szCs w:val="24"/>
              </w:rPr>
              <w:t xml:space="preserve">  </w:t>
            </w:r>
            <w:r w:rsidRPr="00A2235D">
              <w:rPr>
                <w:rFonts w:asciiTheme="majorHAnsi" w:eastAsia="Times New Roman" w:hAnsiTheme="majorHAnsi" w:cs="Times New Roman"/>
                <w:bCs/>
                <w:color w:val="000000"/>
                <w:sz w:val="24"/>
                <w:szCs w:val="24"/>
              </w:rPr>
              <w:t xml:space="preserve">15 000 000   </w:t>
            </w:r>
          </w:p>
        </w:tc>
        <w:tc>
          <w:tcPr>
            <w:tcW w:w="3969" w:type="dxa"/>
          </w:tcPr>
          <w:p w14:paraId="38C7452B" w14:textId="60BD9209" w:rsidR="00537B39" w:rsidRPr="004B6BBF" w:rsidRDefault="00A938B0" w:rsidP="00AA3A37">
            <w:pPr>
              <w:jc w:val="center"/>
              <w:rPr>
                <w:rFonts w:ascii="Cambria" w:hAnsi="Cambria"/>
                <w:sz w:val="24"/>
                <w:szCs w:val="24"/>
              </w:rPr>
            </w:pPr>
            <w:r>
              <w:rPr>
                <w:rFonts w:ascii="Cambria" w:hAnsi="Cambria"/>
                <w:sz w:val="24"/>
                <w:szCs w:val="24"/>
              </w:rPr>
              <w:t>3,60</w:t>
            </w:r>
            <w:r w:rsidR="00537B39">
              <w:rPr>
                <w:rFonts w:ascii="Cambria" w:hAnsi="Cambria"/>
                <w:sz w:val="24"/>
                <w:szCs w:val="24"/>
              </w:rPr>
              <w:t>%</w:t>
            </w:r>
          </w:p>
        </w:tc>
      </w:tr>
      <w:tr w:rsidR="00537B39" w:rsidRPr="004B6BBF" w14:paraId="74DB04FD" w14:textId="77777777" w:rsidTr="00AA3A37">
        <w:tc>
          <w:tcPr>
            <w:tcW w:w="3681" w:type="dxa"/>
          </w:tcPr>
          <w:p w14:paraId="7D5DD8E1" w14:textId="77777777" w:rsidR="00537B39" w:rsidRDefault="00537B39" w:rsidP="00AA3A37">
            <w:pPr>
              <w:rPr>
                <w:rFonts w:ascii="Cambria" w:hAnsi="Cambria"/>
                <w:b/>
                <w:sz w:val="24"/>
                <w:szCs w:val="24"/>
              </w:rPr>
            </w:pPr>
            <w:r>
              <w:rPr>
                <w:rFonts w:ascii="Cambria" w:hAnsi="Cambria"/>
                <w:b/>
                <w:sz w:val="24"/>
                <w:szCs w:val="24"/>
              </w:rPr>
              <w:t>CN-ITIE/Autres Partenaires</w:t>
            </w:r>
          </w:p>
        </w:tc>
        <w:tc>
          <w:tcPr>
            <w:tcW w:w="5670" w:type="dxa"/>
          </w:tcPr>
          <w:p w14:paraId="145622E8" w14:textId="16D84C59" w:rsidR="00537B39" w:rsidRPr="00A2235D" w:rsidRDefault="00A2235D" w:rsidP="00AA3A37">
            <w:pPr>
              <w:jc w:val="center"/>
              <w:rPr>
                <w:rFonts w:asciiTheme="majorHAnsi" w:hAnsiTheme="majorHAnsi"/>
                <w:sz w:val="24"/>
                <w:szCs w:val="24"/>
              </w:rPr>
            </w:pPr>
            <w:r>
              <w:rPr>
                <w:rFonts w:ascii="Franklin Gothic Book" w:eastAsia="Times New Roman" w:hAnsi="Franklin Gothic Book" w:cs="Times New Roman"/>
                <w:b/>
                <w:bCs/>
                <w:color w:val="000000"/>
                <w:sz w:val="24"/>
                <w:szCs w:val="24"/>
              </w:rPr>
              <w:t xml:space="preserve">   </w:t>
            </w:r>
            <w:r w:rsidRPr="00A2235D">
              <w:rPr>
                <w:rFonts w:asciiTheme="majorHAnsi" w:eastAsia="Times New Roman" w:hAnsiTheme="majorHAnsi" w:cs="Times New Roman"/>
                <w:bCs/>
                <w:color w:val="000000"/>
                <w:sz w:val="24"/>
                <w:szCs w:val="24"/>
              </w:rPr>
              <w:t xml:space="preserve">25 000 000   </w:t>
            </w:r>
          </w:p>
        </w:tc>
        <w:tc>
          <w:tcPr>
            <w:tcW w:w="3969" w:type="dxa"/>
          </w:tcPr>
          <w:p w14:paraId="4785D8CD" w14:textId="67B51BF1" w:rsidR="00537B39" w:rsidRPr="004B6BBF" w:rsidRDefault="00A938B0" w:rsidP="00AA3A37">
            <w:pPr>
              <w:jc w:val="center"/>
              <w:rPr>
                <w:rFonts w:ascii="Cambria" w:hAnsi="Cambria"/>
                <w:sz w:val="24"/>
                <w:szCs w:val="24"/>
              </w:rPr>
            </w:pPr>
            <w:r>
              <w:rPr>
                <w:rFonts w:ascii="Cambria" w:hAnsi="Cambria"/>
                <w:sz w:val="24"/>
                <w:szCs w:val="24"/>
              </w:rPr>
              <w:t>6,00</w:t>
            </w:r>
            <w:r w:rsidR="00537B39">
              <w:rPr>
                <w:rFonts w:ascii="Cambria" w:hAnsi="Cambria"/>
                <w:sz w:val="24"/>
                <w:szCs w:val="24"/>
              </w:rPr>
              <w:t>%</w:t>
            </w:r>
          </w:p>
        </w:tc>
      </w:tr>
      <w:tr w:rsidR="00537B39" w:rsidRPr="004B6BBF" w14:paraId="31F898DA" w14:textId="77777777" w:rsidTr="00AA3A37">
        <w:tc>
          <w:tcPr>
            <w:tcW w:w="3681" w:type="dxa"/>
          </w:tcPr>
          <w:p w14:paraId="115B59EB" w14:textId="77777777" w:rsidR="00537B39" w:rsidRPr="004B6BBF" w:rsidRDefault="00537B39" w:rsidP="00AA3A37">
            <w:pPr>
              <w:rPr>
                <w:rFonts w:ascii="Cambria" w:hAnsi="Cambria"/>
                <w:b/>
                <w:sz w:val="24"/>
                <w:szCs w:val="24"/>
              </w:rPr>
            </w:pPr>
            <w:r w:rsidRPr="004B6BBF">
              <w:rPr>
                <w:rFonts w:ascii="Cambria" w:hAnsi="Cambria"/>
                <w:b/>
                <w:sz w:val="24"/>
                <w:szCs w:val="24"/>
              </w:rPr>
              <w:t>TOTAL</w:t>
            </w:r>
          </w:p>
        </w:tc>
        <w:tc>
          <w:tcPr>
            <w:tcW w:w="5670" w:type="dxa"/>
          </w:tcPr>
          <w:p w14:paraId="78955785" w14:textId="4937B8A5" w:rsidR="00537B39" w:rsidRPr="004B6BBF" w:rsidRDefault="00537B39" w:rsidP="00517156">
            <w:pPr>
              <w:jc w:val="center"/>
              <w:rPr>
                <w:rFonts w:ascii="Cambria" w:hAnsi="Cambria"/>
                <w:b/>
                <w:sz w:val="24"/>
                <w:szCs w:val="24"/>
              </w:rPr>
            </w:pPr>
            <w:r>
              <w:rPr>
                <w:rFonts w:ascii="Cambria" w:hAnsi="Cambria"/>
                <w:b/>
                <w:sz w:val="24"/>
                <w:szCs w:val="24"/>
              </w:rPr>
              <w:t>4</w:t>
            </w:r>
            <w:r w:rsidR="00517156">
              <w:rPr>
                <w:rFonts w:ascii="Cambria" w:hAnsi="Cambria"/>
                <w:b/>
                <w:sz w:val="24"/>
                <w:szCs w:val="24"/>
              </w:rPr>
              <w:t>16</w:t>
            </w:r>
            <w:r w:rsidRPr="004B6BBF">
              <w:rPr>
                <w:rFonts w:ascii="Cambria" w:hAnsi="Cambria"/>
                <w:b/>
                <w:sz w:val="24"/>
                <w:szCs w:val="24"/>
              </w:rPr>
              <w:t> </w:t>
            </w:r>
            <w:r w:rsidR="00517156">
              <w:rPr>
                <w:rFonts w:ascii="Cambria" w:hAnsi="Cambria"/>
                <w:b/>
                <w:sz w:val="24"/>
                <w:szCs w:val="24"/>
              </w:rPr>
              <w:t>000</w:t>
            </w:r>
            <w:r w:rsidRPr="004B6BBF">
              <w:rPr>
                <w:rFonts w:ascii="Cambria" w:hAnsi="Cambria"/>
                <w:b/>
                <w:sz w:val="24"/>
                <w:szCs w:val="24"/>
              </w:rPr>
              <w:t xml:space="preserve"> </w:t>
            </w:r>
            <w:r w:rsidR="00517156">
              <w:rPr>
                <w:rFonts w:ascii="Cambria" w:hAnsi="Cambria"/>
                <w:b/>
                <w:sz w:val="24"/>
                <w:szCs w:val="24"/>
              </w:rPr>
              <w:t>0</w:t>
            </w:r>
            <w:r w:rsidRPr="004B6BBF">
              <w:rPr>
                <w:rFonts w:ascii="Cambria" w:hAnsi="Cambria"/>
                <w:b/>
                <w:sz w:val="24"/>
                <w:szCs w:val="24"/>
              </w:rPr>
              <w:t>00</w:t>
            </w:r>
          </w:p>
        </w:tc>
        <w:tc>
          <w:tcPr>
            <w:tcW w:w="3969" w:type="dxa"/>
          </w:tcPr>
          <w:p w14:paraId="144B90A4" w14:textId="77777777" w:rsidR="00537B39" w:rsidRPr="004B6BBF" w:rsidRDefault="00537B39" w:rsidP="00AA3A37">
            <w:pPr>
              <w:jc w:val="center"/>
              <w:rPr>
                <w:rFonts w:ascii="Cambria" w:hAnsi="Cambria"/>
                <w:b/>
                <w:sz w:val="24"/>
                <w:szCs w:val="24"/>
              </w:rPr>
            </w:pPr>
            <w:r w:rsidRPr="004B6BBF">
              <w:rPr>
                <w:rFonts w:ascii="Cambria" w:hAnsi="Cambria"/>
                <w:b/>
                <w:sz w:val="24"/>
                <w:szCs w:val="24"/>
              </w:rPr>
              <w:t>100%</w:t>
            </w:r>
          </w:p>
        </w:tc>
      </w:tr>
    </w:tbl>
    <w:p w14:paraId="1CFC7E7D" w14:textId="77777777" w:rsidR="00537B39" w:rsidRDefault="00537B39" w:rsidP="00537B39">
      <w:pPr>
        <w:rPr>
          <w:rFonts w:ascii="Franklin Gothic Book" w:hAnsi="Franklin Gothic Book"/>
          <w:sz w:val="24"/>
          <w:szCs w:val="24"/>
        </w:rPr>
      </w:pPr>
    </w:p>
    <w:p w14:paraId="0FAFCFAE" w14:textId="66BEFD0E" w:rsidR="00537B39" w:rsidRDefault="00537B39" w:rsidP="00537B39">
      <w:pPr>
        <w:rPr>
          <w:rFonts w:ascii="Franklin Gothic Book" w:hAnsi="Franklin Gothic Book"/>
          <w:sz w:val="24"/>
          <w:szCs w:val="24"/>
        </w:rPr>
      </w:pPr>
    </w:p>
    <w:p w14:paraId="47FF00CA" w14:textId="77777777" w:rsidR="008502FE" w:rsidRPr="00537B39" w:rsidRDefault="008502FE" w:rsidP="00537B39">
      <w:pPr>
        <w:rPr>
          <w:rFonts w:ascii="Franklin Gothic Book" w:hAnsi="Franklin Gothic Book"/>
          <w:sz w:val="24"/>
          <w:szCs w:val="24"/>
        </w:rPr>
        <w:sectPr w:rsidR="008502FE" w:rsidRPr="00537B39" w:rsidSect="008502FE">
          <w:pgSz w:w="16838" w:h="11906" w:orient="landscape"/>
          <w:pgMar w:top="1418" w:right="1418" w:bottom="1418" w:left="1418" w:header="709" w:footer="709" w:gutter="0"/>
          <w:cols w:space="708"/>
          <w:docGrid w:linePitch="360"/>
        </w:sectPr>
      </w:pPr>
    </w:p>
    <w:p w14:paraId="2799CFB6" w14:textId="75E75528" w:rsidR="00D2057B" w:rsidRPr="006175EB" w:rsidRDefault="00D2057B" w:rsidP="00D71594">
      <w:pPr>
        <w:tabs>
          <w:tab w:val="left" w:pos="3225"/>
        </w:tabs>
        <w:rPr>
          <w:rFonts w:ascii="Franklin Gothic Book" w:hAnsi="Franklin Gothic Book"/>
          <w:sz w:val="24"/>
          <w:szCs w:val="24"/>
        </w:rPr>
      </w:pPr>
    </w:p>
    <w:p w14:paraId="13F7C58E" w14:textId="3D9CC4FC" w:rsidR="00B535A0" w:rsidRPr="006175EB" w:rsidRDefault="00B535A0" w:rsidP="00B535A0">
      <w:pPr>
        <w:jc w:val="both"/>
        <w:rPr>
          <w:rFonts w:ascii="Franklin Gothic Book" w:hAnsi="Franklin Gothic Book"/>
          <w:sz w:val="24"/>
          <w:szCs w:val="24"/>
        </w:rPr>
      </w:pPr>
    </w:p>
    <w:p w14:paraId="57EA23F6" w14:textId="77777777" w:rsidR="00E75DB7" w:rsidRPr="006175EB" w:rsidRDefault="00E75DB7" w:rsidP="00704C2D">
      <w:pPr>
        <w:jc w:val="both"/>
        <w:rPr>
          <w:rFonts w:ascii="Franklin Gothic Book" w:hAnsi="Franklin Gothic Book"/>
          <w:sz w:val="24"/>
          <w:szCs w:val="24"/>
        </w:rPr>
      </w:pPr>
    </w:p>
    <w:sectPr w:rsidR="00E75DB7" w:rsidRPr="006175EB" w:rsidSect="00886D64">
      <w:pgSz w:w="24480" w:h="15840" w:orient="landscape" w:code="1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226BC" w14:textId="77777777" w:rsidR="00864353" w:rsidRDefault="00864353" w:rsidP="00D46B65">
      <w:pPr>
        <w:spacing w:after="0" w:line="240" w:lineRule="auto"/>
      </w:pPr>
      <w:r>
        <w:separator/>
      </w:r>
    </w:p>
  </w:endnote>
  <w:endnote w:type="continuationSeparator" w:id="0">
    <w:p w14:paraId="79E71665" w14:textId="77777777" w:rsidR="00864353" w:rsidRDefault="00864353" w:rsidP="00D4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ヒラギノ角ゴ Pro W3">
    <w:altName w:val="Yu Gothic"/>
    <w:charset w:val="4E"/>
    <w:family w:val="auto"/>
    <w:pitch w:val="variable"/>
    <w:sig w:usb0="E00002FF" w:usb1="7AC7FFFF" w:usb2="00000012" w:usb3="00000000" w:csb0="0002000D" w:csb1="00000000"/>
  </w:font>
  <w:font w:name="Metropolis-Bold">
    <w:panose1 w:val="00000000000000000000"/>
    <w:charset w:val="00"/>
    <w:family w:val="swiss"/>
    <w:notTrueType/>
    <w:pitch w:val="default"/>
    <w:sig w:usb0="00000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4B15B" w14:textId="77777777" w:rsidR="00864353" w:rsidRDefault="00864353" w:rsidP="00D46B65">
      <w:pPr>
        <w:spacing w:after="0" w:line="240" w:lineRule="auto"/>
      </w:pPr>
      <w:r>
        <w:separator/>
      </w:r>
    </w:p>
  </w:footnote>
  <w:footnote w:type="continuationSeparator" w:id="0">
    <w:p w14:paraId="2AFCDB1B" w14:textId="77777777" w:rsidR="00864353" w:rsidRDefault="00864353" w:rsidP="00D46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169"/>
      </v:shape>
    </w:pict>
  </w:numPicBullet>
  <w:abstractNum w:abstractNumId="0" w15:restartNumberingAfterBreak="0">
    <w:nsid w:val="FFFFFF89"/>
    <w:multiLevelType w:val="singleLevel"/>
    <w:tmpl w:val="BA3C285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8682A85"/>
    <w:multiLevelType w:val="hybridMultilevel"/>
    <w:tmpl w:val="DD9A165E"/>
    <w:lvl w:ilvl="0" w:tplc="861A03F6">
      <w:start w:val="1"/>
      <w:numFmt w:val="bullet"/>
      <w:lvlText w:val=""/>
      <w:lvlJc w:val="left"/>
      <w:pPr>
        <w:tabs>
          <w:tab w:val="num" w:pos="720"/>
        </w:tabs>
        <w:ind w:left="720" w:hanging="360"/>
      </w:pPr>
      <w:rPr>
        <w:rFonts w:ascii="Wingdings" w:hAnsi="Wingdings" w:hint="default"/>
      </w:rPr>
    </w:lvl>
    <w:lvl w:ilvl="1" w:tplc="6010C9CA" w:tentative="1">
      <w:start w:val="1"/>
      <w:numFmt w:val="bullet"/>
      <w:lvlText w:val=""/>
      <w:lvlJc w:val="left"/>
      <w:pPr>
        <w:tabs>
          <w:tab w:val="num" w:pos="1440"/>
        </w:tabs>
        <w:ind w:left="1440" w:hanging="360"/>
      </w:pPr>
      <w:rPr>
        <w:rFonts w:ascii="Wingdings" w:hAnsi="Wingdings" w:hint="default"/>
      </w:rPr>
    </w:lvl>
    <w:lvl w:ilvl="2" w:tplc="F6167684" w:tentative="1">
      <w:start w:val="1"/>
      <w:numFmt w:val="bullet"/>
      <w:lvlText w:val=""/>
      <w:lvlJc w:val="left"/>
      <w:pPr>
        <w:tabs>
          <w:tab w:val="num" w:pos="2160"/>
        </w:tabs>
        <w:ind w:left="2160" w:hanging="360"/>
      </w:pPr>
      <w:rPr>
        <w:rFonts w:ascii="Wingdings" w:hAnsi="Wingdings" w:hint="default"/>
      </w:rPr>
    </w:lvl>
    <w:lvl w:ilvl="3" w:tplc="37D8C7E8" w:tentative="1">
      <w:start w:val="1"/>
      <w:numFmt w:val="bullet"/>
      <w:lvlText w:val=""/>
      <w:lvlJc w:val="left"/>
      <w:pPr>
        <w:tabs>
          <w:tab w:val="num" w:pos="2880"/>
        </w:tabs>
        <w:ind w:left="2880" w:hanging="360"/>
      </w:pPr>
      <w:rPr>
        <w:rFonts w:ascii="Wingdings" w:hAnsi="Wingdings" w:hint="default"/>
      </w:rPr>
    </w:lvl>
    <w:lvl w:ilvl="4" w:tplc="C22810BC" w:tentative="1">
      <w:start w:val="1"/>
      <w:numFmt w:val="bullet"/>
      <w:lvlText w:val=""/>
      <w:lvlJc w:val="left"/>
      <w:pPr>
        <w:tabs>
          <w:tab w:val="num" w:pos="3600"/>
        </w:tabs>
        <w:ind w:left="3600" w:hanging="360"/>
      </w:pPr>
      <w:rPr>
        <w:rFonts w:ascii="Wingdings" w:hAnsi="Wingdings" w:hint="default"/>
      </w:rPr>
    </w:lvl>
    <w:lvl w:ilvl="5" w:tplc="483E02A2" w:tentative="1">
      <w:start w:val="1"/>
      <w:numFmt w:val="bullet"/>
      <w:lvlText w:val=""/>
      <w:lvlJc w:val="left"/>
      <w:pPr>
        <w:tabs>
          <w:tab w:val="num" w:pos="4320"/>
        </w:tabs>
        <w:ind w:left="4320" w:hanging="360"/>
      </w:pPr>
      <w:rPr>
        <w:rFonts w:ascii="Wingdings" w:hAnsi="Wingdings" w:hint="default"/>
      </w:rPr>
    </w:lvl>
    <w:lvl w:ilvl="6" w:tplc="46B05F78" w:tentative="1">
      <w:start w:val="1"/>
      <w:numFmt w:val="bullet"/>
      <w:lvlText w:val=""/>
      <w:lvlJc w:val="left"/>
      <w:pPr>
        <w:tabs>
          <w:tab w:val="num" w:pos="5040"/>
        </w:tabs>
        <w:ind w:left="5040" w:hanging="360"/>
      </w:pPr>
      <w:rPr>
        <w:rFonts w:ascii="Wingdings" w:hAnsi="Wingdings" w:hint="default"/>
      </w:rPr>
    </w:lvl>
    <w:lvl w:ilvl="7" w:tplc="E6ACDDD6" w:tentative="1">
      <w:start w:val="1"/>
      <w:numFmt w:val="bullet"/>
      <w:lvlText w:val=""/>
      <w:lvlJc w:val="left"/>
      <w:pPr>
        <w:tabs>
          <w:tab w:val="num" w:pos="5760"/>
        </w:tabs>
        <w:ind w:left="5760" w:hanging="360"/>
      </w:pPr>
      <w:rPr>
        <w:rFonts w:ascii="Wingdings" w:hAnsi="Wingdings" w:hint="default"/>
      </w:rPr>
    </w:lvl>
    <w:lvl w:ilvl="8" w:tplc="1F929DE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15206"/>
    <w:multiLevelType w:val="hybridMultilevel"/>
    <w:tmpl w:val="CF9E61C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A72DE9"/>
    <w:multiLevelType w:val="hybridMultilevel"/>
    <w:tmpl w:val="E2465AA2"/>
    <w:lvl w:ilvl="0" w:tplc="040C000B">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7240E8"/>
    <w:multiLevelType w:val="hybridMultilevel"/>
    <w:tmpl w:val="9886CAB6"/>
    <w:lvl w:ilvl="0" w:tplc="040C000B">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6D6DAA"/>
    <w:multiLevelType w:val="hybridMultilevel"/>
    <w:tmpl w:val="B87E55A4"/>
    <w:lvl w:ilvl="0" w:tplc="CC8CAF9C">
      <w:start w:val="1"/>
      <w:numFmt w:val="bullet"/>
      <w:lvlText w:val=""/>
      <w:lvlJc w:val="left"/>
      <w:pPr>
        <w:tabs>
          <w:tab w:val="num" w:pos="720"/>
        </w:tabs>
        <w:ind w:left="720" w:hanging="360"/>
      </w:pPr>
      <w:rPr>
        <w:rFonts w:ascii="Wingdings" w:hAnsi="Wingdings" w:hint="default"/>
      </w:rPr>
    </w:lvl>
    <w:lvl w:ilvl="1" w:tplc="7C8C6B98" w:tentative="1">
      <w:start w:val="1"/>
      <w:numFmt w:val="bullet"/>
      <w:lvlText w:val=""/>
      <w:lvlJc w:val="left"/>
      <w:pPr>
        <w:tabs>
          <w:tab w:val="num" w:pos="1440"/>
        </w:tabs>
        <w:ind w:left="1440" w:hanging="360"/>
      </w:pPr>
      <w:rPr>
        <w:rFonts w:ascii="Wingdings" w:hAnsi="Wingdings" w:hint="default"/>
      </w:rPr>
    </w:lvl>
    <w:lvl w:ilvl="2" w:tplc="3DA08F86" w:tentative="1">
      <w:start w:val="1"/>
      <w:numFmt w:val="bullet"/>
      <w:lvlText w:val=""/>
      <w:lvlJc w:val="left"/>
      <w:pPr>
        <w:tabs>
          <w:tab w:val="num" w:pos="2160"/>
        </w:tabs>
        <w:ind w:left="2160" w:hanging="360"/>
      </w:pPr>
      <w:rPr>
        <w:rFonts w:ascii="Wingdings" w:hAnsi="Wingdings" w:hint="default"/>
      </w:rPr>
    </w:lvl>
    <w:lvl w:ilvl="3" w:tplc="B0727DF2" w:tentative="1">
      <w:start w:val="1"/>
      <w:numFmt w:val="bullet"/>
      <w:lvlText w:val=""/>
      <w:lvlJc w:val="left"/>
      <w:pPr>
        <w:tabs>
          <w:tab w:val="num" w:pos="2880"/>
        </w:tabs>
        <w:ind w:left="2880" w:hanging="360"/>
      </w:pPr>
      <w:rPr>
        <w:rFonts w:ascii="Wingdings" w:hAnsi="Wingdings" w:hint="default"/>
      </w:rPr>
    </w:lvl>
    <w:lvl w:ilvl="4" w:tplc="212CE420" w:tentative="1">
      <w:start w:val="1"/>
      <w:numFmt w:val="bullet"/>
      <w:lvlText w:val=""/>
      <w:lvlJc w:val="left"/>
      <w:pPr>
        <w:tabs>
          <w:tab w:val="num" w:pos="3600"/>
        </w:tabs>
        <w:ind w:left="3600" w:hanging="360"/>
      </w:pPr>
      <w:rPr>
        <w:rFonts w:ascii="Wingdings" w:hAnsi="Wingdings" w:hint="default"/>
      </w:rPr>
    </w:lvl>
    <w:lvl w:ilvl="5" w:tplc="1B387B70" w:tentative="1">
      <w:start w:val="1"/>
      <w:numFmt w:val="bullet"/>
      <w:lvlText w:val=""/>
      <w:lvlJc w:val="left"/>
      <w:pPr>
        <w:tabs>
          <w:tab w:val="num" w:pos="4320"/>
        </w:tabs>
        <w:ind w:left="4320" w:hanging="360"/>
      </w:pPr>
      <w:rPr>
        <w:rFonts w:ascii="Wingdings" w:hAnsi="Wingdings" w:hint="default"/>
      </w:rPr>
    </w:lvl>
    <w:lvl w:ilvl="6" w:tplc="02967CDA" w:tentative="1">
      <w:start w:val="1"/>
      <w:numFmt w:val="bullet"/>
      <w:lvlText w:val=""/>
      <w:lvlJc w:val="left"/>
      <w:pPr>
        <w:tabs>
          <w:tab w:val="num" w:pos="5040"/>
        </w:tabs>
        <w:ind w:left="5040" w:hanging="360"/>
      </w:pPr>
      <w:rPr>
        <w:rFonts w:ascii="Wingdings" w:hAnsi="Wingdings" w:hint="default"/>
      </w:rPr>
    </w:lvl>
    <w:lvl w:ilvl="7" w:tplc="56B26144" w:tentative="1">
      <w:start w:val="1"/>
      <w:numFmt w:val="bullet"/>
      <w:lvlText w:val=""/>
      <w:lvlJc w:val="left"/>
      <w:pPr>
        <w:tabs>
          <w:tab w:val="num" w:pos="5760"/>
        </w:tabs>
        <w:ind w:left="5760" w:hanging="360"/>
      </w:pPr>
      <w:rPr>
        <w:rFonts w:ascii="Wingdings" w:hAnsi="Wingdings" w:hint="default"/>
      </w:rPr>
    </w:lvl>
    <w:lvl w:ilvl="8" w:tplc="D7E0557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506923"/>
    <w:multiLevelType w:val="hybridMultilevel"/>
    <w:tmpl w:val="44E68BF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917692"/>
    <w:multiLevelType w:val="hybridMultilevel"/>
    <w:tmpl w:val="A9E4049A"/>
    <w:lvl w:ilvl="0" w:tplc="98E8A516">
      <w:start w:val="3"/>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A17577"/>
    <w:multiLevelType w:val="hybridMultilevel"/>
    <w:tmpl w:val="A36E53F6"/>
    <w:lvl w:ilvl="0" w:tplc="EF2AE2E2">
      <w:numFmt w:val="bullet"/>
      <w:lvlText w:val="-"/>
      <w:lvlJc w:val="left"/>
      <w:pPr>
        <w:ind w:left="720" w:hanging="360"/>
      </w:pPr>
      <w:rPr>
        <w:rFonts w:ascii="Franklin Gothic Book" w:eastAsiaTheme="minorEastAsia" w:hAnsi="Franklin Gothic Book" w:cs="Franklin Gothic 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35548E"/>
    <w:multiLevelType w:val="hybridMultilevel"/>
    <w:tmpl w:val="4B7C3310"/>
    <w:lvl w:ilvl="0" w:tplc="040C000B">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A00E41"/>
    <w:multiLevelType w:val="hybridMultilevel"/>
    <w:tmpl w:val="1862D8D6"/>
    <w:lvl w:ilvl="0" w:tplc="040C000B">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230023"/>
    <w:multiLevelType w:val="multilevel"/>
    <w:tmpl w:val="C996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1A080B"/>
    <w:multiLevelType w:val="hybridMultilevel"/>
    <w:tmpl w:val="5FD61D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0B42E6"/>
    <w:multiLevelType w:val="hybridMultilevel"/>
    <w:tmpl w:val="4CFCE034"/>
    <w:lvl w:ilvl="0" w:tplc="FC3E8C7C">
      <w:start w:val="55"/>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EBA7269"/>
    <w:multiLevelType w:val="hybridMultilevel"/>
    <w:tmpl w:val="060C3D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8E1A4E"/>
    <w:multiLevelType w:val="hybridMultilevel"/>
    <w:tmpl w:val="CA74694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9F51DD"/>
    <w:multiLevelType w:val="hybridMultilevel"/>
    <w:tmpl w:val="B68C8A7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4416454"/>
    <w:multiLevelType w:val="hybridMultilevel"/>
    <w:tmpl w:val="4BB4CC9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2F5C77"/>
    <w:multiLevelType w:val="multilevel"/>
    <w:tmpl w:val="08842F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8A7C97"/>
    <w:multiLevelType w:val="hybridMultilevel"/>
    <w:tmpl w:val="1278DD8A"/>
    <w:lvl w:ilvl="0" w:tplc="87D2E49A">
      <w:start w:val="1"/>
      <w:numFmt w:val="bullet"/>
      <w:lvlText w:val=""/>
      <w:lvlJc w:val="left"/>
      <w:pPr>
        <w:tabs>
          <w:tab w:val="num" w:pos="720"/>
        </w:tabs>
        <w:ind w:left="720" w:hanging="360"/>
      </w:pPr>
      <w:rPr>
        <w:rFonts w:ascii="Wingdings" w:hAnsi="Wingdings" w:hint="default"/>
      </w:rPr>
    </w:lvl>
    <w:lvl w:ilvl="1" w:tplc="85A81804" w:tentative="1">
      <w:start w:val="1"/>
      <w:numFmt w:val="bullet"/>
      <w:lvlText w:val=""/>
      <w:lvlJc w:val="left"/>
      <w:pPr>
        <w:tabs>
          <w:tab w:val="num" w:pos="1440"/>
        </w:tabs>
        <w:ind w:left="1440" w:hanging="360"/>
      </w:pPr>
      <w:rPr>
        <w:rFonts w:ascii="Wingdings" w:hAnsi="Wingdings" w:hint="default"/>
      </w:rPr>
    </w:lvl>
    <w:lvl w:ilvl="2" w:tplc="A1C21F96" w:tentative="1">
      <w:start w:val="1"/>
      <w:numFmt w:val="bullet"/>
      <w:lvlText w:val=""/>
      <w:lvlJc w:val="left"/>
      <w:pPr>
        <w:tabs>
          <w:tab w:val="num" w:pos="2160"/>
        </w:tabs>
        <w:ind w:left="2160" w:hanging="360"/>
      </w:pPr>
      <w:rPr>
        <w:rFonts w:ascii="Wingdings" w:hAnsi="Wingdings" w:hint="default"/>
      </w:rPr>
    </w:lvl>
    <w:lvl w:ilvl="3" w:tplc="04D6F7E6" w:tentative="1">
      <w:start w:val="1"/>
      <w:numFmt w:val="bullet"/>
      <w:lvlText w:val=""/>
      <w:lvlJc w:val="left"/>
      <w:pPr>
        <w:tabs>
          <w:tab w:val="num" w:pos="2880"/>
        </w:tabs>
        <w:ind w:left="2880" w:hanging="360"/>
      </w:pPr>
      <w:rPr>
        <w:rFonts w:ascii="Wingdings" w:hAnsi="Wingdings" w:hint="default"/>
      </w:rPr>
    </w:lvl>
    <w:lvl w:ilvl="4" w:tplc="D16221CA" w:tentative="1">
      <w:start w:val="1"/>
      <w:numFmt w:val="bullet"/>
      <w:lvlText w:val=""/>
      <w:lvlJc w:val="left"/>
      <w:pPr>
        <w:tabs>
          <w:tab w:val="num" w:pos="3600"/>
        </w:tabs>
        <w:ind w:left="3600" w:hanging="360"/>
      </w:pPr>
      <w:rPr>
        <w:rFonts w:ascii="Wingdings" w:hAnsi="Wingdings" w:hint="default"/>
      </w:rPr>
    </w:lvl>
    <w:lvl w:ilvl="5" w:tplc="CB760388" w:tentative="1">
      <w:start w:val="1"/>
      <w:numFmt w:val="bullet"/>
      <w:lvlText w:val=""/>
      <w:lvlJc w:val="left"/>
      <w:pPr>
        <w:tabs>
          <w:tab w:val="num" w:pos="4320"/>
        </w:tabs>
        <w:ind w:left="4320" w:hanging="360"/>
      </w:pPr>
      <w:rPr>
        <w:rFonts w:ascii="Wingdings" w:hAnsi="Wingdings" w:hint="default"/>
      </w:rPr>
    </w:lvl>
    <w:lvl w:ilvl="6" w:tplc="B1B64906" w:tentative="1">
      <w:start w:val="1"/>
      <w:numFmt w:val="bullet"/>
      <w:lvlText w:val=""/>
      <w:lvlJc w:val="left"/>
      <w:pPr>
        <w:tabs>
          <w:tab w:val="num" w:pos="5040"/>
        </w:tabs>
        <w:ind w:left="5040" w:hanging="360"/>
      </w:pPr>
      <w:rPr>
        <w:rFonts w:ascii="Wingdings" w:hAnsi="Wingdings" w:hint="default"/>
      </w:rPr>
    </w:lvl>
    <w:lvl w:ilvl="7" w:tplc="FDB230C0" w:tentative="1">
      <w:start w:val="1"/>
      <w:numFmt w:val="bullet"/>
      <w:lvlText w:val=""/>
      <w:lvlJc w:val="left"/>
      <w:pPr>
        <w:tabs>
          <w:tab w:val="num" w:pos="5760"/>
        </w:tabs>
        <w:ind w:left="5760" w:hanging="360"/>
      </w:pPr>
      <w:rPr>
        <w:rFonts w:ascii="Wingdings" w:hAnsi="Wingdings" w:hint="default"/>
      </w:rPr>
    </w:lvl>
    <w:lvl w:ilvl="8" w:tplc="BBD221A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5E3721"/>
    <w:multiLevelType w:val="hybridMultilevel"/>
    <w:tmpl w:val="4D4CD6D8"/>
    <w:lvl w:ilvl="0" w:tplc="040C000B">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08A22E6"/>
    <w:multiLevelType w:val="hybridMultilevel"/>
    <w:tmpl w:val="3A1E15F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6207BB1"/>
    <w:multiLevelType w:val="hybridMultilevel"/>
    <w:tmpl w:val="C1020B9A"/>
    <w:lvl w:ilvl="0" w:tplc="040C0009">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A00C03"/>
    <w:multiLevelType w:val="hybridMultilevel"/>
    <w:tmpl w:val="E4BED80A"/>
    <w:lvl w:ilvl="0" w:tplc="FC3E8C7C">
      <w:start w:val="55"/>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8"/>
  </w:num>
  <w:num w:numId="5">
    <w:abstractNumId w:val="19"/>
  </w:num>
  <w:num w:numId="6">
    <w:abstractNumId w:val="1"/>
  </w:num>
  <w:num w:numId="7">
    <w:abstractNumId w:val="5"/>
  </w:num>
  <w:num w:numId="8">
    <w:abstractNumId w:val="22"/>
  </w:num>
  <w:num w:numId="9">
    <w:abstractNumId w:val="13"/>
  </w:num>
  <w:num w:numId="10">
    <w:abstractNumId w:val="23"/>
  </w:num>
  <w:num w:numId="11">
    <w:abstractNumId w:val="14"/>
  </w:num>
  <w:num w:numId="12">
    <w:abstractNumId w:val="12"/>
  </w:num>
  <w:num w:numId="13">
    <w:abstractNumId w:val="18"/>
  </w:num>
  <w:num w:numId="14">
    <w:abstractNumId w:val="21"/>
  </w:num>
  <w:num w:numId="15">
    <w:abstractNumId w:val="16"/>
  </w:num>
  <w:num w:numId="16">
    <w:abstractNumId w:val="6"/>
  </w:num>
  <w:num w:numId="17">
    <w:abstractNumId w:val="2"/>
  </w:num>
  <w:num w:numId="18">
    <w:abstractNumId w:val="15"/>
  </w:num>
  <w:num w:numId="19">
    <w:abstractNumId w:val="17"/>
  </w:num>
  <w:num w:numId="20">
    <w:abstractNumId w:val="10"/>
  </w:num>
  <w:num w:numId="21">
    <w:abstractNumId w:val="20"/>
  </w:num>
  <w:num w:numId="22">
    <w:abstractNumId w:val="4"/>
  </w:num>
  <w:num w:numId="23">
    <w:abstractNumId w:val="3"/>
  </w:num>
  <w:num w:numId="2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81A"/>
    <w:rsid w:val="000007F3"/>
    <w:rsid w:val="000043CB"/>
    <w:rsid w:val="0000671A"/>
    <w:rsid w:val="00010CA6"/>
    <w:rsid w:val="00011588"/>
    <w:rsid w:val="00011838"/>
    <w:rsid w:val="00013BD1"/>
    <w:rsid w:val="00014D71"/>
    <w:rsid w:val="000159E5"/>
    <w:rsid w:val="00016CA4"/>
    <w:rsid w:val="0001775E"/>
    <w:rsid w:val="00021945"/>
    <w:rsid w:val="0002382A"/>
    <w:rsid w:val="00023FEA"/>
    <w:rsid w:val="000244AC"/>
    <w:rsid w:val="00027609"/>
    <w:rsid w:val="00027A35"/>
    <w:rsid w:val="0003002E"/>
    <w:rsid w:val="00030607"/>
    <w:rsid w:val="00034DF7"/>
    <w:rsid w:val="00035152"/>
    <w:rsid w:val="0004070E"/>
    <w:rsid w:val="00040E34"/>
    <w:rsid w:val="00041705"/>
    <w:rsid w:val="00045C41"/>
    <w:rsid w:val="000464AE"/>
    <w:rsid w:val="0004693C"/>
    <w:rsid w:val="00046D05"/>
    <w:rsid w:val="00047146"/>
    <w:rsid w:val="00047C38"/>
    <w:rsid w:val="00050B40"/>
    <w:rsid w:val="00051B6C"/>
    <w:rsid w:val="0005531A"/>
    <w:rsid w:val="00060D92"/>
    <w:rsid w:val="0006188B"/>
    <w:rsid w:val="000618B1"/>
    <w:rsid w:val="000618F2"/>
    <w:rsid w:val="00061FE7"/>
    <w:rsid w:val="00063303"/>
    <w:rsid w:val="00070BC0"/>
    <w:rsid w:val="00071D25"/>
    <w:rsid w:val="000729E3"/>
    <w:rsid w:val="000731BC"/>
    <w:rsid w:val="000744C3"/>
    <w:rsid w:val="00074C98"/>
    <w:rsid w:val="00076DA6"/>
    <w:rsid w:val="000818B0"/>
    <w:rsid w:val="00082C01"/>
    <w:rsid w:val="00083A98"/>
    <w:rsid w:val="00083C92"/>
    <w:rsid w:val="000844B6"/>
    <w:rsid w:val="00086254"/>
    <w:rsid w:val="00086A35"/>
    <w:rsid w:val="000876B6"/>
    <w:rsid w:val="00087B62"/>
    <w:rsid w:val="000915E9"/>
    <w:rsid w:val="000931C4"/>
    <w:rsid w:val="00095FA9"/>
    <w:rsid w:val="000976F6"/>
    <w:rsid w:val="000A021F"/>
    <w:rsid w:val="000A0568"/>
    <w:rsid w:val="000A0F28"/>
    <w:rsid w:val="000A1096"/>
    <w:rsid w:val="000A43DA"/>
    <w:rsid w:val="000A4F15"/>
    <w:rsid w:val="000A79FF"/>
    <w:rsid w:val="000B4C7F"/>
    <w:rsid w:val="000B6060"/>
    <w:rsid w:val="000B7A87"/>
    <w:rsid w:val="000C0650"/>
    <w:rsid w:val="000C0955"/>
    <w:rsid w:val="000C2835"/>
    <w:rsid w:val="000C3819"/>
    <w:rsid w:val="000C3A11"/>
    <w:rsid w:val="000C426B"/>
    <w:rsid w:val="000C5AB4"/>
    <w:rsid w:val="000C6454"/>
    <w:rsid w:val="000C6D9C"/>
    <w:rsid w:val="000C7145"/>
    <w:rsid w:val="000C7E42"/>
    <w:rsid w:val="000D0109"/>
    <w:rsid w:val="000D014B"/>
    <w:rsid w:val="000D1D32"/>
    <w:rsid w:val="000D1F27"/>
    <w:rsid w:val="000D2571"/>
    <w:rsid w:val="000D3508"/>
    <w:rsid w:val="000D4C1A"/>
    <w:rsid w:val="000D5AC4"/>
    <w:rsid w:val="000D6E28"/>
    <w:rsid w:val="000E29BF"/>
    <w:rsid w:val="000E35EB"/>
    <w:rsid w:val="000E380E"/>
    <w:rsid w:val="000E3959"/>
    <w:rsid w:val="000E41DC"/>
    <w:rsid w:val="000E4F39"/>
    <w:rsid w:val="000E5672"/>
    <w:rsid w:val="000F2ACF"/>
    <w:rsid w:val="000F2B33"/>
    <w:rsid w:val="000F5C97"/>
    <w:rsid w:val="000F71AC"/>
    <w:rsid w:val="00103DD6"/>
    <w:rsid w:val="0010439A"/>
    <w:rsid w:val="00105119"/>
    <w:rsid w:val="00106CB1"/>
    <w:rsid w:val="00106D01"/>
    <w:rsid w:val="00111D2E"/>
    <w:rsid w:val="001122E6"/>
    <w:rsid w:val="00112637"/>
    <w:rsid w:val="00117866"/>
    <w:rsid w:val="00120E38"/>
    <w:rsid w:val="00124F10"/>
    <w:rsid w:val="00125BA7"/>
    <w:rsid w:val="001264C6"/>
    <w:rsid w:val="001276ED"/>
    <w:rsid w:val="001302B0"/>
    <w:rsid w:val="00131B15"/>
    <w:rsid w:val="00135A98"/>
    <w:rsid w:val="00140F0A"/>
    <w:rsid w:val="00142553"/>
    <w:rsid w:val="00143700"/>
    <w:rsid w:val="00143E34"/>
    <w:rsid w:val="00144D99"/>
    <w:rsid w:val="001456C4"/>
    <w:rsid w:val="00146283"/>
    <w:rsid w:val="00146AA8"/>
    <w:rsid w:val="00152BC0"/>
    <w:rsid w:val="001541DE"/>
    <w:rsid w:val="00155AAF"/>
    <w:rsid w:val="00156B61"/>
    <w:rsid w:val="001572E5"/>
    <w:rsid w:val="00160ABF"/>
    <w:rsid w:val="00160C01"/>
    <w:rsid w:val="00162DD7"/>
    <w:rsid w:val="00163612"/>
    <w:rsid w:val="00167D23"/>
    <w:rsid w:val="001700A2"/>
    <w:rsid w:val="00172209"/>
    <w:rsid w:val="00175979"/>
    <w:rsid w:val="001768E1"/>
    <w:rsid w:val="00176E61"/>
    <w:rsid w:val="00180A11"/>
    <w:rsid w:val="001811C0"/>
    <w:rsid w:val="001828A0"/>
    <w:rsid w:val="00183319"/>
    <w:rsid w:val="001847FD"/>
    <w:rsid w:val="00184EF1"/>
    <w:rsid w:val="001851D5"/>
    <w:rsid w:val="00186412"/>
    <w:rsid w:val="001867C4"/>
    <w:rsid w:val="001905D8"/>
    <w:rsid w:val="00191939"/>
    <w:rsid w:val="00191964"/>
    <w:rsid w:val="00192EBB"/>
    <w:rsid w:val="001931E3"/>
    <w:rsid w:val="00193559"/>
    <w:rsid w:val="00194E97"/>
    <w:rsid w:val="001959E9"/>
    <w:rsid w:val="00196220"/>
    <w:rsid w:val="001A0E3A"/>
    <w:rsid w:val="001A1A2F"/>
    <w:rsid w:val="001A3168"/>
    <w:rsid w:val="001A350A"/>
    <w:rsid w:val="001A3A18"/>
    <w:rsid w:val="001A3E6D"/>
    <w:rsid w:val="001A44FF"/>
    <w:rsid w:val="001A6492"/>
    <w:rsid w:val="001A694B"/>
    <w:rsid w:val="001A7BB1"/>
    <w:rsid w:val="001B0C21"/>
    <w:rsid w:val="001B3860"/>
    <w:rsid w:val="001B3F09"/>
    <w:rsid w:val="001B6FE2"/>
    <w:rsid w:val="001B7087"/>
    <w:rsid w:val="001B73C4"/>
    <w:rsid w:val="001C122C"/>
    <w:rsid w:val="001C39CD"/>
    <w:rsid w:val="001C50D6"/>
    <w:rsid w:val="001C50DB"/>
    <w:rsid w:val="001C5214"/>
    <w:rsid w:val="001C5281"/>
    <w:rsid w:val="001C67C4"/>
    <w:rsid w:val="001D026E"/>
    <w:rsid w:val="001D10B4"/>
    <w:rsid w:val="001D52EF"/>
    <w:rsid w:val="001E07BA"/>
    <w:rsid w:val="001E1D67"/>
    <w:rsid w:val="001E5C81"/>
    <w:rsid w:val="001E69C7"/>
    <w:rsid w:val="001F0867"/>
    <w:rsid w:val="001F30C7"/>
    <w:rsid w:val="001F3805"/>
    <w:rsid w:val="001F4BC0"/>
    <w:rsid w:val="001F527D"/>
    <w:rsid w:val="001F6137"/>
    <w:rsid w:val="001F7E88"/>
    <w:rsid w:val="002019CF"/>
    <w:rsid w:val="002021AC"/>
    <w:rsid w:val="00202897"/>
    <w:rsid w:val="002031E4"/>
    <w:rsid w:val="00205C89"/>
    <w:rsid w:val="00206815"/>
    <w:rsid w:val="00211950"/>
    <w:rsid w:val="00214AB2"/>
    <w:rsid w:val="002151F1"/>
    <w:rsid w:val="00215D30"/>
    <w:rsid w:val="002170AD"/>
    <w:rsid w:val="002172DF"/>
    <w:rsid w:val="00217D52"/>
    <w:rsid w:val="002203F6"/>
    <w:rsid w:val="002207C1"/>
    <w:rsid w:val="00220F1E"/>
    <w:rsid w:val="00221C03"/>
    <w:rsid w:val="00222469"/>
    <w:rsid w:val="002231D6"/>
    <w:rsid w:val="0022352E"/>
    <w:rsid w:val="00223D39"/>
    <w:rsid w:val="00226628"/>
    <w:rsid w:val="0023027F"/>
    <w:rsid w:val="002319FC"/>
    <w:rsid w:val="002328AA"/>
    <w:rsid w:val="002347FE"/>
    <w:rsid w:val="00236C89"/>
    <w:rsid w:val="00243A0F"/>
    <w:rsid w:val="00246042"/>
    <w:rsid w:val="002474D1"/>
    <w:rsid w:val="00251FE4"/>
    <w:rsid w:val="00253C84"/>
    <w:rsid w:val="00254CB4"/>
    <w:rsid w:val="002604CD"/>
    <w:rsid w:val="00260809"/>
    <w:rsid w:val="00260925"/>
    <w:rsid w:val="00260E5E"/>
    <w:rsid w:val="002617FB"/>
    <w:rsid w:val="00261A1D"/>
    <w:rsid w:val="00262C4E"/>
    <w:rsid w:val="00263A14"/>
    <w:rsid w:val="00263E27"/>
    <w:rsid w:val="002643FC"/>
    <w:rsid w:val="002647C5"/>
    <w:rsid w:val="002713AE"/>
    <w:rsid w:val="002721DA"/>
    <w:rsid w:val="002723D7"/>
    <w:rsid w:val="00272BD1"/>
    <w:rsid w:val="002738A7"/>
    <w:rsid w:val="00273A31"/>
    <w:rsid w:val="00275EA7"/>
    <w:rsid w:val="00276BFB"/>
    <w:rsid w:val="00277EB9"/>
    <w:rsid w:val="0028136E"/>
    <w:rsid w:val="00281826"/>
    <w:rsid w:val="00290811"/>
    <w:rsid w:val="00290C2F"/>
    <w:rsid w:val="00290CC3"/>
    <w:rsid w:val="00291769"/>
    <w:rsid w:val="00294FF2"/>
    <w:rsid w:val="0029514A"/>
    <w:rsid w:val="00295EF1"/>
    <w:rsid w:val="002A005D"/>
    <w:rsid w:val="002A00EA"/>
    <w:rsid w:val="002A170C"/>
    <w:rsid w:val="002A25C2"/>
    <w:rsid w:val="002A3C22"/>
    <w:rsid w:val="002A53D8"/>
    <w:rsid w:val="002A62A7"/>
    <w:rsid w:val="002A6977"/>
    <w:rsid w:val="002A6D4D"/>
    <w:rsid w:val="002A70A3"/>
    <w:rsid w:val="002A7641"/>
    <w:rsid w:val="002B1908"/>
    <w:rsid w:val="002B1A18"/>
    <w:rsid w:val="002B1A70"/>
    <w:rsid w:val="002B1C0C"/>
    <w:rsid w:val="002B257E"/>
    <w:rsid w:val="002B3A32"/>
    <w:rsid w:val="002B535D"/>
    <w:rsid w:val="002B5C13"/>
    <w:rsid w:val="002C09FB"/>
    <w:rsid w:val="002C1614"/>
    <w:rsid w:val="002C2971"/>
    <w:rsid w:val="002C2EC7"/>
    <w:rsid w:val="002C342E"/>
    <w:rsid w:val="002C575A"/>
    <w:rsid w:val="002C725F"/>
    <w:rsid w:val="002D1399"/>
    <w:rsid w:val="002D2DE0"/>
    <w:rsid w:val="002D3B7E"/>
    <w:rsid w:val="002D480E"/>
    <w:rsid w:val="002D5905"/>
    <w:rsid w:val="002D5A82"/>
    <w:rsid w:val="002D610C"/>
    <w:rsid w:val="002D6BC1"/>
    <w:rsid w:val="002D732A"/>
    <w:rsid w:val="002D783B"/>
    <w:rsid w:val="002E271A"/>
    <w:rsid w:val="002E2808"/>
    <w:rsid w:val="002E2E1C"/>
    <w:rsid w:val="002E3CD5"/>
    <w:rsid w:val="002E60F2"/>
    <w:rsid w:val="002F0D02"/>
    <w:rsid w:val="002F1013"/>
    <w:rsid w:val="002F2B14"/>
    <w:rsid w:val="002F3548"/>
    <w:rsid w:val="002F36B4"/>
    <w:rsid w:val="002F5149"/>
    <w:rsid w:val="002F5AB9"/>
    <w:rsid w:val="002F5D83"/>
    <w:rsid w:val="002F667D"/>
    <w:rsid w:val="002F6DE7"/>
    <w:rsid w:val="00300535"/>
    <w:rsid w:val="00300A3E"/>
    <w:rsid w:val="00304748"/>
    <w:rsid w:val="0030561C"/>
    <w:rsid w:val="003070E5"/>
    <w:rsid w:val="00312C5D"/>
    <w:rsid w:val="00313DBE"/>
    <w:rsid w:val="0031427C"/>
    <w:rsid w:val="00315473"/>
    <w:rsid w:val="003202A8"/>
    <w:rsid w:val="003204F4"/>
    <w:rsid w:val="003231EF"/>
    <w:rsid w:val="00324222"/>
    <w:rsid w:val="003266A2"/>
    <w:rsid w:val="003267C6"/>
    <w:rsid w:val="003269E8"/>
    <w:rsid w:val="003278B4"/>
    <w:rsid w:val="00330D9C"/>
    <w:rsid w:val="003323C0"/>
    <w:rsid w:val="00337FFD"/>
    <w:rsid w:val="003409DC"/>
    <w:rsid w:val="00341F3F"/>
    <w:rsid w:val="00342F8A"/>
    <w:rsid w:val="00343372"/>
    <w:rsid w:val="00343DEE"/>
    <w:rsid w:val="003445AF"/>
    <w:rsid w:val="00350350"/>
    <w:rsid w:val="003504F4"/>
    <w:rsid w:val="00351171"/>
    <w:rsid w:val="00353091"/>
    <w:rsid w:val="00353D7E"/>
    <w:rsid w:val="00354C29"/>
    <w:rsid w:val="003553C9"/>
    <w:rsid w:val="003555B8"/>
    <w:rsid w:val="003601B2"/>
    <w:rsid w:val="003602C7"/>
    <w:rsid w:val="00360757"/>
    <w:rsid w:val="0036085A"/>
    <w:rsid w:val="00360C87"/>
    <w:rsid w:val="003612BF"/>
    <w:rsid w:val="00361939"/>
    <w:rsid w:val="00362857"/>
    <w:rsid w:val="0036309A"/>
    <w:rsid w:val="0036329E"/>
    <w:rsid w:val="0036420A"/>
    <w:rsid w:val="00370188"/>
    <w:rsid w:val="00372585"/>
    <w:rsid w:val="003730EE"/>
    <w:rsid w:val="00374EE4"/>
    <w:rsid w:val="00375A1B"/>
    <w:rsid w:val="0037706A"/>
    <w:rsid w:val="00377CF8"/>
    <w:rsid w:val="00381F3E"/>
    <w:rsid w:val="003845D3"/>
    <w:rsid w:val="00386670"/>
    <w:rsid w:val="0039113F"/>
    <w:rsid w:val="00391157"/>
    <w:rsid w:val="00391523"/>
    <w:rsid w:val="00393FFC"/>
    <w:rsid w:val="003940D6"/>
    <w:rsid w:val="003948E7"/>
    <w:rsid w:val="00395223"/>
    <w:rsid w:val="0039560F"/>
    <w:rsid w:val="00397BC7"/>
    <w:rsid w:val="003A08A1"/>
    <w:rsid w:val="003A0FA6"/>
    <w:rsid w:val="003A33AC"/>
    <w:rsid w:val="003A3F9A"/>
    <w:rsid w:val="003A4452"/>
    <w:rsid w:val="003A68B0"/>
    <w:rsid w:val="003A7370"/>
    <w:rsid w:val="003B00B7"/>
    <w:rsid w:val="003B00E5"/>
    <w:rsid w:val="003B21C7"/>
    <w:rsid w:val="003B22C7"/>
    <w:rsid w:val="003B324F"/>
    <w:rsid w:val="003B4FDD"/>
    <w:rsid w:val="003C0013"/>
    <w:rsid w:val="003C06CA"/>
    <w:rsid w:val="003C12CA"/>
    <w:rsid w:val="003C135A"/>
    <w:rsid w:val="003C39EC"/>
    <w:rsid w:val="003C5536"/>
    <w:rsid w:val="003C5AED"/>
    <w:rsid w:val="003C606F"/>
    <w:rsid w:val="003C6998"/>
    <w:rsid w:val="003C7D36"/>
    <w:rsid w:val="003D1285"/>
    <w:rsid w:val="003D3EF4"/>
    <w:rsid w:val="003D4294"/>
    <w:rsid w:val="003D4901"/>
    <w:rsid w:val="003D5D5B"/>
    <w:rsid w:val="003D65D6"/>
    <w:rsid w:val="003E0563"/>
    <w:rsid w:val="003E10B7"/>
    <w:rsid w:val="003E1878"/>
    <w:rsid w:val="003E6D3F"/>
    <w:rsid w:val="003E78B3"/>
    <w:rsid w:val="003F1719"/>
    <w:rsid w:val="003F2E17"/>
    <w:rsid w:val="003F3533"/>
    <w:rsid w:val="003F3EDB"/>
    <w:rsid w:val="003F5741"/>
    <w:rsid w:val="003F5D03"/>
    <w:rsid w:val="003F6AA6"/>
    <w:rsid w:val="003F6E57"/>
    <w:rsid w:val="003F7064"/>
    <w:rsid w:val="003F7DC6"/>
    <w:rsid w:val="004002A0"/>
    <w:rsid w:val="00400874"/>
    <w:rsid w:val="0040114D"/>
    <w:rsid w:val="0040598F"/>
    <w:rsid w:val="00411810"/>
    <w:rsid w:val="00411A03"/>
    <w:rsid w:val="00411F8C"/>
    <w:rsid w:val="00414AA7"/>
    <w:rsid w:val="00414D6D"/>
    <w:rsid w:val="00420D2C"/>
    <w:rsid w:val="0042265B"/>
    <w:rsid w:val="004229AC"/>
    <w:rsid w:val="00423434"/>
    <w:rsid w:val="00425B8C"/>
    <w:rsid w:val="00426F7C"/>
    <w:rsid w:val="004306FD"/>
    <w:rsid w:val="00432891"/>
    <w:rsid w:val="00435833"/>
    <w:rsid w:val="004362B5"/>
    <w:rsid w:val="00436BA7"/>
    <w:rsid w:val="004403B9"/>
    <w:rsid w:val="00444704"/>
    <w:rsid w:val="004455A2"/>
    <w:rsid w:val="00446181"/>
    <w:rsid w:val="00447458"/>
    <w:rsid w:val="004514C1"/>
    <w:rsid w:val="00455064"/>
    <w:rsid w:val="004562C3"/>
    <w:rsid w:val="00456498"/>
    <w:rsid w:val="00456B95"/>
    <w:rsid w:val="00460A4C"/>
    <w:rsid w:val="00460BB2"/>
    <w:rsid w:val="0046334E"/>
    <w:rsid w:val="0046451F"/>
    <w:rsid w:val="00465357"/>
    <w:rsid w:val="004653F2"/>
    <w:rsid w:val="00465BA9"/>
    <w:rsid w:val="00465ED9"/>
    <w:rsid w:val="00466473"/>
    <w:rsid w:val="00470376"/>
    <w:rsid w:val="00472490"/>
    <w:rsid w:val="004735FA"/>
    <w:rsid w:val="00474E26"/>
    <w:rsid w:val="00474FA9"/>
    <w:rsid w:val="004758B9"/>
    <w:rsid w:val="00475A31"/>
    <w:rsid w:val="00477228"/>
    <w:rsid w:val="00480AF5"/>
    <w:rsid w:val="004811E8"/>
    <w:rsid w:val="004857C0"/>
    <w:rsid w:val="004910F3"/>
    <w:rsid w:val="00493D77"/>
    <w:rsid w:val="0049412D"/>
    <w:rsid w:val="00495421"/>
    <w:rsid w:val="00496633"/>
    <w:rsid w:val="00496DE1"/>
    <w:rsid w:val="00496F9A"/>
    <w:rsid w:val="004A06EB"/>
    <w:rsid w:val="004A3491"/>
    <w:rsid w:val="004A3F40"/>
    <w:rsid w:val="004A7A67"/>
    <w:rsid w:val="004B0242"/>
    <w:rsid w:val="004B1D02"/>
    <w:rsid w:val="004B3FC7"/>
    <w:rsid w:val="004B6BBF"/>
    <w:rsid w:val="004B7194"/>
    <w:rsid w:val="004C1354"/>
    <w:rsid w:val="004C2266"/>
    <w:rsid w:val="004C4C54"/>
    <w:rsid w:val="004C5008"/>
    <w:rsid w:val="004C5CE7"/>
    <w:rsid w:val="004D0FAE"/>
    <w:rsid w:val="004D0FD6"/>
    <w:rsid w:val="004D4DAB"/>
    <w:rsid w:val="004D5714"/>
    <w:rsid w:val="004D5F20"/>
    <w:rsid w:val="004D6E1C"/>
    <w:rsid w:val="004E14A4"/>
    <w:rsid w:val="004E3B5D"/>
    <w:rsid w:val="004E3DC1"/>
    <w:rsid w:val="004E7B7D"/>
    <w:rsid w:val="004F0E20"/>
    <w:rsid w:val="004F10CF"/>
    <w:rsid w:val="004F4A7C"/>
    <w:rsid w:val="004F7580"/>
    <w:rsid w:val="005024CB"/>
    <w:rsid w:val="00504AB2"/>
    <w:rsid w:val="00505549"/>
    <w:rsid w:val="00505BD0"/>
    <w:rsid w:val="00506327"/>
    <w:rsid w:val="005073A6"/>
    <w:rsid w:val="00511484"/>
    <w:rsid w:val="0051197F"/>
    <w:rsid w:val="005127F9"/>
    <w:rsid w:val="00512FEE"/>
    <w:rsid w:val="0051385E"/>
    <w:rsid w:val="005139F6"/>
    <w:rsid w:val="00513BAF"/>
    <w:rsid w:val="00515330"/>
    <w:rsid w:val="00517156"/>
    <w:rsid w:val="00517D9C"/>
    <w:rsid w:val="00520857"/>
    <w:rsid w:val="00521BEF"/>
    <w:rsid w:val="00522FF1"/>
    <w:rsid w:val="0052377C"/>
    <w:rsid w:val="00523B75"/>
    <w:rsid w:val="0052445D"/>
    <w:rsid w:val="0052471B"/>
    <w:rsid w:val="00524F0F"/>
    <w:rsid w:val="005271C9"/>
    <w:rsid w:val="00527524"/>
    <w:rsid w:val="00530038"/>
    <w:rsid w:val="0053019A"/>
    <w:rsid w:val="00530708"/>
    <w:rsid w:val="005308AC"/>
    <w:rsid w:val="00530B3D"/>
    <w:rsid w:val="005331FA"/>
    <w:rsid w:val="005341EC"/>
    <w:rsid w:val="00534B8D"/>
    <w:rsid w:val="00535F6A"/>
    <w:rsid w:val="005375C6"/>
    <w:rsid w:val="00537B39"/>
    <w:rsid w:val="00540960"/>
    <w:rsid w:val="0054144D"/>
    <w:rsid w:val="00544580"/>
    <w:rsid w:val="00544C72"/>
    <w:rsid w:val="00545214"/>
    <w:rsid w:val="00545728"/>
    <w:rsid w:val="00545E16"/>
    <w:rsid w:val="00547426"/>
    <w:rsid w:val="00550B0F"/>
    <w:rsid w:val="00550F2C"/>
    <w:rsid w:val="00551E0A"/>
    <w:rsid w:val="00552C8E"/>
    <w:rsid w:val="00552E70"/>
    <w:rsid w:val="005557DA"/>
    <w:rsid w:val="00556939"/>
    <w:rsid w:val="00560333"/>
    <w:rsid w:val="005619FF"/>
    <w:rsid w:val="005646B3"/>
    <w:rsid w:val="0056557E"/>
    <w:rsid w:val="005704B3"/>
    <w:rsid w:val="00570932"/>
    <w:rsid w:val="00570A64"/>
    <w:rsid w:val="00571950"/>
    <w:rsid w:val="00572355"/>
    <w:rsid w:val="00575BB7"/>
    <w:rsid w:val="0057640A"/>
    <w:rsid w:val="005766B3"/>
    <w:rsid w:val="00580037"/>
    <w:rsid w:val="005802A9"/>
    <w:rsid w:val="00586D35"/>
    <w:rsid w:val="0058739B"/>
    <w:rsid w:val="00590EA7"/>
    <w:rsid w:val="00593E75"/>
    <w:rsid w:val="00595AC7"/>
    <w:rsid w:val="005A1387"/>
    <w:rsid w:val="005A1491"/>
    <w:rsid w:val="005A66FC"/>
    <w:rsid w:val="005B28B4"/>
    <w:rsid w:val="005B468F"/>
    <w:rsid w:val="005B51FF"/>
    <w:rsid w:val="005B6A16"/>
    <w:rsid w:val="005B6E71"/>
    <w:rsid w:val="005B7845"/>
    <w:rsid w:val="005C0059"/>
    <w:rsid w:val="005C0A0D"/>
    <w:rsid w:val="005C1E2E"/>
    <w:rsid w:val="005C4AB2"/>
    <w:rsid w:val="005C4B87"/>
    <w:rsid w:val="005C55CD"/>
    <w:rsid w:val="005C5736"/>
    <w:rsid w:val="005C67E5"/>
    <w:rsid w:val="005C6F80"/>
    <w:rsid w:val="005D49B0"/>
    <w:rsid w:val="005D53E0"/>
    <w:rsid w:val="005D577D"/>
    <w:rsid w:val="005D7471"/>
    <w:rsid w:val="005D76B6"/>
    <w:rsid w:val="005E0886"/>
    <w:rsid w:val="005E0D98"/>
    <w:rsid w:val="005E1509"/>
    <w:rsid w:val="005E2055"/>
    <w:rsid w:val="005E25B5"/>
    <w:rsid w:val="005E4D74"/>
    <w:rsid w:val="005E5B5B"/>
    <w:rsid w:val="005E5E9B"/>
    <w:rsid w:val="005E604B"/>
    <w:rsid w:val="005E631C"/>
    <w:rsid w:val="005E68DF"/>
    <w:rsid w:val="005F2092"/>
    <w:rsid w:val="00601BD5"/>
    <w:rsid w:val="006063F0"/>
    <w:rsid w:val="0060682B"/>
    <w:rsid w:val="00610E07"/>
    <w:rsid w:val="00610E89"/>
    <w:rsid w:val="00611405"/>
    <w:rsid w:val="00611649"/>
    <w:rsid w:val="00611B34"/>
    <w:rsid w:val="00611DC7"/>
    <w:rsid w:val="006124C4"/>
    <w:rsid w:val="006152F4"/>
    <w:rsid w:val="006175EB"/>
    <w:rsid w:val="00617CFF"/>
    <w:rsid w:val="0062023E"/>
    <w:rsid w:val="00621B2B"/>
    <w:rsid w:val="00622149"/>
    <w:rsid w:val="006235E9"/>
    <w:rsid w:val="006261DB"/>
    <w:rsid w:val="006264F1"/>
    <w:rsid w:val="00626BEE"/>
    <w:rsid w:val="00627B5A"/>
    <w:rsid w:val="00630ACF"/>
    <w:rsid w:val="00630CB6"/>
    <w:rsid w:val="00632704"/>
    <w:rsid w:val="00632C92"/>
    <w:rsid w:val="00641485"/>
    <w:rsid w:val="00642B6B"/>
    <w:rsid w:val="006434B6"/>
    <w:rsid w:val="00643C42"/>
    <w:rsid w:val="00644D4E"/>
    <w:rsid w:val="00645F77"/>
    <w:rsid w:val="0064622B"/>
    <w:rsid w:val="0064675B"/>
    <w:rsid w:val="00650221"/>
    <w:rsid w:val="00651263"/>
    <w:rsid w:val="00651F7D"/>
    <w:rsid w:val="00653794"/>
    <w:rsid w:val="00655918"/>
    <w:rsid w:val="00656420"/>
    <w:rsid w:val="0065779A"/>
    <w:rsid w:val="00660E83"/>
    <w:rsid w:val="00661BB5"/>
    <w:rsid w:val="00661EF2"/>
    <w:rsid w:val="00665103"/>
    <w:rsid w:val="006654F4"/>
    <w:rsid w:val="00665612"/>
    <w:rsid w:val="00666D63"/>
    <w:rsid w:val="00667DBC"/>
    <w:rsid w:val="00670328"/>
    <w:rsid w:val="0067049F"/>
    <w:rsid w:val="0067087E"/>
    <w:rsid w:val="00670F3E"/>
    <w:rsid w:val="00672C3D"/>
    <w:rsid w:val="00673C3C"/>
    <w:rsid w:val="00675BC9"/>
    <w:rsid w:val="0068115B"/>
    <w:rsid w:val="0068382D"/>
    <w:rsid w:val="00686E1F"/>
    <w:rsid w:val="00687D30"/>
    <w:rsid w:val="006932F2"/>
    <w:rsid w:val="00695410"/>
    <w:rsid w:val="00695CC9"/>
    <w:rsid w:val="006970EF"/>
    <w:rsid w:val="006978E0"/>
    <w:rsid w:val="00697A3E"/>
    <w:rsid w:val="006A0FA3"/>
    <w:rsid w:val="006A322D"/>
    <w:rsid w:val="006A44B2"/>
    <w:rsid w:val="006A5E04"/>
    <w:rsid w:val="006A77A1"/>
    <w:rsid w:val="006B0CE5"/>
    <w:rsid w:val="006B10F5"/>
    <w:rsid w:val="006C04CA"/>
    <w:rsid w:val="006C115A"/>
    <w:rsid w:val="006C18B6"/>
    <w:rsid w:val="006C196F"/>
    <w:rsid w:val="006C37DC"/>
    <w:rsid w:val="006C3FEA"/>
    <w:rsid w:val="006C4538"/>
    <w:rsid w:val="006C4668"/>
    <w:rsid w:val="006C54B0"/>
    <w:rsid w:val="006D1429"/>
    <w:rsid w:val="006D273D"/>
    <w:rsid w:val="006D2E46"/>
    <w:rsid w:val="006D49D1"/>
    <w:rsid w:val="006D5955"/>
    <w:rsid w:val="006D621E"/>
    <w:rsid w:val="006D7400"/>
    <w:rsid w:val="006D7EC6"/>
    <w:rsid w:val="006E2D31"/>
    <w:rsid w:val="006E4046"/>
    <w:rsid w:val="006E47AD"/>
    <w:rsid w:val="006E7A2A"/>
    <w:rsid w:val="006E7DC8"/>
    <w:rsid w:val="006F29E6"/>
    <w:rsid w:val="006F328E"/>
    <w:rsid w:val="006F5E9B"/>
    <w:rsid w:val="006F618F"/>
    <w:rsid w:val="006F7479"/>
    <w:rsid w:val="00700296"/>
    <w:rsid w:val="00702E43"/>
    <w:rsid w:val="00703B4E"/>
    <w:rsid w:val="00704221"/>
    <w:rsid w:val="00704C2D"/>
    <w:rsid w:val="0070652D"/>
    <w:rsid w:val="00707C62"/>
    <w:rsid w:val="00711856"/>
    <w:rsid w:val="007120EC"/>
    <w:rsid w:val="00712981"/>
    <w:rsid w:val="007154D1"/>
    <w:rsid w:val="0071561A"/>
    <w:rsid w:val="00715F72"/>
    <w:rsid w:val="007219BE"/>
    <w:rsid w:val="00724266"/>
    <w:rsid w:val="00724918"/>
    <w:rsid w:val="00724D34"/>
    <w:rsid w:val="007252B2"/>
    <w:rsid w:val="00730118"/>
    <w:rsid w:val="00730263"/>
    <w:rsid w:val="00731BBC"/>
    <w:rsid w:val="00732102"/>
    <w:rsid w:val="00732940"/>
    <w:rsid w:val="00733CBB"/>
    <w:rsid w:val="00733CFB"/>
    <w:rsid w:val="007348FD"/>
    <w:rsid w:val="00734AF0"/>
    <w:rsid w:val="0074023D"/>
    <w:rsid w:val="00742434"/>
    <w:rsid w:val="00742A3D"/>
    <w:rsid w:val="0074424B"/>
    <w:rsid w:val="007453E2"/>
    <w:rsid w:val="0074576D"/>
    <w:rsid w:val="00751E2E"/>
    <w:rsid w:val="007534BD"/>
    <w:rsid w:val="007550CC"/>
    <w:rsid w:val="0075704D"/>
    <w:rsid w:val="00757723"/>
    <w:rsid w:val="00760079"/>
    <w:rsid w:val="00761754"/>
    <w:rsid w:val="00761D89"/>
    <w:rsid w:val="00763792"/>
    <w:rsid w:val="00764271"/>
    <w:rsid w:val="0076440C"/>
    <w:rsid w:val="0076793F"/>
    <w:rsid w:val="007716DA"/>
    <w:rsid w:val="00772897"/>
    <w:rsid w:val="007735D5"/>
    <w:rsid w:val="00773B4B"/>
    <w:rsid w:val="00774886"/>
    <w:rsid w:val="00775E33"/>
    <w:rsid w:val="00776227"/>
    <w:rsid w:val="007770D7"/>
    <w:rsid w:val="00780923"/>
    <w:rsid w:val="00780EE2"/>
    <w:rsid w:val="007817E3"/>
    <w:rsid w:val="00782930"/>
    <w:rsid w:val="00783D34"/>
    <w:rsid w:val="007859F8"/>
    <w:rsid w:val="00785B93"/>
    <w:rsid w:val="00786BDB"/>
    <w:rsid w:val="00787A2B"/>
    <w:rsid w:val="0079093F"/>
    <w:rsid w:val="00790999"/>
    <w:rsid w:val="00791618"/>
    <w:rsid w:val="00791DE6"/>
    <w:rsid w:val="0079406D"/>
    <w:rsid w:val="007943A2"/>
    <w:rsid w:val="00795730"/>
    <w:rsid w:val="007A033D"/>
    <w:rsid w:val="007A2CDB"/>
    <w:rsid w:val="007A2DB0"/>
    <w:rsid w:val="007A5707"/>
    <w:rsid w:val="007A5920"/>
    <w:rsid w:val="007A5F63"/>
    <w:rsid w:val="007B1A14"/>
    <w:rsid w:val="007B205F"/>
    <w:rsid w:val="007B36E4"/>
    <w:rsid w:val="007B486E"/>
    <w:rsid w:val="007C3E3E"/>
    <w:rsid w:val="007C7B83"/>
    <w:rsid w:val="007C7CAB"/>
    <w:rsid w:val="007D0D21"/>
    <w:rsid w:val="007D3406"/>
    <w:rsid w:val="007D3814"/>
    <w:rsid w:val="007D3E37"/>
    <w:rsid w:val="007D4AED"/>
    <w:rsid w:val="007D4F1E"/>
    <w:rsid w:val="007D57DF"/>
    <w:rsid w:val="007D583A"/>
    <w:rsid w:val="007E2EBF"/>
    <w:rsid w:val="007E396E"/>
    <w:rsid w:val="007E42BE"/>
    <w:rsid w:val="007E4E60"/>
    <w:rsid w:val="007E61CB"/>
    <w:rsid w:val="007F13AF"/>
    <w:rsid w:val="007F1E40"/>
    <w:rsid w:val="007F44B1"/>
    <w:rsid w:val="007F4954"/>
    <w:rsid w:val="007F5310"/>
    <w:rsid w:val="007F577B"/>
    <w:rsid w:val="007F5DE5"/>
    <w:rsid w:val="007F7CED"/>
    <w:rsid w:val="007F7FF7"/>
    <w:rsid w:val="0080040A"/>
    <w:rsid w:val="0080095F"/>
    <w:rsid w:val="00803C0E"/>
    <w:rsid w:val="0080520D"/>
    <w:rsid w:val="00807AD3"/>
    <w:rsid w:val="00811D92"/>
    <w:rsid w:val="00812437"/>
    <w:rsid w:val="00814265"/>
    <w:rsid w:val="00814A73"/>
    <w:rsid w:val="00814CDC"/>
    <w:rsid w:val="00816D60"/>
    <w:rsid w:val="00817A36"/>
    <w:rsid w:val="008221E8"/>
    <w:rsid w:val="00823B6D"/>
    <w:rsid w:val="00824DE2"/>
    <w:rsid w:val="00825F17"/>
    <w:rsid w:val="00826AA0"/>
    <w:rsid w:val="00827F1B"/>
    <w:rsid w:val="00830A3B"/>
    <w:rsid w:val="00830CB5"/>
    <w:rsid w:val="00832BAD"/>
    <w:rsid w:val="0083450B"/>
    <w:rsid w:val="008350BF"/>
    <w:rsid w:val="008371BC"/>
    <w:rsid w:val="008375F7"/>
    <w:rsid w:val="008405D5"/>
    <w:rsid w:val="008424EF"/>
    <w:rsid w:val="00844CDE"/>
    <w:rsid w:val="008452F0"/>
    <w:rsid w:val="00845E32"/>
    <w:rsid w:val="00847BAB"/>
    <w:rsid w:val="00847DBC"/>
    <w:rsid w:val="00847E07"/>
    <w:rsid w:val="008502FE"/>
    <w:rsid w:val="00850E0A"/>
    <w:rsid w:val="00852397"/>
    <w:rsid w:val="00852843"/>
    <w:rsid w:val="0085629A"/>
    <w:rsid w:val="008565D9"/>
    <w:rsid w:val="00857F76"/>
    <w:rsid w:val="008604B5"/>
    <w:rsid w:val="00860E17"/>
    <w:rsid w:val="00863088"/>
    <w:rsid w:val="00864353"/>
    <w:rsid w:val="008654ED"/>
    <w:rsid w:val="00865C92"/>
    <w:rsid w:val="008738A3"/>
    <w:rsid w:val="0087461D"/>
    <w:rsid w:val="00874A29"/>
    <w:rsid w:val="00874EED"/>
    <w:rsid w:val="0087537C"/>
    <w:rsid w:val="00877A74"/>
    <w:rsid w:val="00877E5D"/>
    <w:rsid w:val="00883098"/>
    <w:rsid w:val="0088349C"/>
    <w:rsid w:val="00883B20"/>
    <w:rsid w:val="00885314"/>
    <w:rsid w:val="00885C49"/>
    <w:rsid w:val="00886D64"/>
    <w:rsid w:val="00891645"/>
    <w:rsid w:val="00893B8C"/>
    <w:rsid w:val="0089692C"/>
    <w:rsid w:val="008971DE"/>
    <w:rsid w:val="0089789C"/>
    <w:rsid w:val="008A01E2"/>
    <w:rsid w:val="008A221B"/>
    <w:rsid w:val="008A232E"/>
    <w:rsid w:val="008A23F7"/>
    <w:rsid w:val="008A59A7"/>
    <w:rsid w:val="008A6120"/>
    <w:rsid w:val="008A6BC7"/>
    <w:rsid w:val="008A71E6"/>
    <w:rsid w:val="008A751E"/>
    <w:rsid w:val="008B07DE"/>
    <w:rsid w:val="008B1E77"/>
    <w:rsid w:val="008B2846"/>
    <w:rsid w:val="008B3F3D"/>
    <w:rsid w:val="008B4FDF"/>
    <w:rsid w:val="008B7094"/>
    <w:rsid w:val="008B70A5"/>
    <w:rsid w:val="008B7542"/>
    <w:rsid w:val="008B7FF9"/>
    <w:rsid w:val="008C36F7"/>
    <w:rsid w:val="008C4B2A"/>
    <w:rsid w:val="008C5380"/>
    <w:rsid w:val="008C5FB3"/>
    <w:rsid w:val="008C6B75"/>
    <w:rsid w:val="008D19D3"/>
    <w:rsid w:val="008D1B49"/>
    <w:rsid w:val="008D1C9E"/>
    <w:rsid w:val="008D1D01"/>
    <w:rsid w:val="008D1F0E"/>
    <w:rsid w:val="008D4BD0"/>
    <w:rsid w:val="008D5297"/>
    <w:rsid w:val="008D5737"/>
    <w:rsid w:val="008D71FA"/>
    <w:rsid w:val="008E0337"/>
    <w:rsid w:val="008E0580"/>
    <w:rsid w:val="008E1229"/>
    <w:rsid w:val="008E2D93"/>
    <w:rsid w:val="008E417C"/>
    <w:rsid w:val="008E4AB3"/>
    <w:rsid w:val="008E574B"/>
    <w:rsid w:val="008F1449"/>
    <w:rsid w:val="008F2DA4"/>
    <w:rsid w:val="008F707C"/>
    <w:rsid w:val="0090188A"/>
    <w:rsid w:val="00903029"/>
    <w:rsid w:val="0090534E"/>
    <w:rsid w:val="00905E6B"/>
    <w:rsid w:val="00906BEF"/>
    <w:rsid w:val="0091004E"/>
    <w:rsid w:val="00911954"/>
    <w:rsid w:val="00912019"/>
    <w:rsid w:val="00912973"/>
    <w:rsid w:val="009138B7"/>
    <w:rsid w:val="00916C00"/>
    <w:rsid w:val="00917702"/>
    <w:rsid w:val="00917964"/>
    <w:rsid w:val="00922AC1"/>
    <w:rsid w:val="0092508F"/>
    <w:rsid w:val="00925424"/>
    <w:rsid w:val="0092628C"/>
    <w:rsid w:val="00926650"/>
    <w:rsid w:val="00927358"/>
    <w:rsid w:val="00927FC9"/>
    <w:rsid w:val="00932451"/>
    <w:rsid w:val="00933535"/>
    <w:rsid w:val="00933FB0"/>
    <w:rsid w:val="0093642A"/>
    <w:rsid w:val="00937E16"/>
    <w:rsid w:val="009401F8"/>
    <w:rsid w:val="00940295"/>
    <w:rsid w:val="009414DD"/>
    <w:rsid w:val="00943B56"/>
    <w:rsid w:val="00944944"/>
    <w:rsid w:val="00945460"/>
    <w:rsid w:val="0094714E"/>
    <w:rsid w:val="009473EB"/>
    <w:rsid w:val="00947541"/>
    <w:rsid w:val="00950B7C"/>
    <w:rsid w:val="00950BB2"/>
    <w:rsid w:val="00951FCD"/>
    <w:rsid w:val="009526FF"/>
    <w:rsid w:val="009532D4"/>
    <w:rsid w:val="00953661"/>
    <w:rsid w:val="009544C2"/>
    <w:rsid w:val="00955E11"/>
    <w:rsid w:val="00962701"/>
    <w:rsid w:val="00965372"/>
    <w:rsid w:val="00965E17"/>
    <w:rsid w:val="009706A7"/>
    <w:rsid w:val="009724B1"/>
    <w:rsid w:val="009725FC"/>
    <w:rsid w:val="009736F6"/>
    <w:rsid w:val="00973A49"/>
    <w:rsid w:val="00977297"/>
    <w:rsid w:val="00980F8A"/>
    <w:rsid w:val="009826B6"/>
    <w:rsid w:val="00982AB2"/>
    <w:rsid w:val="00982EF7"/>
    <w:rsid w:val="00983F8F"/>
    <w:rsid w:val="00985B3C"/>
    <w:rsid w:val="0098713E"/>
    <w:rsid w:val="00992C18"/>
    <w:rsid w:val="00993C39"/>
    <w:rsid w:val="00996736"/>
    <w:rsid w:val="009A0155"/>
    <w:rsid w:val="009A037B"/>
    <w:rsid w:val="009A0C1D"/>
    <w:rsid w:val="009A4457"/>
    <w:rsid w:val="009A4991"/>
    <w:rsid w:val="009A6C9C"/>
    <w:rsid w:val="009B003E"/>
    <w:rsid w:val="009B2B73"/>
    <w:rsid w:val="009B3376"/>
    <w:rsid w:val="009B5F9D"/>
    <w:rsid w:val="009B7305"/>
    <w:rsid w:val="009C215C"/>
    <w:rsid w:val="009C238C"/>
    <w:rsid w:val="009C470B"/>
    <w:rsid w:val="009C6393"/>
    <w:rsid w:val="009C692D"/>
    <w:rsid w:val="009D0577"/>
    <w:rsid w:val="009D0AA3"/>
    <w:rsid w:val="009D16DA"/>
    <w:rsid w:val="009D1E09"/>
    <w:rsid w:val="009D2090"/>
    <w:rsid w:val="009D3157"/>
    <w:rsid w:val="009D4132"/>
    <w:rsid w:val="009D41AB"/>
    <w:rsid w:val="009D458E"/>
    <w:rsid w:val="009D5042"/>
    <w:rsid w:val="009D71D9"/>
    <w:rsid w:val="009D7EA3"/>
    <w:rsid w:val="009E22B9"/>
    <w:rsid w:val="009E440A"/>
    <w:rsid w:val="009F01CF"/>
    <w:rsid w:val="009F1F37"/>
    <w:rsid w:val="009F31D4"/>
    <w:rsid w:val="009F4995"/>
    <w:rsid w:val="00A002FE"/>
    <w:rsid w:val="00A01FDD"/>
    <w:rsid w:val="00A03478"/>
    <w:rsid w:val="00A03E72"/>
    <w:rsid w:val="00A0404C"/>
    <w:rsid w:val="00A05DBD"/>
    <w:rsid w:val="00A06E13"/>
    <w:rsid w:val="00A1037D"/>
    <w:rsid w:val="00A104A8"/>
    <w:rsid w:val="00A11D15"/>
    <w:rsid w:val="00A1303B"/>
    <w:rsid w:val="00A14484"/>
    <w:rsid w:val="00A1593F"/>
    <w:rsid w:val="00A16588"/>
    <w:rsid w:val="00A20558"/>
    <w:rsid w:val="00A219CC"/>
    <w:rsid w:val="00A2235D"/>
    <w:rsid w:val="00A22827"/>
    <w:rsid w:val="00A25AC2"/>
    <w:rsid w:val="00A2716D"/>
    <w:rsid w:val="00A272BF"/>
    <w:rsid w:val="00A30744"/>
    <w:rsid w:val="00A31632"/>
    <w:rsid w:val="00A32888"/>
    <w:rsid w:val="00A33333"/>
    <w:rsid w:val="00A34BB7"/>
    <w:rsid w:val="00A3534E"/>
    <w:rsid w:val="00A35CBA"/>
    <w:rsid w:val="00A36062"/>
    <w:rsid w:val="00A40F53"/>
    <w:rsid w:val="00A41344"/>
    <w:rsid w:val="00A45262"/>
    <w:rsid w:val="00A46049"/>
    <w:rsid w:val="00A464C8"/>
    <w:rsid w:val="00A46851"/>
    <w:rsid w:val="00A50972"/>
    <w:rsid w:val="00A51D4F"/>
    <w:rsid w:val="00A53AFB"/>
    <w:rsid w:val="00A5431C"/>
    <w:rsid w:val="00A55230"/>
    <w:rsid w:val="00A554EE"/>
    <w:rsid w:val="00A55F1C"/>
    <w:rsid w:val="00A5774F"/>
    <w:rsid w:val="00A6170D"/>
    <w:rsid w:val="00A62660"/>
    <w:rsid w:val="00A62695"/>
    <w:rsid w:val="00A66A8C"/>
    <w:rsid w:val="00A66B6D"/>
    <w:rsid w:val="00A70C03"/>
    <w:rsid w:val="00A718B8"/>
    <w:rsid w:val="00A7259F"/>
    <w:rsid w:val="00A72EFF"/>
    <w:rsid w:val="00A73693"/>
    <w:rsid w:val="00A7441F"/>
    <w:rsid w:val="00A7472E"/>
    <w:rsid w:val="00A74AFF"/>
    <w:rsid w:val="00A80EF9"/>
    <w:rsid w:val="00A813F0"/>
    <w:rsid w:val="00A832B8"/>
    <w:rsid w:val="00A84514"/>
    <w:rsid w:val="00A85AE4"/>
    <w:rsid w:val="00A874D3"/>
    <w:rsid w:val="00A90C6F"/>
    <w:rsid w:val="00A92047"/>
    <w:rsid w:val="00A938B0"/>
    <w:rsid w:val="00A952B4"/>
    <w:rsid w:val="00A957FF"/>
    <w:rsid w:val="00A9700F"/>
    <w:rsid w:val="00A9725B"/>
    <w:rsid w:val="00A9744E"/>
    <w:rsid w:val="00AA14B5"/>
    <w:rsid w:val="00AA21A6"/>
    <w:rsid w:val="00AA29F8"/>
    <w:rsid w:val="00AA2EA6"/>
    <w:rsid w:val="00AA44E0"/>
    <w:rsid w:val="00AA69E3"/>
    <w:rsid w:val="00AB005B"/>
    <w:rsid w:val="00AB116D"/>
    <w:rsid w:val="00AB31BD"/>
    <w:rsid w:val="00AB3430"/>
    <w:rsid w:val="00AB4B09"/>
    <w:rsid w:val="00AC0E53"/>
    <w:rsid w:val="00AC3C1B"/>
    <w:rsid w:val="00AC4214"/>
    <w:rsid w:val="00AC4EE4"/>
    <w:rsid w:val="00AC5DF7"/>
    <w:rsid w:val="00AD264B"/>
    <w:rsid w:val="00AD278B"/>
    <w:rsid w:val="00AD5A86"/>
    <w:rsid w:val="00AD705F"/>
    <w:rsid w:val="00AE1E44"/>
    <w:rsid w:val="00AE296C"/>
    <w:rsid w:val="00AE3095"/>
    <w:rsid w:val="00AE355C"/>
    <w:rsid w:val="00AE498C"/>
    <w:rsid w:val="00AE4D1A"/>
    <w:rsid w:val="00AE4E56"/>
    <w:rsid w:val="00AE5B49"/>
    <w:rsid w:val="00AF2E95"/>
    <w:rsid w:val="00AF32C4"/>
    <w:rsid w:val="00AF4489"/>
    <w:rsid w:val="00AF47D9"/>
    <w:rsid w:val="00B00E02"/>
    <w:rsid w:val="00B01AAB"/>
    <w:rsid w:val="00B01B34"/>
    <w:rsid w:val="00B036F4"/>
    <w:rsid w:val="00B05F03"/>
    <w:rsid w:val="00B06C97"/>
    <w:rsid w:val="00B07F41"/>
    <w:rsid w:val="00B10BDC"/>
    <w:rsid w:val="00B127F8"/>
    <w:rsid w:val="00B12D1C"/>
    <w:rsid w:val="00B14ECB"/>
    <w:rsid w:val="00B1503B"/>
    <w:rsid w:val="00B1623A"/>
    <w:rsid w:val="00B223AC"/>
    <w:rsid w:val="00B23ADB"/>
    <w:rsid w:val="00B24F13"/>
    <w:rsid w:val="00B2791C"/>
    <w:rsid w:val="00B30989"/>
    <w:rsid w:val="00B317E0"/>
    <w:rsid w:val="00B31F1E"/>
    <w:rsid w:val="00B351A0"/>
    <w:rsid w:val="00B36E58"/>
    <w:rsid w:val="00B375FA"/>
    <w:rsid w:val="00B37F06"/>
    <w:rsid w:val="00B406B6"/>
    <w:rsid w:val="00B410EE"/>
    <w:rsid w:val="00B412A4"/>
    <w:rsid w:val="00B4264A"/>
    <w:rsid w:val="00B44794"/>
    <w:rsid w:val="00B457FC"/>
    <w:rsid w:val="00B46A6E"/>
    <w:rsid w:val="00B47A17"/>
    <w:rsid w:val="00B50D61"/>
    <w:rsid w:val="00B5216C"/>
    <w:rsid w:val="00B535A0"/>
    <w:rsid w:val="00B54902"/>
    <w:rsid w:val="00B575D5"/>
    <w:rsid w:val="00B57B0E"/>
    <w:rsid w:val="00B60EE1"/>
    <w:rsid w:val="00B6130C"/>
    <w:rsid w:val="00B62F8F"/>
    <w:rsid w:val="00B63AE0"/>
    <w:rsid w:val="00B70E14"/>
    <w:rsid w:val="00B75231"/>
    <w:rsid w:val="00B767EE"/>
    <w:rsid w:val="00B80CC9"/>
    <w:rsid w:val="00B81353"/>
    <w:rsid w:val="00B830F5"/>
    <w:rsid w:val="00B8420D"/>
    <w:rsid w:val="00B86ED9"/>
    <w:rsid w:val="00B906C1"/>
    <w:rsid w:val="00B908A5"/>
    <w:rsid w:val="00B90EAB"/>
    <w:rsid w:val="00B92D5D"/>
    <w:rsid w:val="00B94D33"/>
    <w:rsid w:val="00B9510B"/>
    <w:rsid w:val="00B97055"/>
    <w:rsid w:val="00BA0012"/>
    <w:rsid w:val="00BA2FE8"/>
    <w:rsid w:val="00BA3E5E"/>
    <w:rsid w:val="00BA5132"/>
    <w:rsid w:val="00BA5C1C"/>
    <w:rsid w:val="00BA6CF7"/>
    <w:rsid w:val="00BB100C"/>
    <w:rsid w:val="00BB27C4"/>
    <w:rsid w:val="00BB3082"/>
    <w:rsid w:val="00BB4D50"/>
    <w:rsid w:val="00BB4E7A"/>
    <w:rsid w:val="00BB60E5"/>
    <w:rsid w:val="00BB68BD"/>
    <w:rsid w:val="00BB7109"/>
    <w:rsid w:val="00BC059B"/>
    <w:rsid w:val="00BC28D5"/>
    <w:rsid w:val="00BC4F6E"/>
    <w:rsid w:val="00BC5122"/>
    <w:rsid w:val="00BC5346"/>
    <w:rsid w:val="00BC5847"/>
    <w:rsid w:val="00BC5FA3"/>
    <w:rsid w:val="00BD0171"/>
    <w:rsid w:val="00BD035A"/>
    <w:rsid w:val="00BD1441"/>
    <w:rsid w:val="00BD29FE"/>
    <w:rsid w:val="00BD45ED"/>
    <w:rsid w:val="00BD6250"/>
    <w:rsid w:val="00BD7D95"/>
    <w:rsid w:val="00BE017C"/>
    <w:rsid w:val="00BE4B80"/>
    <w:rsid w:val="00BE507F"/>
    <w:rsid w:val="00BE5A71"/>
    <w:rsid w:val="00BE65CD"/>
    <w:rsid w:val="00BE6D21"/>
    <w:rsid w:val="00BE7B81"/>
    <w:rsid w:val="00BF0CC2"/>
    <w:rsid w:val="00BF3CA8"/>
    <w:rsid w:val="00BF47B1"/>
    <w:rsid w:val="00BF4C85"/>
    <w:rsid w:val="00BF7087"/>
    <w:rsid w:val="00BF7DA6"/>
    <w:rsid w:val="00C00594"/>
    <w:rsid w:val="00C01F06"/>
    <w:rsid w:val="00C0425E"/>
    <w:rsid w:val="00C0473E"/>
    <w:rsid w:val="00C05B33"/>
    <w:rsid w:val="00C05DDD"/>
    <w:rsid w:val="00C06603"/>
    <w:rsid w:val="00C067E1"/>
    <w:rsid w:val="00C07C7B"/>
    <w:rsid w:val="00C10368"/>
    <w:rsid w:val="00C12197"/>
    <w:rsid w:val="00C12FF8"/>
    <w:rsid w:val="00C158D1"/>
    <w:rsid w:val="00C161BC"/>
    <w:rsid w:val="00C1734E"/>
    <w:rsid w:val="00C22267"/>
    <w:rsid w:val="00C250AF"/>
    <w:rsid w:val="00C2686B"/>
    <w:rsid w:val="00C30A1E"/>
    <w:rsid w:val="00C310D9"/>
    <w:rsid w:val="00C332F2"/>
    <w:rsid w:val="00C33A09"/>
    <w:rsid w:val="00C43517"/>
    <w:rsid w:val="00C44C47"/>
    <w:rsid w:val="00C47BCD"/>
    <w:rsid w:val="00C47C3F"/>
    <w:rsid w:val="00C47F7E"/>
    <w:rsid w:val="00C5051C"/>
    <w:rsid w:val="00C52B35"/>
    <w:rsid w:val="00C5601B"/>
    <w:rsid w:val="00C56A2E"/>
    <w:rsid w:val="00C571F9"/>
    <w:rsid w:val="00C6523B"/>
    <w:rsid w:val="00C658FC"/>
    <w:rsid w:val="00C6760A"/>
    <w:rsid w:val="00C70A94"/>
    <w:rsid w:val="00C72EBC"/>
    <w:rsid w:val="00C752BA"/>
    <w:rsid w:val="00C75A74"/>
    <w:rsid w:val="00C83B66"/>
    <w:rsid w:val="00C86175"/>
    <w:rsid w:val="00C863ED"/>
    <w:rsid w:val="00C86A31"/>
    <w:rsid w:val="00C90EF4"/>
    <w:rsid w:val="00C9552F"/>
    <w:rsid w:val="00C96266"/>
    <w:rsid w:val="00C96679"/>
    <w:rsid w:val="00C969F2"/>
    <w:rsid w:val="00CA1316"/>
    <w:rsid w:val="00CA5B03"/>
    <w:rsid w:val="00CA6964"/>
    <w:rsid w:val="00CA6FAB"/>
    <w:rsid w:val="00CA6FD7"/>
    <w:rsid w:val="00CA78D7"/>
    <w:rsid w:val="00CA7B6C"/>
    <w:rsid w:val="00CA7DD9"/>
    <w:rsid w:val="00CB086F"/>
    <w:rsid w:val="00CB18A3"/>
    <w:rsid w:val="00CB363E"/>
    <w:rsid w:val="00CB4056"/>
    <w:rsid w:val="00CC01BB"/>
    <w:rsid w:val="00CC0FC0"/>
    <w:rsid w:val="00CC135A"/>
    <w:rsid w:val="00CC1616"/>
    <w:rsid w:val="00CC21D1"/>
    <w:rsid w:val="00CC494C"/>
    <w:rsid w:val="00CC7740"/>
    <w:rsid w:val="00CD1FE6"/>
    <w:rsid w:val="00CD34D1"/>
    <w:rsid w:val="00CD4AAC"/>
    <w:rsid w:val="00CD6D89"/>
    <w:rsid w:val="00CE14E9"/>
    <w:rsid w:val="00CE2B01"/>
    <w:rsid w:val="00CE362E"/>
    <w:rsid w:val="00CE4745"/>
    <w:rsid w:val="00CE6756"/>
    <w:rsid w:val="00CF0D16"/>
    <w:rsid w:val="00CF1C5D"/>
    <w:rsid w:val="00CF327B"/>
    <w:rsid w:val="00CF7699"/>
    <w:rsid w:val="00CF77D9"/>
    <w:rsid w:val="00CF7A99"/>
    <w:rsid w:val="00D0041E"/>
    <w:rsid w:val="00D02D81"/>
    <w:rsid w:val="00D03BBA"/>
    <w:rsid w:val="00D10E97"/>
    <w:rsid w:val="00D10F12"/>
    <w:rsid w:val="00D11E6C"/>
    <w:rsid w:val="00D11EAF"/>
    <w:rsid w:val="00D12159"/>
    <w:rsid w:val="00D13BB4"/>
    <w:rsid w:val="00D1451B"/>
    <w:rsid w:val="00D14FA5"/>
    <w:rsid w:val="00D169B7"/>
    <w:rsid w:val="00D177F8"/>
    <w:rsid w:val="00D2057B"/>
    <w:rsid w:val="00D20EBD"/>
    <w:rsid w:val="00D21AF3"/>
    <w:rsid w:val="00D23C8A"/>
    <w:rsid w:val="00D23F97"/>
    <w:rsid w:val="00D27140"/>
    <w:rsid w:val="00D278C4"/>
    <w:rsid w:val="00D27FBE"/>
    <w:rsid w:val="00D30A60"/>
    <w:rsid w:val="00D31CBD"/>
    <w:rsid w:val="00D32B42"/>
    <w:rsid w:val="00D32F89"/>
    <w:rsid w:val="00D3327F"/>
    <w:rsid w:val="00D35821"/>
    <w:rsid w:val="00D360AC"/>
    <w:rsid w:val="00D371B1"/>
    <w:rsid w:val="00D4180A"/>
    <w:rsid w:val="00D46B65"/>
    <w:rsid w:val="00D509A2"/>
    <w:rsid w:val="00D53ABF"/>
    <w:rsid w:val="00D55190"/>
    <w:rsid w:val="00D57437"/>
    <w:rsid w:val="00D5769D"/>
    <w:rsid w:val="00D603EB"/>
    <w:rsid w:val="00D6180A"/>
    <w:rsid w:val="00D61E62"/>
    <w:rsid w:val="00D624D6"/>
    <w:rsid w:val="00D64387"/>
    <w:rsid w:val="00D67F24"/>
    <w:rsid w:val="00D71594"/>
    <w:rsid w:val="00D72E8E"/>
    <w:rsid w:val="00D73375"/>
    <w:rsid w:val="00D748EC"/>
    <w:rsid w:val="00D74C6F"/>
    <w:rsid w:val="00D76899"/>
    <w:rsid w:val="00D8174F"/>
    <w:rsid w:val="00D81D69"/>
    <w:rsid w:val="00D8354F"/>
    <w:rsid w:val="00D84982"/>
    <w:rsid w:val="00D860BF"/>
    <w:rsid w:val="00D9113D"/>
    <w:rsid w:val="00D92D70"/>
    <w:rsid w:val="00D92EC0"/>
    <w:rsid w:val="00D94959"/>
    <w:rsid w:val="00D94B19"/>
    <w:rsid w:val="00D94B4D"/>
    <w:rsid w:val="00D964A9"/>
    <w:rsid w:val="00DA06CB"/>
    <w:rsid w:val="00DA3DE8"/>
    <w:rsid w:val="00DA4912"/>
    <w:rsid w:val="00DA4D96"/>
    <w:rsid w:val="00DA636C"/>
    <w:rsid w:val="00DA6424"/>
    <w:rsid w:val="00DA6E2F"/>
    <w:rsid w:val="00DB0FA7"/>
    <w:rsid w:val="00DB1B00"/>
    <w:rsid w:val="00DB1DFB"/>
    <w:rsid w:val="00DB2756"/>
    <w:rsid w:val="00DB299F"/>
    <w:rsid w:val="00DB2FF0"/>
    <w:rsid w:val="00DB42E2"/>
    <w:rsid w:val="00DB550C"/>
    <w:rsid w:val="00DB5B0C"/>
    <w:rsid w:val="00DB5E63"/>
    <w:rsid w:val="00DB77FE"/>
    <w:rsid w:val="00DC15DE"/>
    <w:rsid w:val="00DC17BD"/>
    <w:rsid w:val="00DC194C"/>
    <w:rsid w:val="00DC1FDE"/>
    <w:rsid w:val="00DC312A"/>
    <w:rsid w:val="00DC37B0"/>
    <w:rsid w:val="00DC3A64"/>
    <w:rsid w:val="00DC42FB"/>
    <w:rsid w:val="00DC43A7"/>
    <w:rsid w:val="00DD1EA6"/>
    <w:rsid w:val="00DD209B"/>
    <w:rsid w:val="00DD227B"/>
    <w:rsid w:val="00DD4B7C"/>
    <w:rsid w:val="00DD5121"/>
    <w:rsid w:val="00DD678D"/>
    <w:rsid w:val="00DD68FD"/>
    <w:rsid w:val="00DE4F1B"/>
    <w:rsid w:val="00DE6D93"/>
    <w:rsid w:val="00DE6EA3"/>
    <w:rsid w:val="00DE6F37"/>
    <w:rsid w:val="00DE7DB0"/>
    <w:rsid w:val="00DF044A"/>
    <w:rsid w:val="00DF3092"/>
    <w:rsid w:val="00E0179B"/>
    <w:rsid w:val="00E04731"/>
    <w:rsid w:val="00E04F6F"/>
    <w:rsid w:val="00E06045"/>
    <w:rsid w:val="00E06384"/>
    <w:rsid w:val="00E07CB9"/>
    <w:rsid w:val="00E07E9A"/>
    <w:rsid w:val="00E1109C"/>
    <w:rsid w:val="00E12A1F"/>
    <w:rsid w:val="00E13359"/>
    <w:rsid w:val="00E13A2A"/>
    <w:rsid w:val="00E13F98"/>
    <w:rsid w:val="00E14ECF"/>
    <w:rsid w:val="00E151A6"/>
    <w:rsid w:val="00E15EFD"/>
    <w:rsid w:val="00E17924"/>
    <w:rsid w:val="00E17C3F"/>
    <w:rsid w:val="00E2000A"/>
    <w:rsid w:val="00E20845"/>
    <w:rsid w:val="00E2248E"/>
    <w:rsid w:val="00E2650F"/>
    <w:rsid w:val="00E27324"/>
    <w:rsid w:val="00E27A28"/>
    <w:rsid w:val="00E3092B"/>
    <w:rsid w:val="00E3156D"/>
    <w:rsid w:val="00E31E9F"/>
    <w:rsid w:val="00E35D01"/>
    <w:rsid w:val="00E36093"/>
    <w:rsid w:val="00E41974"/>
    <w:rsid w:val="00E42F65"/>
    <w:rsid w:val="00E45947"/>
    <w:rsid w:val="00E46127"/>
    <w:rsid w:val="00E46277"/>
    <w:rsid w:val="00E51EA6"/>
    <w:rsid w:val="00E522E8"/>
    <w:rsid w:val="00E531E4"/>
    <w:rsid w:val="00E54C56"/>
    <w:rsid w:val="00E54C73"/>
    <w:rsid w:val="00E63AE9"/>
    <w:rsid w:val="00E65EBE"/>
    <w:rsid w:val="00E67E75"/>
    <w:rsid w:val="00E70263"/>
    <w:rsid w:val="00E70317"/>
    <w:rsid w:val="00E711AF"/>
    <w:rsid w:val="00E7132A"/>
    <w:rsid w:val="00E71FAF"/>
    <w:rsid w:val="00E751BF"/>
    <w:rsid w:val="00E75DB7"/>
    <w:rsid w:val="00E76091"/>
    <w:rsid w:val="00E7637B"/>
    <w:rsid w:val="00E76E60"/>
    <w:rsid w:val="00E809A0"/>
    <w:rsid w:val="00E812A2"/>
    <w:rsid w:val="00E81E73"/>
    <w:rsid w:val="00E821CE"/>
    <w:rsid w:val="00E826BF"/>
    <w:rsid w:val="00E82C85"/>
    <w:rsid w:val="00E82F4C"/>
    <w:rsid w:val="00E84BB1"/>
    <w:rsid w:val="00E853C9"/>
    <w:rsid w:val="00E87236"/>
    <w:rsid w:val="00E877DC"/>
    <w:rsid w:val="00E9337B"/>
    <w:rsid w:val="00E973B0"/>
    <w:rsid w:val="00EA0014"/>
    <w:rsid w:val="00EA0A2B"/>
    <w:rsid w:val="00EA1FB0"/>
    <w:rsid w:val="00EA4611"/>
    <w:rsid w:val="00EA71FF"/>
    <w:rsid w:val="00EB0865"/>
    <w:rsid w:val="00EB10E0"/>
    <w:rsid w:val="00EB18DF"/>
    <w:rsid w:val="00EB51A1"/>
    <w:rsid w:val="00EB528C"/>
    <w:rsid w:val="00EB601C"/>
    <w:rsid w:val="00EB778D"/>
    <w:rsid w:val="00EC130F"/>
    <w:rsid w:val="00EC22F5"/>
    <w:rsid w:val="00EC2C9B"/>
    <w:rsid w:val="00EC3341"/>
    <w:rsid w:val="00EC3546"/>
    <w:rsid w:val="00EC3767"/>
    <w:rsid w:val="00EC475F"/>
    <w:rsid w:val="00EC5E20"/>
    <w:rsid w:val="00EC6723"/>
    <w:rsid w:val="00EC6A25"/>
    <w:rsid w:val="00EC6F83"/>
    <w:rsid w:val="00EC727B"/>
    <w:rsid w:val="00EC7522"/>
    <w:rsid w:val="00EC77D0"/>
    <w:rsid w:val="00ED04F8"/>
    <w:rsid w:val="00ED226A"/>
    <w:rsid w:val="00ED2D6E"/>
    <w:rsid w:val="00ED39F3"/>
    <w:rsid w:val="00ED4CDB"/>
    <w:rsid w:val="00ED55C0"/>
    <w:rsid w:val="00ED690D"/>
    <w:rsid w:val="00ED6D79"/>
    <w:rsid w:val="00EE090B"/>
    <w:rsid w:val="00EE12F5"/>
    <w:rsid w:val="00EE1E2E"/>
    <w:rsid w:val="00EE32A0"/>
    <w:rsid w:val="00EE6B6E"/>
    <w:rsid w:val="00EF03A5"/>
    <w:rsid w:val="00EF2BE1"/>
    <w:rsid w:val="00EF5F29"/>
    <w:rsid w:val="00EF6029"/>
    <w:rsid w:val="00F00921"/>
    <w:rsid w:val="00F00E4F"/>
    <w:rsid w:val="00F0457C"/>
    <w:rsid w:val="00F04AFE"/>
    <w:rsid w:val="00F067EE"/>
    <w:rsid w:val="00F07965"/>
    <w:rsid w:val="00F11042"/>
    <w:rsid w:val="00F1144C"/>
    <w:rsid w:val="00F1469F"/>
    <w:rsid w:val="00F172B9"/>
    <w:rsid w:val="00F17ADB"/>
    <w:rsid w:val="00F21DEC"/>
    <w:rsid w:val="00F22A1C"/>
    <w:rsid w:val="00F24DF3"/>
    <w:rsid w:val="00F26BCD"/>
    <w:rsid w:val="00F3095B"/>
    <w:rsid w:val="00F30EF1"/>
    <w:rsid w:val="00F31ADB"/>
    <w:rsid w:val="00F32B85"/>
    <w:rsid w:val="00F32D22"/>
    <w:rsid w:val="00F34F65"/>
    <w:rsid w:val="00F41A3A"/>
    <w:rsid w:val="00F41DAA"/>
    <w:rsid w:val="00F4203B"/>
    <w:rsid w:val="00F5055A"/>
    <w:rsid w:val="00F51928"/>
    <w:rsid w:val="00F52458"/>
    <w:rsid w:val="00F52CBC"/>
    <w:rsid w:val="00F55E44"/>
    <w:rsid w:val="00F60DBD"/>
    <w:rsid w:val="00F65B66"/>
    <w:rsid w:val="00F721A3"/>
    <w:rsid w:val="00F72EF9"/>
    <w:rsid w:val="00F80A1B"/>
    <w:rsid w:val="00F815BC"/>
    <w:rsid w:val="00F8269D"/>
    <w:rsid w:val="00F84298"/>
    <w:rsid w:val="00F86BBE"/>
    <w:rsid w:val="00F87743"/>
    <w:rsid w:val="00F87F87"/>
    <w:rsid w:val="00F935B0"/>
    <w:rsid w:val="00F95E99"/>
    <w:rsid w:val="00FA0948"/>
    <w:rsid w:val="00FA1441"/>
    <w:rsid w:val="00FA22D9"/>
    <w:rsid w:val="00FA5603"/>
    <w:rsid w:val="00FA65DD"/>
    <w:rsid w:val="00FA692D"/>
    <w:rsid w:val="00FA6B25"/>
    <w:rsid w:val="00FA7184"/>
    <w:rsid w:val="00FA7D8F"/>
    <w:rsid w:val="00FA7FA7"/>
    <w:rsid w:val="00FB067F"/>
    <w:rsid w:val="00FB1A65"/>
    <w:rsid w:val="00FB1D19"/>
    <w:rsid w:val="00FB2400"/>
    <w:rsid w:val="00FB4158"/>
    <w:rsid w:val="00FB4425"/>
    <w:rsid w:val="00FB76BD"/>
    <w:rsid w:val="00FC02FF"/>
    <w:rsid w:val="00FC1355"/>
    <w:rsid w:val="00FC2529"/>
    <w:rsid w:val="00FC3279"/>
    <w:rsid w:val="00FC53A7"/>
    <w:rsid w:val="00FC74D4"/>
    <w:rsid w:val="00FC76C3"/>
    <w:rsid w:val="00FD081A"/>
    <w:rsid w:val="00FD0828"/>
    <w:rsid w:val="00FD0EDC"/>
    <w:rsid w:val="00FD1D7D"/>
    <w:rsid w:val="00FD3A27"/>
    <w:rsid w:val="00FD511F"/>
    <w:rsid w:val="00FD5CC1"/>
    <w:rsid w:val="00FE0F1D"/>
    <w:rsid w:val="00FE318B"/>
    <w:rsid w:val="00FE320E"/>
    <w:rsid w:val="00FE3D6F"/>
    <w:rsid w:val="00FE4870"/>
    <w:rsid w:val="00FE4D78"/>
    <w:rsid w:val="00FE5666"/>
    <w:rsid w:val="00FE5CEC"/>
    <w:rsid w:val="00FE79B1"/>
    <w:rsid w:val="00FF17EE"/>
    <w:rsid w:val="00FF32B6"/>
    <w:rsid w:val="00FF33FF"/>
    <w:rsid w:val="00FF3C01"/>
    <w:rsid w:val="00FF62F1"/>
    <w:rsid w:val="00FF709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2EFD7"/>
  <w15:docId w15:val="{EEE2C466-C614-49AB-9AF5-D5D5D0A2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8A3"/>
  </w:style>
  <w:style w:type="paragraph" w:styleId="Titre3">
    <w:name w:val="heading 3"/>
    <w:basedOn w:val="Normal"/>
    <w:link w:val="Titre3Car"/>
    <w:uiPriority w:val="9"/>
    <w:qFormat/>
    <w:rsid w:val="00D46B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next w:val="Normal"/>
    <w:link w:val="Titre4Car"/>
    <w:uiPriority w:val="9"/>
    <w:semiHidden/>
    <w:unhideWhenUsed/>
    <w:qFormat/>
    <w:rsid w:val="00E51EA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47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470376"/>
    <w:pPr>
      <w:numPr>
        <w:numId w:val="1"/>
      </w:numPr>
      <w:contextualSpacing/>
    </w:pPr>
  </w:style>
  <w:style w:type="paragraph" w:styleId="Explorateurdedocuments">
    <w:name w:val="Document Map"/>
    <w:basedOn w:val="Normal"/>
    <w:link w:val="ExplorateurdedocumentsCar"/>
    <w:uiPriority w:val="99"/>
    <w:semiHidden/>
    <w:unhideWhenUsed/>
    <w:rsid w:val="00BB27C4"/>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BB27C4"/>
    <w:rPr>
      <w:rFonts w:ascii="Tahoma" w:hAnsi="Tahoma" w:cs="Tahoma"/>
      <w:sz w:val="16"/>
      <w:szCs w:val="16"/>
    </w:rPr>
  </w:style>
  <w:style w:type="paragraph" w:styleId="Sansinterligne">
    <w:name w:val="No Spacing"/>
    <w:uiPriority w:val="1"/>
    <w:qFormat/>
    <w:rsid w:val="00324222"/>
    <w:pPr>
      <w:spacing w:after="0" w:line="240" w:lineRule="auto"/>
    </w:pPr>
  </w:style>
  <w:style w:type="paragraph" w:styleId="Textedebulles">
    <w:name w:val="Balloon Text"/>
    <w:basedOn w:val="Normal"/>
    <w:link w:val="TextedebullesCar"/>
    <w:uiPriority w:val="99"/>
    <w:semiHidden/>
    <w:unhideWhenUsed/>
    <w:rsid w:val="002F0D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0D02"/>
    <w:rPr>
      <w:rFonts w:ascii="Segoe UI" w:hAnsi="Segoe UI" w:cs="Segoe UI"/>
      <w:sz w:val="18"/>
      <w:szCs w:val="18"/>
    </w:rPr>
  </w:style>
  <w:style w:type="character" w:styleId="Marquedecommentaire">
    <w:name w:val="annotation reference"/>
    <w:basedOn w:val="Policepardfaut"/>
    <w:uiPriority w:val="99"/>
    <w:semiHidden/>
    <w:unhideWhenUsed/>
    <w:rsid w:val="00D31CBD"/>
    <w:rPr>
      <w:sz w:val="16"/>
      <w:szCs w:val="16"/>
    </w:rPr>
  </w:style>
  <w:style w:type="paragraph" w:styleId="Commentaire">
    <w:name w:val="annotation text"/>
    <w:basedOn w:val="Normal"/>
    <w:link w:val="CommentaireCar"/>
    <w:uiPriority w:val="99"/>
    <w:unhideWhenUsed/>
    <w:rsid w:val="00D31CBD"/>
    <w:pPr>
      <w:spacing w:line="240" w:lineRule="auto"/>
    </w:pPr>
    <w:rPr>
      <w:sz w:val="20"/>
      <w:szCs w:val="20"/>
    </w:rPr>
  </w:style>
  <w:style w:type="character" w:customStyle="1" w:styleId="CommentaireCar">
    <w:name w:val="Commentaire Car"/>
    <w:basedOn w:val="Policepardfaut"/>
    <w:link w:val="Commentaire"/>
    <w:uiPriority w:val="99"/>
    <w:rsid w:val="00D31CBD"/>
    <w:rPr>
      <w:sz w:val="20"/>
      <w:szCs w:val="20"/>
    </w:rPr>
  </w:style>
  <w:style w:type="paragraph" w:styleId="Objetducommentaire">
    <w:name w:val="annotation subject"/>
    <w:basedOn w:val="Commentaire"/>
    <w:next w:val="Commentaire"/>
    <w:link w:val="ObjetducommentaireCar"/>
    <w:uiPriority w:val="99"/>
    <w:semiHidden/>
    <w:unhideWhenUsed/>
    <w:rsid w:val="00D31CBD"/>
    <w:rPr>
      <w:b/>
      <w:bCs/>
    </w:rPr>
  </w:style>
  <w:style w:type="character" w:customStyle="1" w:styleId="ObjetducommentaireCar">
    <w:name w:val="Objet du commentaire Car"/>
    <w:basedOn w:val="CommentaireCar"/>
    <w:link w:val="Objetducommentaire"/>
    <w:uiPriority w:val="99"/>
    <w:semiHidden/>
    <w:rsid w:val="00D31CBD"/>
    <w:rPr>
      <w:b/>
      <w:bCs/>
      <w:sz w:val="20"/>
      <w:szCs w:val="20"/>
    </w:rPr>
  </w:style>
  <w:style w:type="paragraph" w:styleId="Paragraphedeliste">
    <w:name w:val="List Paragraph"/>
    <w:aliases w:val="Liste 1,Aufzählung Spiegelstrich,Dot pt,F5 List Paragraph,List Paragraph1,Colorful List - Accent 11,No Spacing1,List Paragraph Char Char Char,Indicator Text,Numbered Para 1,Bullet 1,Bullet Points,List Paragraph2,MAIN CONTENT,Bullets"/>
    <w:basedOn w:val="Normal"/>
    <w:link w:val="ParagraphedelisteCar"/>
    <w:uiPriority w:val="34"/>
    <w:qFormat/>
    <w:rsid w:val="004514C1"/>
    <w:pPr>
      <w:ind w:left="720"/>
      <w:contextualSpacing/>
    </w:pPr>
  </w:style>
  <w:style w:type="character" w:customStyle="1" w:styleId="fontstyle01">
    <w:name w:val="fontstyle01"/>
    <w:basedOn w:val="Policepardfaut"/>
    <w:rsid w:val="006063F0"/>
    <w:rPr>
      <w:rFonts w:ascii="Tw Cen MT" w:hAnsi="Tw Cen MT" w:hint="default"/>
      <w:b w:val="0"/>
      <w:bCs w:val="0"/>
      <w:i w:val="0"/>
      <w:iCs w:val="0"/>
      <w:color w:val="000000"/>
      <w:sz w:val="32"/>
      <w:szCs w:val="32"/>
    </w:rPr>
  </w:style>
  <w:style w:type="character" w:customStyle="1" w:styleId="fontstyle21">
    <w:name w:val="fontstyle21"/>
    <w:basedOn w:val="Policepardfaut"/>
    <w:rsid w:val="006063F0"/>
    <w:rPr>
      <w:rFonts w:ascii="Cambria" w:hAnsi="Cambria" w:hint="default"/>
      <w:b w:val="0"/>
      <w:bCs w:val="0"/>
      <w:i w:val="0"/>
      <w:iCs w:val="0"/>
      <w:color w:val="000000"/>
      <w:sz w:val="24"/>
      <w:szCs w:val="24"/>
    </w:rPr>
  </w:style>
  <w:style w:type="character" w:customStyle="1" w:styleId="fontstyle31">
    <w:name w:val="fontstyle31"/>
    <w:basedOn w:val="Policepardfaut"/>
    <w:rsid w:val="006063F0"/>
    <w:rPr>
      <w:rFonts w:ascii="Garamond" w:hAnsi="Garamond" w:hint="default"/>
      <w:b/>
      <w:bCs/>
      <w:i w:val="0"/>
      <w:iCs w:val="0"/>
      <w:color w:val="000000"/>
      <w:sz w:val="24"/>
      <w:szCs w:val="24"/>
    </w:rPr>
  </w:style>
  <w:style w:type="paragraph" w:customStyle="1" w:styleId="Default">
    <w:name w:val="Default"/>
    <w:rsid w:val="00CE4745"/>
    <w:pPr>
      <w:autoSpaceDE w:val="0"/>
      <w:autoSpaceDN w:val="0"/>
      <w:adjustRightInd w:val="0"/>
      <w:spacing w:after="0" w:line="240" w:lineRule="auto"/>
    </w:pPr>
    <w:rPr>
      <w:rFonts w:ascii="Cambria" w:hAnsi="Cambria" w:cs="Cambria"/>
      <w:color w:val="000000"/>
      <w:sz w:val="24"/>
      <w:szCs w:val="24"/>
    </w:rPr>
  </w:style>
  <w:style w:type="character" w:customStyle="1" w:styleId="Titre3Car">
    <w:name w:val="Titre 3 Car"/>
    <w:basedOn w:val="Policepardfaut"/>
    <w:link w:val="Titre3"/>
    <w:uiPriority w:val="9"/>
    <w:rsid w:val="00D46B65"/>
    <w:rPr>
      <w:rFonts w:ascii="Times New Roman" w:eastAsia="Times New Roman" w:hAnsi="Times New Roman" w:cs="Times New Roman"/>
      <w:b/>
      <w:bCs/>
      <w:sz w:val="27"/>
      <w:szCs w:val="27"/>
    </w:rPr>
  </w:style>
  <w:style w:type="paragraph" w:styleId="NormalWeb">
    <w:name w:val="Normal (Web)"/>
    <w:basedOn w:val="Normal"/>
    <w:uiPriority w:val="99"/>
    <w:unhideWhenUsed/>
    <w:rsid w:val="00D46B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edelisteCar">
    <w:name w:val="Paragraphe de liste Car"/>
    <w:aliases w:val="Liste 1 Car,Aufzählung Spiegelstrich Car,Dot pt Car,F5 List Paragraph Car,List Paragraph1 Car,Colorful List - Accent 11 Car,No Spacing1 Car,List Paragraph Char Char Char Car,Indicator Text Car,Numbered Para 1 Car,Bullet 1 Car"/>
    <w:link w:val="Paragraphedeliste"/>
    <w:uiPriority w:val="34"/>
    <w:locked/>
    <w:rsid w:val="00D46B65"/>
  </w:style>
  <w:style w:type="paragraph" w:styleId="Notedebasdepage">
    <w:name w:val="footnote text"/>
    <w:aliases w:val="FOOTNOTES,fn,single space,footnote text,Char Char Char,Char Char"/>
    <w:basedOn w:val="Normal"/>
    <w:link w:val="NotedebasdepageCar"/>
    <w:rsid w:val="00D46B65"/>
    <w:pPr>
      <w:spacing w:after="0" w:line="240" w:lineRule="auto"/>
    </w:pPr>
    <w:rPr>
      <w:rFonts w:ascii="Calibri" w:eastAsia="ヒラギノ角ゴ Pro W3" w:hAnsi="Calibri" w:cs="Times New Roman"/>
      <w:color w:val="000000"/>
      <w:sz w:val="20"/>
      <w:szCs w:val="20"/>
      <w:lang w:val="en-GB" w:eastAsia="en-US"/>
    </w:rPr>
  </w:style>
  <w:style w:type="character" w:customStyle="1" w:styleId="NotedebasdepageCar">
    <w:name w:val="Note de bas de page Car"/>
    <w:aliases w:val="FOOTNOTES Car,fn Car,single space Car,footnote text Car,Char Char Char Car,Char Char Car"/>
    <w:basedOn w:val="Policepardfaut"/>
    <w:link w:val="Notedebasdepage"/>
    <w:rsid w:val="00D46B65"/>
    <w:rPr>
      <w:rFonts w:ascii="Calibri" w:eastAsia="ヒラギノ角ゴ Pro W3" w:hAnsi="Calibri" w:cs="Times New Roman"/>
      <w:color w:val="000000"/>
      <w:sz w:val="20"/>
      <w:szCs w:val="20"/>
      <w:lang w:val="en-GB" w:eastAsia="en-US"/>
    </w:rPr>
  </w:style>
  <w:style w:type="character" w:styleId="Appelnotedebasdep">
    <w:name w:val="footnote reference"/>
    <w:aliases w:val="Error-Fußnotenzeichen5,Error-Fußnotenzeichen6,Error-Fußnotenzeichen3"/>
    <w:uiPriority w:val="99"/>
    <w:unhideWhenUsed/>
    <w:rsid w:val="00D46B65"/>
    <w:rPr>
      <w:vertAlign w:val="superscript"/>
    </w:rPr>
  </w:style>
  <w:style w:type="paragraph" w:customStyle="1" w:styleId="description">
    <w:name w:val="description"/>
    <w:basedOn w:val="Normal"/>
    <w:rsid w:val="009653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068480815msonormal">
    <w:name w:val="yiv4068480815msonormal"/>
    <w:basedOn w:val="Normal"/>
    <w:rsid w:val="00C752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4Car">
    <w:name w:val="Titre 4 Car"/>
    <w:basedOn w:val="Policepardfaut"/>
    <w:link w:val="Titre4"/>
    <w:uiPriority w:val="9"/>
    <w:semiHidden/>
    <w:rsid w:val="00E51EA6"/>
    <w:rPr>
      <w:rFonts w:asciiTheme="majorHAnsi" w:eastAsiaTheme="majorEastAsia" w:hAnsiTheme="majorHAnsi" w:cstheme="majorBidi"/>
      <w:i/>
      <w:iCs/>
      <w:color w:val="365F91" w:themeColor="accent1" w:themeShade="BF"/>
    </w:rPr>
  </w:style>
  <w:style w:type="character" w:styleId="lev">
    <w:name w:val="Strong"/>
    <w:basedOn w:val="Policepardfaut"/>
    <w:uiPriority w:val="22"/>
    <w:qFormat/>
    <w:rsid w:val="00E51EA6"/>
    <w:rPr>
      <w:b/>
      <w:bCs/>
    </w:rPr>
  </w:style>
  <w:style w:type="character" w:customStyle="1" w:styleId="spipnoteref">
    <w:name w:val="spip_note_ref"/>
    <w:basedOn w:val="Policepardfaut"/>
    <w:rsid w:val="00E51EA6"/>
  </w:style>
  <w:style w:type="character" w:styleId="Lienhypertexte">
    <w:name w:val="Hyperlink"/>
    <w:basedOn w:val="Policepardfaut"/>
    <w:uiPriority w:val="99"/>
    <w:unhideWhenUsed/>
    <w:rsid w:val="00E51E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0228">
      <w:bodyDiv w:val="1"/>
      <w:marLeft w:val="0"/>
      <w:marRight w:val="0"/>
      <w:marTop w:val="0"/>
      <w:marBottom w:val="0"/>
      <w:divBdr>
        <w:top w:val="none" w:sz="0" w:space="0" w:color="auto"/>
        <w:left w:val="none" w:sz="0" w:space="0" w:color="auto"/>
        <w:bottom w:val="none" w:sz="0" w:space="0" w:color="auto"/>
        <w:right w:val="none" w:sz="0" w:space="0" w:color="auto"/>
      </w:divBdr>
      <w:divsChild>
        <w:div w:id="615134266">
          <w:marLeft w:val="547"/>
          <w:marRight w:val="0"/>
          <w:marTop w:val="200"/>
          <w:marBottom w:val="0"/>
          <w:divBdr>
            <w:top w:val="none" w:sz="0" w:space="0" w:color="auto"/>
            <w:left w:val="none" w:sz="0" w:space="0" w:color="auto"/>
            <w:bottom w:val="none" w:sz="0" w:space="0" w:color="auto"/>
            <w:right w:val="none" w:sz="0" w:space="0" w:color="auto"/>
          </w:divBdr>
        </w:div>
        <w:div w:id="1000159426">
          <w:marLeft w:val="547"/>
          <w:marRight w:val="0"/>
          <w:marTop w:val="200"/>
          <w:marBottom w:val="0"/>
          <w:divBdr>
            <w:top w:val="none" w:sz="0" w:space="0" w:color="auto"/>
            <w:left w:val="none" w:sz="0" w:space="0" w:color="auto"/>
            <w:bottom w:val="none" w:sz="0" w:space="0" w:color="auto"/>
            <w:right w:val="none" w:sz="0" w:space="0" w:color="auto"/>
          </w:divBdr>
        </w:div>
        <w:div w:id="1758206485">
          <w:marLeft w:val="547"/>
          <w:marRight w:val="0"/>
          <w:marTop w:val="200"/>
          <w:marBottom w:val="0"/>
          <w:divBdr>
            <w:top w:val="none" w:sz="0" w:space="0" w:color="auto"/>
            <w:left w:val="none" w:sz="0" w:space="0" w:color="auto"/>
            <w:bottom w:val="none" w:sz="0" w:space="0" w:color="auto"/>
            <w:right w:val="none" w:sz="0" w:space="0" w:color="auto"/>
          </w:divBdr>
        </w:div>
        <w:div w:id="1112554476">
          <w:marLeft w:val="547"/>
          <w:marRight w:val="0"/>
          <w:marTop w:val="200"/>
          <w:marBottom w:val="0"/>
          <w:divBdr>
            <w:top w:val="none" w:sz="0" w:space="0" w:color="auto"/>
            <w:left w:val="none" w:sz="0" w:space="0" w:color="auto"/>
            <w:bottom w:val="none" w:sz="0" w:space="0" w:color="auto"/>
            <w:right w:val="none" w:sz="0" w:space="0" w:color="auto"/>
          </w:divBdr>
        </w:div>
        <w:div w:id="168833474">
          <w:marLeft w:val="547"/>
          <w:marRight w:val="0"/>
          <w:marTop w:val="200"/>
          <w:marBottom w:val="160"/>
          <w:divBdr>
            <w:top w:val="none" w:sz="0" w:space="0" w:color="auto"/>
            <w:left w:val="none" w:sz="0" w:space="0" w:color="auto"/>
            <w:bottom w:val="none" w:sz="0" w:space="0" w:color="auto"/>
            <w:right w:val="none" w:sz="0" w:space="0" w:color="auto"/>
          </w:divBdr>
        </w:div>
      </w:divsChild>
    </w:div>
    <w:div w:id="70474186">
      <w:bodyDiv w:val="1"/>
      <w:marLeft w:val="0"/>
      <w:marRight w:val="0"/>
      <w:marTop w:val="0"/>
      <w:marBottom w:val="0"/>
      <w:divBdr>
        <w:top w:val="none" w:sz="0" w:space="0" w:color="auto"/>
        <w:left w:val="none" w:sz="0" w:space="0" w:color="auto"/>
        <w:bottom w:val="none" w:sz="0" w:space="0" w:color="auto"/>
        <w:right w:val="none" w:sz="0" w:space="0" w:color="auto"/>
      </w:divBdr>
    </w:div>
    <w:div w:id="108746818">
      <w:bodyDiv w:val="1"/>
      <w:marLeft w:val="0"/>
      <w:marRight w:val="0"/>
      <w:marTop w:val="0"/>
      <w:marBottom w:val="0"/>
      <w:divBdr>
        <w:top w:val="none" w:sz="0" w:space="0" w:color="auto"/>
        <w:left w:val="none" w:sz="0" w:space="0" w:color="auto"/>
        <w:bottom w:val="none" w:sz="0" w:space="0" w:color="auto"/>
        <w:right w:val="none" w:sz="0" w:space="0" w:color="auto"/>
      </w:divBdr>
      <w:divsChild>
        <w:div w:id="161170309">
          <w:marLeft w:val="547"/>
          <w:marRight w:val="0"/>
          <w:marTop w:val="0"/>
          <w:marBottom w:val="0"/>
          <w:divBdr>
            <w:top w:val="none" w:sz="0" w:space="0" w:color="auto"/>
            <w:left w:val="none" w:sz="0" w:space="0" w:color="auto"/>
            <w:bottom w:val="none" w:sz="0" w:space="0" w:color="auto"/>
            <w:right w:val="none" w:sz="0" w:space="0" w:color="auto"/>
          </w:divBdr>
        </w:div>
        <w:div w:id="1441754282">
          <w:marLeft w:val="547"/>
          <w:marRight w:val="0"/>
          <w:marTop w:val="0"/>
          <w:marBottom w:val="0"/>
          <w:divBdr>
            <w:top w:val="none" w:sz="0" w:space="0" w:color="auto"/>
            <w:left w:val="none" w:sz="0" w:space="0" w:color="auto"/>
            <w:bottom w:val="none" w:sz="0" w:space="0" w:color="auto"/>
            <w:right w:val="none" w:sz="0" w:space="0" w:color="auto"/>
          </w:divBdr>
        </w:div>
        <w:div w:id="869150096">
          <w:marLeft w:val="547"/>
          <w:marRight w:val="0"/>
          <w:marTop w:val="0"/>
          <w:marBottom w:val="0"/>
          <w:divBdr>
            <w:top w:val="none" w:sz="0" w:space="0" w:color="auto"/>
            <w:left w:val="none" w:sz="0" w:space="0" w:color="auto"/>
            <w:bottom w:val="none" w:sz="0" w:space="0" w:color="auto"/>
            <w:right w:val="none" w:sz="0" w:space="0" w:color="auto"/>
          </w:divBdr>
        </w:div>
        <w:div w:id="288318482">
          <w:marLeft w:val="547"/>
          <w:marRight w:val="0"/>
          <w:marTop w:val="0"/>
          <w:marBottom w:val="0"/>
          <w:divBdr>
            <w:top w:val="none" w:sz="0" w:space="0" w:color="auto"/>
            <w:left w:val="none" w:sz="0" w:space="0" w:color="auto"/>
            <w:bottom w:val="none" w:sz="0" w:space="0" w:color="auto"/>
            <w:right w:val="none" w:sz="0" w:space="0" w:color="auto"/>
          </w:divBdr>
        </w:div>
        <w:div w:id="1323002691">
          <w:marLeft w:val="547"/>
          <w:marRight w:val="0"/>
          <w:marTop w:val="0"/>
          <w:marBottom w:val="0"/>
          <w:divBdr>
            <w:top w:val="none" w:sz="0" w:space="0" w:color="auto"/>
            <w:left w:val="none" w:sz="0" w:space="0" w:color="auto"/>
            <w:bottom w:val="none" w:sz="0" w:space="0" w:color="auto"/>
            <w:right w:val="none" w:sz="0" w:space="0" w:color="auto"/>
          </w:divBdr>
        </w:div>
        <w:div w:id="1639068923">
          <w:marLeft w:val="547"/>
          <w:marRight w:val="0"/>
          <w:marTop w:val="0"/>
          <w:marBottom w:val="0"/>
          <w:divBdr>
            <w:top w:val="none" w:sz="0" w:space="0" w:color="auto"/>
            <w:left w:val="none" w:sz="0" w:space="0" w:color="auto"/>
            <w:bottom w:val="none" w:sz="0" w:space="0" w:color="auto"/>
            <w:right w:val="none" w:sz="0" w:space="0" w:color="auto"/>
          </w:divBdr>
        </w:div>
        <w:div w:id="777598464">
          <w:marLeft w:val="547"/>
          <w:marRight w:val="0"/>
          <w:marTop w:val="0"/>
          <w:marBottom w:val="0"/>
          <w:divBdr>
            <w:top w:val="none" w:sz="0" w:space="0" w:color="auto"/>
            <w:left w:val="none" w:sz="0" w:space="0" w:color="auto"/>
            <w:bottom w:val="none" w:sz="0" w:space="0" w:color="auto"/>
            <w:right w:val="none" w:sz="0" w:space="0" w:color="auto"/>
          </w:divBdr>
        </w:div>
        <w:div w:id="947275502">
          <w:marLeft w:val="547"/>
          <w:marRight w:val="0"/>
          <w:marTop w:val="0"/>
          <w:marBottom w:val="0"/>
          <w:divBdr>
            <w:top w:val="none" w:sz="0" w:space="0" w:color="auto"/>
            <w:left w:val="none" w:sz="0" w:space="0" w:color="auto"/>
            <w:bottom w:val="none" w:sz="0" w:space="0" w:color="auto"/>
            <w:right w:val="none" w:sz="0" w:space="0" w:color="auto"/>
          </w:divBdr>
        </w:div>
        <w:div w:id="53085097">
          <w:marLeft w:val="547"/>
          <w:marRight w:val="0"/>
          <w:marTop w:val="0"/>
          <w:marBottom w:val="0"/>
          <w:divBdr>
            <w:top w:val="none" w:sz="0" w:space="0" w:color="auto"/>
            <w:left w:val="none" w:sz="0" w:space="0" w:color="auto"/>
            <w:bottom w:val="none" w:sz="0" w:space="0" w:color="auto"/>
            <w:right w:val="none" w:sz="0" w:space="0" w:color="auto"/>
          </w:divBdr>
        </w:div>
      </w:divsChild>
    </w:div>
    <w:div w:id="144396371">
      <w:bodyDiv w:val="1"/>
      <w:marLeft w:val="0"/>
      <w:marRight w:val="0"/>
      <w:marTop w:val="0"/>
      <w:marBottom w:val="0"/>
      <w:divBdr>
        <w:top w:val="none" w:sz="0" w:space="0" w:color="auto"/>
        <w:left w:val="none" w:sz="0" w:space="0" w:color="auto"/>
        <w:bottom w:val="none" w:sz="0" w:space="0" w:color="auto"/>
        <w:right w:val="none" w:sz="0" w:space="0" w:color="auto"/>
      </w:divBdr>
    </w:div>
    <w:div w:id="199437172">
      <w:bodyDiv w:val="1"/>
      <w:marLeft w:val="0"/>
      <w:marRight w:val="0"/>
      <w:marTop w:val="0"/>
      <w:marBottom w:val="0"/>
      <w:divBdr>
        <w:top w:val="none" w:sz="0" w:space="0" w:color="auto"/>
        <w:left w:val="none" w:sz="0" w:space="0" w:color="auto"/>
        <w:bottom w:val="none" w:sz="0" w:space="0" w:color="auto"/>
        <w:right w:val="none" w:sz="0" w:space="0" w:color="auto"/>
      </w:divBdr>
    </w:div>
    <w:div w:id="267858154">
      <w:bodyDiv w:val="1"/>
      <w:marLeft w:val="0"/>
      <w:marRight w:val="0"/>
      <w:marTop w:val="0"/>
      <w:marBottom w:val="0"/>
      <w:divBdr>
        <w:top w:val="none" w:sz="0" w:space="0" w:color="auto"/>
        <w:left w:val="none" w:sz="0" w:space="0" w:color="auto"/>
        <w:bottom w:val="none" w:sz="0" w:space="0" w:color="auto"/>
        <w:right w:val="none" w:sz="0" w:space="0" w:color="auto"/>
      </w:divBdr>
    </w:div>
    <w:div w:id="290521323">
      <w:bodyDiv w:val="1"/>
      <w:marLeft w:val="0"/>
      <w:marRight w:val="0"/>
      <w:marTop w:val="0"/>
      <w:marBottom w:val="0"/>
      <w:divBdr>
        <w:top w:val="none" w:sz="0" w:space="0" w:color="auto"/>
        <w:left w:val="none" w:sz="0" w:space="0" w:color="auto"/>
        <w:bottom w:val="none" w:sz="0" w:space="0" w:color="auto"/>
        <w:right w:val="none" w:sz="0" w:space="0" w:color="auto"/>
      </w:divBdr>
    </w:div>
    <w:div w:id="334040248">
      <w:bodyDiv w:val="1"/>
      <w:marLeft w:val="0"/>
      <w:marRight w:val="0"/>
      <w:marTop w:val="0"/>
      <w:marBottom w:val="0"/>
      <w:divBdr>
        <w:top w:val="none" w:sz="0" w:space="0" w:color="auto"/>
        <w:left w:val="none" w:sz="0" w:space="0" w:color="auto"/>
        <w:bottom w:val="none" w:sz="0" w:space="0" w:color="auto"/>
        <w:right w:val="none" w:sz="0" w:space="0" w:color="auto"/>
      </w:divBdr>
    </w:div>
    <w:div w:id="347103779">
      <w:bodyDiv w:val="1"/>
      <w:marLeft w:val="0"/>
      <w:marRight w:val="0"/>
      <w:marTop w:val="0"/>
      <w:marBottom w:val="0"/>
      <w:divBdr>
        <w:top w:val="none" w:sz="0" w:space="0" w:color="auto"/>
        <w:left w:val="none" w:sz="0" w:space="0" w:color="auto"/>
        <w:bottom w:val="none" w:sz="0" w:space="0" w:color="auto"/>
        <w:right w:val="none" w:sz="0" w:space="0" w:color="auto"/>
      </w:divBdr>
      <w:divsChild>
        <w:div w:id="1551649274">
          <w:marLeft w:val="547"/>
          <w:marRight w:val="0"/>
          <w:marTop w:val="200"/>
          <w:marBottom w:val="0"/>
          <w:divBdr>
            <w:top w:val="none" w:sz="0" w:space="0" w:color="auto"/>
            <w:left w:val="none" w:sz="0" w:space="0" w:color="auto"/>
            <w:bottom w:val="none" w:sz="0" w:space="0" w:color="auto"/>
            <w:right w:val="none" w:sz="0" w:space="0" w:color="auto"/>
          </w:divBdr>
        </w:div>
        <w:div w:id="1644239627">
          <w:marLeft w:val="547"/>
          <w:marRight w:val="0"/>
          <w:marTop w:val="200"/>
          <w:marBottom w:val="160"/>
          <w:divBdr>
            <w:top w:val="none" w:sz="0" w:space="0" w:color="auto"/>
            <w:left w:val="none" w:sz="0" w:space="0" w:color="auto"/>
            <w:bottom w:val="none" w:sz="0" w:space="0" w:color="auto"/>
            <w:right w:val="none" w:sz="0" w:space="0" w:color="auto"/>
          </w:divBdr>
        </w:div>
      </w:divsChild>
    </w:div>
    <w:div w:id="488254159">
      <w:bodyDiv w:val="1"/>
      <w:marLeft w:val="0"/>
      <w:marRight w:val="0"/>
      <w:marTop w:val="0"/>
      <w:marBottom w:val="0"/>
      <w:divBdr>
        <w:top w:val="none" w:sz="0" w:space="0" w:color="auto"/>
        <w:left w:val="none" w:sz="0" w:space="0" w:color="auto"/>
        <w:bottom w:val="none" w:sz="0" w:space="0" w:color="auto"/>
        <w:right w:val="none" w:sz="0" w:space="0" w:color="auto"/>
      </w:divBdr>
    </w:div>
    <w:div w:id="568227839">
      <w:bodyDiv w:val="1"/>
      <w:marLeft w:val="0"/>
      <w:marRight w:val="0"/>
      <w:marTop w:val="0"/>
      <w:marBottom w:val="0"/>
      <w:divBdr>
        <w:top w:val="none" w:sz="0" w:space="0" w:color="auto"/>
        <w:left w:val="none" w:sz="0" w:space="0" w:color="auto"/>
        <w:bottom w:val="none" w:sz="0" w:space="0" w:color="auto"/>
        <w:right w:val="none" w:sz="0" w:space="0" w:color="auto"/>
      </w:divBdr>
    </w:div>
    <w:div w:id="599411640">
      <w:bodyDiv w:val="1"/>
      <w:marLeft w:val="0"/>
      <w:marRight w:val="0"/>
      <w:marTop w:val="0"/>
      <w:marBottom w:val="0"/>
      <w:divBdr>
        <w:top w:val="none" w:sz="0" w:space="0" w:color="auto"/>
        <w:left w:val="none" w:sz="0" w:space="0" w:color="auto"/>
        <w:bottom w:val="none" w:sz="0" w:space="0" w:color="auto"/>
        <w:right w:val="none" w:sz="0" w:space="0" w:color="auto"/>
      </w:divBdr>
      <w:divsChild>
        <w:div w:id="15544908">
          <w:marLeft w:val="547"/>
          <w:marRight w:val="0"/>
          <w:marTop w:val="0"/>
          <w:marBottom w:val="0"/>
          <w:divBdr>
            <w:top w:val="none" w:sz="0" w:space="0" w:color="auto"/>
            <w:left w:val="none" w:sz="0" w:space="0" w:color="auto"/>
            <w:bottom w:val="none" w:sz="0" w:space="0" w:color="auto"/>
            <w:right w:val="none" w:sz="0" w:space="0" w:color="auto"/>
          </w:divBdr>
        </w:div>
        <w:div w:id="1140611383">
          <w:marLeft w:val="547"/>
          <w:marRight w:val="0"/>
          <w:marTop w:val="0"/>
          <w:marBottom w:val="0"/>
          <w:divBdr>
            <w:top w:val="none" w:sz="0" w:space="0" w:color="auto"/>
            <w:left w:val="none" w:sz="0" w:space="0" w:color="auto"/>
            <w:bottom w:val="none" w:sz="0" w:space="0" w:color="auto"/>
            <w:right w:val="none" w:sz="0" w:space="0" w:color="auto"/>
          </w:divBdr>
        </w:div>
        <w:div w:id="383604951">
          <w:marLeft w:val="547"/>
          <w:marRight w:val="0"/>
          <w:marTop w:val="0"/>
          <w:marBottom w:val="0"/>
          <w:divBdr>
            <w:top w:val="none" w:sz="0" w:space="0" w:color="auto"/>
            <w:left w:val="none" w:sz="0" w:space="0" w:color="auto"/>
            <w:bottom w:val="none" w:sz="0" w:space="0" w:color="auto"/>
            <w:right w:val="none" w:sz="0" w:space="0" w:color="auto"/>
          </w:divBdr>
        </w:div>
        <w:div w:id="1291858507">
          <w:marLeft w:val="547"/>
          <w:marRight w:val="0"/>
          <w:marTop w:val="0"/>
          <w:marBottom w:val="0"/>
          <w:divBdr>
            <w:top w:val="none" w:sz="0" w:space="0" w:color="auto"/>
            <w:left w:val="none" w:sz="0" w:space="0" w:color="auto"/>
            <w:bottom w:val="none" w:sz="0" w:space="0" w:color="auto"/>
            <w:right w:val="none" w:sz="0" w:space="0" w:color="auto"/>
          </w:divBdr>
        </w:div>
        <w:div w:id="1455712587">
          <w:marLeft w:val="547"/>
          <w:marRight w:val="0"/>
          <w:marTop w:val="0"/>
          <w:marBottom w:val="0"/>
          <w:divBdr>
            <w:top w:val="none" w:sz="0" w:space="0" w:color="auto"/>
            <w:left w:val="none" w:sz="0" w:space="0" w:color="auto"/>
            <w:bottom w:val="none" w:sz="0" w:space="0" w:color="auto"/>
            <w:right w:val="none" w:sz="0" w:space="0" w:color="auto"/>
          </w:divBdr>
        </w:div>
        <w:div w:id="428283998">
          <w:marLeft w:val="547"/>
          <w:marRight w:val="0"/>
          <w:marTop w:val="0"/>
          <w:marBottom w:val="0"/>
          <w:divBdr>
            <w:top w:val="none" w:sz="0" w:space="0" w:color="auto"/>
            <w:left w:val="none" w:sz="0" w:space="0" w:color="auto"/>
            <w:bottom w:val="none" w:sz="0" w:space="0" w:color="auto"/>
            <w:right w:val="none" w:sz="0" w:space="0" w:color="auto"/>
          </w:divBdr>
        </w:div>
        <w:div w:id="1652173204">
          <w:marLeft w:val="547"/>
          <w:marRight w:val="0"/>
          <w:marTop w:val="0"/>
          <w:marBottom w:val="0"/>
          <w:divBdr>
            <w:top w:val="none" w:sz="0" w:space="0" w:color="auto"/>
            <w:left w:val="none" w:sz="0" w:space="0" w:color="auto"/>
            <w:bottom w:val="none" w:sz="0" w:space="0" w:color="auto"/>
            <w:right w:val="none" w:sz="0" w:space="0" w:color="auto"/>
          </w:divBdr>
        </w:div>
        <w:div w:id="1740133865">
          <w:marLeft w:val="547"/>
          <w:marRight w:val="0"/>
          <w:marTop w:val="0"/>
          <w:marBottom w:val="0"/>
          <w:divBdr>
            <w:top w:val="none" w:sz="0" w:space="0" w:color="auto"/>
            <w:left w:val="none" w:sz="0" w:space="0" w:color="auto"/>
            <w:bottom w:val="none" w:sz="0" w:space="0" w:color="auto"/>
            <w:right w:val="none" w:sz="0" w:space="0" w:color="auto"/>
          </w:divBdr>
        </w:div>
        <w:div w:id="1368412942">
          <w:marLeft w:val="547"/>
          <w:marRight w:val="0"/>
          <w:marTop w:val="0"/>
          <w:marBottom w:val="0"/>
          <w:divBdr>
            <w:top w:val="none" w:sz="0" w:space="0" w:color="auto"/>
            <w:left w:val="none" w:sz="0" w:space="0" w:color="auto"/>
            <w:bottom w:val="none" w:sz="0" w:space="0" w:color="auto"/>
            <w:right w:val="none" w:sz="0" w:space="0" w:color="auto"/>
          </w:divBdr>
        </w:div>
        <w:div w:id="348217092">
          <w:marLeft w:val="547"/>
          <w:marRight w:val="0"/>
          <w:marTop w:val="0"/>
          <w:marBottom w:val="0"/>
          <w:divBdr>
            <w:top w:val="none" w:sz="0" w:space="0" w:color="auto"/>
            <w:left w:val="none" w:sz="0" w:space="0" w:color="auto"/>
            <w:bottom w:val="none" w:sz="0" w:space="0" w:color="auto"/>
            <w:right w:val="none" w:sz="0" w:space="0" w:color="auto"/>
          </w:divBdr>
        </w:div>
        <w:div w:id="1108233619">
          <w:marLeft w:val="547"/>
          <w:marRight w:val="0"/>
          <w:marTop w:val="0"/>
          <w:marBottom w:val="0"/>
          <w:divBdr>
            <w:top w:val="none" w:sz="0" w:space="0" w:color="auto"/>
            <w:left w:val="none" w:sz="0" w:space="0" w:color="auto"/>
            <w:bottom w:val="none" w:sz="0" w:space="0" w:color="auto"/>
            <w:right w:val="none" w:sz="0" w:space="0" w:color="auto"/>
          </w:divBdr>
        </w:div>
      </w:divsChild>
    </w:div>
    <w:div w:id="621692996">
      <w:bodyDiv w:val="1"/>
      <w:marLeft w:val="0"/>
      <w:marRight w:val="0"/>
      <w:marTop w:val="0"/>
      <w:marBottom w:val="0"/>
      <w:divBdr>
        <w:top w:val="none" w:sz="0" w:space="0" w:color="auto"/>
        <w:left w:val="none" w:sz="0" w:space="0" w:color="auto"/>
        <w:bottom w:val="none" w:sz="0" w:space="0" w:color="auto"/>
        <w:right w:val="none" w:sz="0" w:space="0" w:color="auto"/>
      </w:divBdr>
    </w:div>
    <w:div w:id="700865034">
      <w:bodyDiv w:val="1"/>
      <w:marLeft w:val="0"/>
      <w:marRight w:val="0"/>
      <w:marTop w:val="0"/>
      <w:marBottom w:val="0"/>
      <w:divBdr>
        <w:top w:val="none" w:sz="0" w:space="0" w:color="auto"/>
        <w:left w:val="none" w:sz="0" w:space="0" w:color="auto"/>
        <w:bottom w:val="none" w:sz="0" w:space="0" w:color="auto"/>
        <w:right w:val="none" w:sz="0" w:space="0" w:color="auto"/>
      </w:divBdr>
    </w:div>
    <w:div w:id="708530145">
      <w:bodyDiv w:val="1"/>
      <w:marLeft w:val="0"/>
      <w:marRight w:val="0"/>
      <w:marTop w:val="0"/>
      <w:marBottom w:val="0"/>
      <w:divBdr>
        <w:top w:val="none" w:sz="0" w:space="0" w:color="auto"/>
        <w:left w:val="none" w:sz="0" w:space="0" w:color="auto"/>
        <w:bottom w:val="none" w:sz="0" w:space="0" w:color="auto"/>
        <w:right w:val="none" w:sz="0" w:space="0" w:color="auto"/>
      </w:divBdr>
      <w:divsChild>
        <w:div w:id="583538974">
          <w:marLeft w:val="850"/>
          <w:marRight w:val="0"/>
          <w:marTop w:val="0"/>
          <w:marBottom w:val="0"/>
          <w:divBdr>
            <w:top w:val="none" w:sz="0" w:space="0" w:color="auto"/>
            <w:left w:val="none" w:sz="0" w:space="0" w:color="auto"/>
            <w:bottom w:val="none" w:sz="0" w:space="0" w:color="auto"/>
            <w:right w:val="none" w:sz="0" w:space="0" w:color="auto"/>
          </w:divBdr>
        </w:div>
      </w:divsChild>
    </w:div>
    <w:div w:id="732899008">
      <w:bodyDiv w:val="1"/>
      <w:marLeft w:val="0"/>
      <w:marRight w:val="0"/>
      <w:marTop w:val="0"/>
      <w:marBottom w:val="0"/>
      <w:divBdr>
        <w:top w:val="none" w:sz="0" w:space="0" w:color="auto"/>
        <w:left w:val="none" w:sz="0" w:space="0" w:color="auto"/>
        <w:bottom w:val="none" w:sz="0" w:space="0" w:color="auto"/>
        <w:right w:val="none" w:sz="0" w:space="0" w:color="auto"/>
      </w:divBdr>
    </w:div>
    <w:div w:id="822159806">
      <w:bodyDiv w:val="1"/>
      <w:marLeft w:val="0"/>
      <w:marRight w:val="0"/>
      <w:marTop w:val="0"/>
      <w:marBottom w:val="0"/>
      <w:divBdr>
        <w:top w:val="none" w:sz="0" w:space="0" w:color="auto"/>
        <w:left w:val="none" w:sz="0" w:space="0" w:color="auto"/>
        <w:bottom w:val="none" w:sz="0" w:space="0" w:color="auto"/>
        <w:right w:val="none" w:sz="0" w:space="0" w:color="auto"/>
      </w:divBdr>
      <w:divsChild>
        <w:div w:id="505290351">
          <w:marLeft w:val="547"/>
          <w:marRight w:val="0"/>
          <w:marTop w:val="200"/>
          <w:marBottom w:val="0"/>
          <w:divBdr>
            <w:top w:val="none" w:sz="0" w:space="0" w:color="auto"/>
            <w:left w:val="none" w:sz="0" w:space="0" w:color="auto"/>
            <w:bottom w:val="none" w:sz="0" w:space="0" w:color="auto"/>
            <w:right w:val="none" w:sz="0" w:space="0" w:color="auto"/>
          </w:divBdr>
        </w:div>
        <w:div w:id="738864779">
          <w:marLeft w:val="547"/>
          <w:marRight w:val="0"/>
          <w:marTop w:val="200"/>
          <w:marBottom w:val="0"/>
          <w:divBdr>
            <w:top w:val="none" w:sz="0" w:space="0" w:color="auto"/>
            <w:left w:val="none" w:sz="0" w:space="0" w:color="auto"/>
            <w:bottom w:val="none" w:sz="0" w:space="0" w:color="auto"/>
            <w:right w:val="none" w:sz="0" w:space="0" w:color="auto"/>
          </w:divBdr>
        </w:div>
        <w:div w:id="691418439">
          <w:marLeft w:val="547"/>
          <w:marRight w:val="0"/>
          <w:marTop w:val="200"/>
          <w:marBottom w:val="0"/>
          <w:divBdr>
            <w:top w:val="none" w:sz="0" w:space="0" w:color="auto"/>
            <w:left w:val="none" w:sz="0" w:space="0" w:color="auto"/>
            <w:bottom w:val="none" w:sz="0" w:space="0" w:color="auto"/>
            <w:right w:val="none" w:sz="0" w:space="0" w:color="auto"/>
          </w:divBdr>
        </w:div>
        <w:div w:id="635455994">
          <w:marLeft w:val="547"/>
          <w:marRight w:val="0"/>
          <w:marTop w:val="200"/>
          <w:marBottom w:val="0"/>
          <w:divBdr>
            <w:top w:val="none" w:sz="0" w:space="0" w:color="auto"/>
            <w:left w:val="none" w:sz="0" w:space="0" w:color="auto"/>
            <w:bottom w:val="none" w:sz="0" w:space="0" w:color="auto"/>
            <w:right w:val="none" w:sz="0" w:space="0" w:color="auto"/>
          </w:divBdr>
        </w:div>
        <w:div w:id="739208704">
          <w:marLeft w:val="547"/>
          <w:marRight w:val="0"/>
          <w:marTop w:val="200"/>
          <w:marBottom w:val="160"/>
          <w:divBdr>
            <w:top w:val="none" w:sz="0" w:space="0" w:color="auto"/>
            <w:left w:val="none" w:sz="0" w:space="0" w:color="auto"/>
            <w:bottom w:val="none" w:sz="0" w:space="0" w:color="auto"/>
            <w:right w:val="none" w:sz="0" w:space="0" w:color="auto"/>
          </w:divBdr>
        </w:div>
      </w:divsChild>
    </w:div>
    <w:div w:id="1010791901">
      <w:bodyDiv w:val="1"/>
      <w:marLeft w:val="0"/>
      <w:marRight w:val="0"/>
      <w:marTop w:val="0"/>
      <w:marBottom w:val="0"/>
      <w:divBdr>
        <w:top w:val="none" w:sz="0" w:space="0" w:color="auto"/>
        <w:left w:val="none" w:sz="0" w:space="0" w:color="auto"/>
        <w:bottom w:val="none" w:sz="0" w:space="0" w:color="auto"/>
        <w:right w:val="none" w:sz="0" w:space="0" w:color="auto"/>
      </w:divBdr>
    </w:div>
    <w:div w:id="1015570545">
      <w:bodyDiv w:val="1"/>
      <w:marLeft w:val="0"/>
      <w:marRight w:val="0"/>
      <w:marTop w:val="0"/>
      <w:marBottom w:val="0"/>
      <w:divBdr>
        <w:top w:val="none" w:sz="0" w:space="0" w:color="auto"/>
        <w:left w:val="none" w:sz="0" w:space="0" w:color="auto"/>
        <w:bottom w:val="none" w:sz="0" w:space="0" w:color="auto"/>
        <w:right w:val="none" w:sz="0" w:space="0" w:color="auto"/>
      </w:divBdr>
    </w:div>
    <w:div w:id="1046294060">
      <w:bodyDiv w:val="1"/>
      <w:marLeft w:val="0"/>
      <w:marRight w:val="0"/>
      <w:marTop w:val="0"/>
      <w:marBottom w:val="0"/>
      <w:divBdr>
        <w:top w:val="none" w:sz="0" w:space="0" w:color="auto"/>
        <w:left w:val="none" w:sz="0" w:space="0" w:color="auto"/>
        <w:bottom w:val="none" w:sz="0" w:space="0" w:color="auto"/>
        <w:right w:val="none" w:sz="0" w:space="0" w:color="auto"/>
      </w:divBdr>
    </w:div>
    <w:div w:id="1071847036">
      <w:bodyDiv w:val="1"/>
      <w:marLeft w:val="0"/>
      <w:marRight w:val="0"/>
      <w:marTop w:val="0"/>
      <w:marBottom w:val="0"/>
      <w:divBdr>
        <w:top w:val="none" w:sz="0" w:space="0" w:color="auto"/>
        <w:left w:val="none" w:sz="0" w:space="0" w:color="auto"/>
        <w:bottom w:val="none" w:sz="0" w:space="0" w:color="auto"/>
        <w:right w:val="none" w:sz="0" w:space="0" w:color="auto"/>
      </w:divBdr>
      <w:divsChild>
        <w:div w:id="2031292882">
          <w:marLeft w:val="360"/>
          <w:marRight w:val="0"/>
          <w:marTop w:val="120"/>
          <w:marBottom w:val="160"/>
          <w:divBdr>
            <w:top w:val="none" w:sz="0" w:space="0" w:color="auto"/>
            <w:left w:val="none" w:sz="0" w:space="0" w:color="auto"/>
            <w:bottom w:val="none" w:sz="0" w:space="0" w:color="auto"/>
            <w:right w:val="none" w:sz="0" w:space="0" w:color="auto"/>
          </w:divBdr>
        </w:div>
      </w:divsChild>
    </w:div>
    <w:div w:id="1093892988">
      <w:bodyDiv w:val="1"/>
      <w:marLeft w:val="0"/>
      <w:marRight w:val="0"/>
      <w:marTop w:val="0"/>
      <w:marBottom w:val="0"/>
      <w:divBdr>
        <w:top w:val="none" w:sz="0" w:space="0" w:color="auto"/>
        <w:left w:val="none" w:sz="0" w:space="0" w:color="auto"/>
        <w:bottom w:val="none" w:sz="0" w:space="0" w:color="auto"/>
        <w:right w:val="none" w:sz="0" w:space="0" w:color="auto"/>
      </w:divBdr>
    </w:div>
    <w:div w:id="1152065298">
      <w:bodyDiv w:val="1"/>
      <w:marLeft w:val="0"/>
      <w:marRight w:val="0"/>
      <w:marTop w:val="0"/>
      <w:marBottom w:val="0"/>
      <w:divBdr>
        <w:top w:val="none" w:sz="0" w:space="0" w:color="auto"/>
        <w:left w:val="none" w:sz="0" w:space="0" w:color="auto"/>
        <w:bottom w:val="none" w:sz="0" w:space="0" w:color="auto"/>
        <w:right w:val="none" w:sz="0" w:space="0" w:color="auto"/>
      </w:divBdr>
    </w:div>
    <w:div w:id="1161845608">
      <w:bodyDiv w:val="1"/>
      <w:marLeft w:val="0"/>
      <w:marRight w:val="0"/>
      <w:marTop w:val="0"/>
      <w:marBottom w:val="0"/>
      <w:divBdr>
        <w:top w:val="none" w:sz="0" w:space="0" w:color="auto"/>
        <w:left w:val="none" w:sz="0" w:space="0" w:color="auto"/>
        <w:bottom w:val="none" w:sz="0" w:space="0" w:color="auto"/>
        <w:right w:val="none" w:sz="0" w:space="0" w:color="auto"/>
      </w:divBdr>
    </w:div>
    <w:div w:id="1240599356">
      <w:bodyDiv w:val="1"/>
      <w:marLeft w:val="0"/>
      <w:marRight w:val="0"/>
      <w:marTop w:val="0"/>
      <w:marBottom w:val="0"/>
      <w:divBdr>
        <w:top w:val="none" w:sz="0" w:space="0" w:color="auto"/>
        <w:left w:val="none" w:sz="0" w:space="0" w:color="auto"/>
        <w:bottom w:val="none" w:sz="0" w:space="0" w:color="auto"/>
        <w:right w:val="none" w:sz="0" w:space="0" w:color="auto"/>
      </w:divBdr>
      <w:divsChild>
        <w:div w:id="38946143">
          <w:marLeft w:val="547"/>
          <w:marRight w:val="0"/>
          <w:marTop w:val="0"/>
          <w:marBottom w:val="0"/>
          <w:divBdr>
            <w:top w:val="none" w:sz="0" w:space="0" w:color="auto"/>
            <w:left w:val="none" w:sz="0" w:space="0" w:color="auto"/>
            <w:bottom w:val="none" w:sz="0" w:space="0" w:color="auto"/>
            <w:right w:val="none" w:sz="0" w:space="0" w:color="auto"/>
          </w:divBdr>
        </w:div>
        <w:div w:id="1484662227">
          <w:marLeft w:val="547"/>
          <w:marRight w:val="0"/>
          <w:marTop w:val="0"/>
          <w:marBottom w:val="0"/>
          <w:divBdr>
            <w:top w:val="none" w:sz="0" w:space="0" w:color="auto"/>
            <w:left w:val="none" w:sz="0" w:space="0" w:color="auto"/>
            <w:bottom w:val="none" w:sz="0" w:space="0" w:color="auto"/>
            <w:right w:val="none" w:sz="0" w:space="0" w:color="auto"/>
          </w:divBdr>
        </w:div>
        <w:div w:id="589898882">
          <w:marLeft w:val="547"/>
          <w:marRight w:val="0"/>
          <w:marTop w:val="0"/>
          <w:marBottom w:val="0"/>
          <w:divBdr>
            <w:top w:val="none" w:sz="0" w:space="0" w:color="auto"/>
            <w:left w:val="none" w:sz="0" w:space="0" w:color="auto"/>
            <w:bottom w:val="none" w:sz="0" w:space="0" w:color="auto"/>
            <w:right w:val="none" w:sz="0" w:space="0" w:color="auto"/>
          </w:divBdr>
        </w:div>
        <w:div w:id="972908650">
          <w:marLeft w:val="547"/>
          <w:marRight w:val="0"/>
          <w:marTop w:val="0"/>
          <w:marBottom w:val="0"/>
          <w:divBdr>
            <w:top w:val="none" w:sz="0" w:space="0" w:color="auto"/>
            <w:left w:val="none" w:sz="0" w:space="0" w:color="auto"/>
            <w:bottom w:val="none" w:sz="0" w:space="0" w:color="auto"/>
            <w:right w:val="none" w:sz="0" w:space="0" w:color="auto"/>
          </w:divBdr>
        </w:div>
        <w:div w:id="552615016">
          <w:marLeft w:val="547"/>
          <w:marRight w:val="0"/>
          <w:marTop w:val="0"/>
          <w:marBottom w:val="0"/>
          <w:divBdr>
            <w:top w:val="none" w:sz="0" w:space="0" w:color="auto"/>
            <w:left w:val="none" w:sz="0" w:space="0" w:color="auto"/>
            <w:bottom w:val="none" w:sz="0" w:space="0" w:color="auto"/>
            <w:right w:val="none" w:sz="0" w:space="0" w:color="auto"/>
          </w:divBdr>
        </w:div>
        <w:div w:id="1571309891">
          <w:marLeft w:val="547"/>
          <w:marRight w:val="0"/>
          <w:marTop w:val="0"/>
          <w:marBottom w:val="0"/>
          <w:divBdr>
            <w:top w:val="none" w:sz="0" w:space="0" w:color="auto"/>
            <w:left w:val="none" w:sz="0" w:space="0" w:color="auto"/>
            <w:bottom w:val="none" w:sz="0" w:space="0" w:color="auto"/>
            <w:right w:val="none" w:sz="0" w:space="0" w:color="auto"/>
          </w:divBdr>
        </w:div>
        <w:div w:id="1605070746">
          <w:marLeft w:val="547"/>
          <w:marRight w:val="0"/>
          <w:marTop w:val="0"/>
          <w:marBottom w:val="0"/>
          <w:divBdr>
            <w:top w:val="none" w:sz="0" w:space="0" w:color="auto"/>
            <w:left w:val="none" w:sz="0" w:space="0" w:color="auto"/>
            <w:bottom w:val="none" w:sz="0" w:space="0" w:color="auto"/>
            <w:right w:val="none" w:sz="0" w:space="0" w:color="auto"/>
          </w:divBdr>
        </w:div>
        <w:div w:id="1437939457">
          <w:marLeft w:val="547"/>
          <w:marRight w:val="0"/>
          <w:marTop w:val="0"/>
          <w:marBottom w:val="0"/>
          <w:divBdr>
            <w:top w:val="none" w:sz="0" w:space="0" w:color="auto"/>
            <w:left w:val="none" w:sz="0" w:space="0" w:color="auto"/>
            <w:bottom w:val="none" w:sz="0" w:space="0" w:color="auto"/>
            <w:right w:val="none" w:sz="0" w:space="0" w:color="auto"/>
          </w:divBdr>
        </w:div>
      </w:divsChild>
    </w:div>
    <w:div w:id="1257791805">
      <w:bodyDiv w:val="1"/>
      <w:marLeft w:val="0"/>
      <w:marRight w:val="0"/>
      <w:marTop w:val="0"/>
      <w:marBottom w:val="0"/>
      <w:divBdr>
        <w:top w:val="none" w:sz="0" w:space="0" w:color="auto"/>
        <w:left w:val="none" w:sz="0" w:space="0" w:color="auto"/>
        <w:bottom w:val="none" w:sz="0" w:space="0" w:color="auto"/>
        <w:right w:val="none" w:sz="0" w:space="0" w:color="auto"/>
      </w:divBdr>
    </w:div>
    <w:div w:id="1406798685">
      <w:bodyDiv w:val="1"/>
      <w:marLeft w:val="0"/>
      <w:marRight w:val="0"/>
      <w:marTop w:val="0"/>
      <w:marBottom w:val="0"/>
      <w:divBdr>
        <w:top w:val="none" w:sz="0" w:space="0" w:color="auto"/>
        <w:left w:val="none" w:sz="0" w:space="0" w:color="auto"/>
        <w:bottom w:val="none" w:sz="0" w:space="0" w:color="auto"/>
        <w:right w:val="none" w:sz="0" w:space="0" w:color="auto"/>
      </w:divBdr>
    </w:div>
    <w:div w:id="1431008109">
      <w:bodyDiv w:val="1"/>
      <w:marLeft w:val="0"/>
      <w:marRight w:val="0"/>
      <w:marTop w:val="0"/>
      <w:marBottom w:val="0"/>
      <w:divBdr>
        <w:top w:val="none" w:sz="0" w:space="0" w:color="auto"/>
        <w:left w:val="none" w:sz="0" w:space="0" w:color="auto"/>
        <w:bottom w:val="none" w:sz="0" w:space="0" w:color="auto"/>
        <w:right w:val="none" w:sz="0" w:space="0" w:color="auto"/>
      </w:divBdr>
      <w:divsChild>
        <w:div w:id="547883343">
          <w:marLeft w:val="547"/>
          <w:marRight w:val="0"/>
          <w:marTop w:val="120"/>
          <w:marBottom w:val="0"/>
          <w:divBdr>
            <w:top w:val="none" w:sz="0" w:space="0" w:color="auto"/>
            <w:left w:val="none" w:sz="0" w:space="0" w:color="auto"/>
            <w:bottom w:val="none" w:sz="0" w:space="0" w:color="auto"/>
            <w:right w:val="none" w:sz="0" w:space="0" w:color="auto"/>
          </w:divBdr>
        </w:div>
        <w:div w:id="681124996">
          <w:marLeft w:val="547"/>
          <w:marRight w:val="0"/>
          <w:marTop w:val="120"/>
          <w:marBottom w:val="0"/>
          <w:divBdr>
            <w:top w:val="none" w:sz="0" w:space="0" w:color="auto"/>
            <w:left w:val="none" w:sz="0" w:space="0" w:color="auto"/>
            <w:bottom w:val="none" w:sz="0" w:space="0" w:color="auto"/>
            <w:right w:val="none" w:sz="0" w:space="0" w:color="auto"/>
          </w:divBdr>
        </w:div>
        <w:div w:id="48843957">
          <w:marLeft w:val="547"/>
          <w:marRight w:val="0"/>
          <w:marTop w:val="120"/>
          <w:marBottom w:val="160"/>
          <w:divBdr>
            <w:top w:val="none" w:sz="0" w:space="0" w:color="auto"/>
            <w:left w:val="none" w:sz="0" w:space="0" w:color="auto"/>
            <w:bottom w:val="none" w:sz="0" w:space="0" w:color="auto"/>
            <w:right w:val="none" w:sz="0" w:space="0" w:color="auto"/>
          </w:divBdr>
        </w:div>
      </w:divsChild>
    </w:div>
    <w:div w:id="1482041606">
      <w:bodyDiv w:val="1"/>
      <w:marLeft w:val="0"/>
      <w:marRight w:val="0"/>
      <w:marTop w:val="0"/>
      <w:marBottom w:val="0"/>
      <w:divBdr>
        <w:top w:val="none" w:sz="0" w:space="0" w:color="auto"/>
        <w:left w:val="none" w:sz="0" w:space="0" w:color="auto"/>
        <w:bottom w:val="none" w:sz="0" w:space="0" w:color="auto"/>
        <w:right w:val="none" w:sz="0" w:space="0" w:color="auto"/>
      </w:divBdr>
    </w:div>
    <w:div w:id="1579947560">
      <w:bodyDiv w:val="1"/>
      <w:marLeft w:val="0"/>
      <w:marRight w:val="0"/>
      <w:marTop w:val="0"/>
      <w:marBottom w:val="0"/>
      <w:divBdr>
        <w:top w:val="none" w:sz="0" w:space="0" w:color="auto"/>
        <w:left w:val="none" w:sz="0" w:space="0" w:color="auto"/>
        <w:bottom w:val="none" w:sz="0" w:space="0" w:color="auto"/>
        <w:right w:val="none" w:sz="0" w:space="0" w:color="auto"/>
      </w:divBdr>
      <w:divsChild>
        <w:div w:id="361328017">
          <w:marLeft w:val="360"/>
          <w:marRight w:val="0"/>
          <w:marTop w:val="200"/>
          <w:marBottom w:val="160"/>
          <w:divBdr>
            <w:top w:val="none" w:sz="0" w:space="0" w:color="auto"/>
            <w:left w:val="none" w:sz="0" w:space="0" w:color="auto"/>
            <w:bottom w:val="none" w:sz="0" w:space="0" w:color="auto"/>
            <w:right w:val="none" w:sz="0" w:space="0" w:color="auto"/>
          </w:divBdr>
        </w:div>
        <w:div w:id="475494771">
          <w:marLeft w:val="360"/>
          <w:marRight w:val="0"/>
          <w:marTop w:val="200"/>
          <w:marBottom w:val="160"/>
          <w:divBdr>
            <w:top w:val="none" w:sz="0" w:space="0" w:color="auto"/>
            <w:left w:val="none" w:sz="0" w:space="0" w:color="auto"/>
            <w:bottom w:val="none" w:sz="0" w:space="0" w:color="auto"/>
            <w:right w:val="none" w:sz="0" w:space="0" w:color="auto"/>
          </w:divBdr>
        </w:div>
      </w:divsChild>
    </w:div>
    <w:div w:id="1891383955">
      <w:bodyDiv w:val="1"/>
      <w:marLeft w:val="0"/>
      <w:marRight w:val="0"/>
      <w:marTop w:val="0"/>
      <w:marBottom w:val="0"/>
      <w:divBdr>
        <w:top w:val="none" w:sz="0" w:space="0" w:color="auto"/>
        <w:left w:val="none" w:sz="0" w:space="0" w:color="auto"/>
        <w:bottom w:val="none" w:sz="0" w:space="0" w:color="auto"/>
        <w:right w:val="none" w:sz="0" w:space="0" w:color="auto"/>
      </w:divBdr>
    </w:div>
    <w:div w:id="1894661286">
      <w:bodyDiv w:val="1"/>
      <w:marLeft w:val="0"/>
      <w:marRight w:val="0"/>
      <w:marTop w:val="0"/>
      <w:marBottom w:val="0"/>
      <w:divBdr>
        <w:top w:val="none" w:sz="0" w:space="0" w:color="auto"/>
        <w:left w:val="none" w:sz="0" w:space="0" w:color="auto"/>
        <w:bottom w:val="none" w:sz="0" w:space="0" w:color="auto"/>
        <w:right w:val="none" w:sz="0" w:space="0" w:color="auto"/>
      </w:divBdr>
      <w:divsChild>
        <w:div w:id="1662270050">
          <w:marLeft w:val="446"/>
          <w:marRight w:val="0"/>
          <w:marTop w:val="0"/>
          <w:marBottom w:val="0"/>
          <w:divBdr>
            <w:top w:val="none" w:sz="0" w:space="0" w:color="auto"/>
            <w:left w:val="none" w:sz="0" w:space="0" w:color="auto"/>
            <w:bottom w:val="none" w:sz="0" w:space="0" w:color="auto"/>
            <w:right w:val="none" w:sz="0" w:space="0" w:color="auto"/>
          </w:divBdr>
        </w:div>
        <w:div w:id="537085332">
          <w:marLeft w:val="446"/>
          <w:marRight w:val="0"/>
          <w:marTop w:val="0"/>
          <w:marBottom w:val="0"/>
          <w:divBdr>
            <w:top w:val="none" w:sz="0" w:space="0" w:color="auto"/>
            <w:left w:val="none" w:sz="0" w:space="0" w:color="auto"/>
            <w:bottom w:val="none" w:sz="0" w:space="0" w:color="auto"/>
            <w:right w:val="none" w:sz="0" w:space="0" w:color="auto"/>
          </w:divBdr>
        </w:div>
        <w:div w:id="2107991934">
          <w:marLeft w:val="446"/>
          <w:marRight w:val="0"/>
          <w:marTop w:val="0"/>
          <w:marBottom w:val="0"/>
          <w:divBdr>
            <w:top w:val="none" w:sz="0" w:space="0" w:color="auto"/>
            <w:left w:val="none" w:sz="0" w:space="0" w:color="auto"/>
            <w:bottom w:val="none" w:sz="0" w:space="0" w:color="auto"/>
            <w:right w:val="none" w:sz="0" w:space="0" w:color="auto"/>
          </w:divBdr>
        </w:div>
      </w:divsChild>
    </w:div>
    <w:div w:id="1902985607">
      <w:bodyDiv w:val="1"/>
      <w:marLeft w:val="0"/>
      <w:marRight w:val="0"/>
      <w:marTop w:val="0"/>
      <w:marBottom w:val="0"/>
      <w:divBdr>
        <w:top w:val="none" w:sz="0" w:space="0" w:color="auto"/>
        <w:left w:val="none" w:sz="0" w:space="0" w:color="auto"/>
        <w:bottom w:val="none" w:sz="0" w:space="0" w:color="auto"/>
        <w:right w:val="none" w:sz="0" w:space="0" w:color="auto"/>
      </w:divBdr>
      <w:divsChild>
        <w:div w:id="1815486115">
          <w:marLeft w:val="547"/>
          <w:marRight w:val="0"/>
          <w:marTop w:val="200"/>
          <w:marBottom w:val="0"/>
          <w:divBdr>
            <w:top w:val="none" w:sz="0" w:space="0" w:color="auto"/>
            <w:left w:val="none" w:sz="0" w:space="0" w:color="auto"/>
            <w:bottom w:val="none" w:sz="0" w:space="0" w:color="auto"/>
            <w:right w:val="none" w:sz="0" w:space="0" w:color="auto"/>
          </w:divBdr>
        </w:div>
        <w:div w:id="758067305">
          <w:marLeft w:val="547"/>
          <w:marRight w:val="0"/>
          <w:marTop w:val="200"/>
          <w:marBottom w:val="0"/>
          <w:divBdr>
            <w:top w:val="none" w:sz="0" w:space="0" w:color="auto"/>
            <w:left w:val="none" w:sz="0" w:space="0" w:color="auto"/>
            <w:bottom w:val="none" w:sz="0" w:space="0" w:color="auto"/>
            <w:right w:val="none" w:sz="0" w:space="0" w:color="auto"/>
          </w:divBdr>
        </w:div>
        <w:div w:id="1296912498">
          <w:marLeft w:val="547"/>
          <w:marRight w:val="0"/>
          <w:marTop w:val="200"/>
          <w:marBottom w:val="0"/>
          <w:divBdr>
            <w:top w:val="none" w:sz="0" w:space="0" w:color="auto"/>
            <w:left w:val="none" w:sz="0" w:space="0" w:color="auto"/>
            <w:bottom w:val="none" w:sz="0" w:space="0" w:color="auto"/>
            <w:right w:val="none" w:sz="0" w:space="0" w:color="auto"/>
          </w:divBdr>
        </w:div>
        <w:div w:id="1296522250">
          <w:marLeft w:val="547"/>
          <w:marRight w:val="0"/>
          <w:marTop w:val="200"/>
          <w:marBottom w:val="0"/>
          <w:divBdr>
            <w:top w:val="none" w:sz="0" w:space="0" w:color="auto"/>
            <w:left w:val="none" w:sz="0" w:space="0" w:color="auto"/>
            <w:bottom w:val="none" w:sz="0" w:space="0" w:color="auto"/>
            <w:right w:val="none" w:sz="0" w:space="0" w:color="auto"/>
          </w:divBdr>
        </w:div>
        <w:div w:id="1637301175">
          <w:marLeft w:val="547"/>
          <w:marRight w:val="0"/>
          <w:marTop w:val="20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abidjan.net/articles/676928/conference-de-la-planification-du-pnd-2021-2025-le-discours-de-la-ministre-kaba-niale" TargetMode="External"/><Relationship Id="rId5" Type="http://schemas.openxmlformats.org/officeDocument/2006/relationships/webSettings" Target="webSettings.xml"/><Relationship Id="rId10" Type="http://schemas.openxmlformats.org/officeDocument/2006/relationships/hyperlink" Target="https://www.plan.gouv.ci/accueil/actualite/576" TargetMode="External"/><Relationship Id="rId4" Type="http://schemas.openxmlformats.org/officeDocument/2006/relationships/settings" Target="settings.xml"/><Relationship Id="rId9" Type="http://schemas.openxmlformats.org/officeDocument/2006/relationships/hyperlink" Target="http://www.cn-itie.ci/wp-content/uploads/2019/09/Arr%C3%AAt%C3%A9-du-CN-ITIE-2019.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1D7BE-57A1-4146-8D05-A59F7A452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4321</Words>
  <Characters>23766</Characters>
  <Application>Microsoft Office Word</Application>
  <DocSecurity>0</DocSecurity>
  <Lines>198</Lines>
  <Paragraphs>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CN-ITIE</dc:creator>
  <cp:keywords/>
  <dc:description/>
  <cp:lastModifiedBy>Utilisateur Windows</cp:lastModifiedBy>
  <cp:revision>2</cp:revision>
  <cp:lastPrinted>2019-07-23T16:02:00Z</cp:lastPrinted>
  <dcterms:created xsi:type="dcterms:W3CDTF">2021-12-17T09:40:00Z</dcterms:created>
  <dcterms:modified xsi:type="dcterms:W3CDTF">2021-12-17T09:40:00Z</dcterms:modified>
</cp:coreProperties>
</file>