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CF" w:rsidRPr="00681BCF" w:rsidRDefault="00681BCF" w:rsidP="00795A6A">
      <w:pPr>
        <w:shd w:val="clear" w:color="auto" w:fill="FFFFFF"/>
        <w:spacing w:before="315" w:after="105" w:line="300" w:lineRule="atLeast"/>
        <w:outlineLvl w:val="0"/>
        <w:rPr>
          <w:rFonts w:ascii="Arial" w:eastAsia="Times New Roman" w:hAnsi="Arial" w:cs="Arial"/>
          <w:b/>
          <w:bCs/>
          <w:color w:val="632423" w:themeColor="accent2" w:themeShade="80"/>
          <w:kern w:val="36"/>
          <w:sz w:val="54"/>
          <w:szCs w:val="54"/>
        </w:rPr>
      </w:pPr>
      <w:r w:rsidRPr="00681BCF">
        <w:rPr>
          <w:rFonts w:ascii="Arial" w:eastAsia="Times New Roman" w:hAnsi="Arial" w:cs="Arial"/>
          <w:b/>
          <w:bCs/>
          <w:color w:val="632423" w:themeColor="accent2" w:themeShade="80"/>
          <w:kern w:val="36"/>
          <w:sz w:val="54"/>
          <w:szCs w:val="54"/>
        </w:rPr>
        <w:t>The public gets more transparency in Mining and petrol</w:t>
      </w:r>
      <w:r w:rsidR="00631812">
        <w:rPr>
          <w:rFonts w:ascii="Arial" w:eastAsia="Times New Roman" w:hAnsi="Arial" w:cs="Arial"/>
          <w:b/>
          <w:bCs/>
          <w:color w:val="632423" w:themeColor="accent2" w:themeShade="80"/>
          <w:kern w:val="36"/>
          <w:sz w:val="54"/>
          <w:szCs w:val="54"/>
        </w:rPr>
        <w:t>eum</w:t>
      </w:r>
      <w:bookmarkStart w:id="0" w:name="_GoBack"/>
      <w:bookmarkEnd w:id="0"/>
      <w:r w:rsidRPr="00681BCF">
        <w:rPr>
          <w:rFonts w:ascii="Arial" w:eastAsia="Times New Roman" w:hAnsi="Arial" w:cs="Arial"/>
          <w:b/>
          <w:bCs/>
          <w:color w:val="632423" w:themeColor="accent2" w:themeShade="80"/>
          <w:kern w:val="36"/>
          <w:sz w:val="54"/>
          <w:szCs w:val="54"/>
        </w:rPr>
        <w:t xml:space="preserve"> sector</w:t>
      </w:r>
    </w:p>
    <w:p w:rsidR="00795A6A" w:rsidRPr="00795A6A" w:rsidRDefault="007455D5" w:rsidP="00795A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</w:pP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With the execution of the 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Extractive Industries Transparency In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itiative (EITI) standard, 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the public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will get more transparency i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n the mining sector and petroleum sector in Suriname. Dave </w:t>
      </w:r>
      <w:proofErr w:type="spellStart"/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Abeleven</w:t>
      </w:r>
      <w:proofErr w:type="spellEnd"/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, Director of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Natural R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esources (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NR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) stated that with the EITI standards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there will be 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more openness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between Government and the companies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.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Currently t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here are several advantages, </w:t>
      </w:r>
      <w:proofErr w:type="gramStart"/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once 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Suriname</w:t>
      </w:r>
      <w:proofErr w:type="gramEnd"/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becomes a 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member of the EITI,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namely: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strengthening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the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budget monitoring, annual analysis about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a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forementioned sectors, </w:t>
      </w:r>
      <w:proofErr w:type="spellStart"/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anti corruption</w:t>
      </w:r>
      <w:proofErr w:type="spellEnd"/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and confidence among the public is strengthened.</w:t>
      </w:r>
    </w:p>
    <w:p w:rsidR="00795A6A" w:rsidRPr="00795A6A" w:rsidRDefault="007455D5" w:rsidP="00795A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</w:pP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As a m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ember State Suriname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has to prove 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by means of reports what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the 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companies in the mining sector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are paying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the Government 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in </w:t>
      </w:r>
      <w:proofErr w:type="spellStart"/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i.a</w:t>
      </w:r>
      <w:proofErr w:type="spellEnd"/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. 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royalties and taxes and what the Government receives from these companies. In addition to the revenue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s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and expenditure</w:t>
      </w:r>
      <w:r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s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, the reports also include information on licenses and contracts, government stocks, production statistics, income and investment spending. The companies 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which are 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included in these sectors 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are </w:t>
      </w:r>
      <w:proofErr w:type="spellStart"/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i.a</w:t>
      </w:r>
      <w:proofErr w:type="spellEnd"/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. </w:t>
      </w:r>
      <w:proofErr w:type="spellStart"/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S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taatsolie</w:t>
      </w:r>
      <w:proofErr w:type="spellEnd"/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proofErr w:type="spellStart"/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Maatschappij</w:t>
      </w:r>
      <w:proofErr w:type="spellEnd"/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Suriname and Offshor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e operations (oil companies), </w:t>
      </w:r>
      <w:proofErr w:type="spellStart"/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Iam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Gold</w:t>
      </w:r>
      <w:proofErr w:type="spellEnd"/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and </w:t>
      </w:r>
      <w:proofErr w:type="spellStart"/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Surgold</w:t>
      </w:r>
      <w:proofErr w:type="spellEnd"/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(large scale gold sector), small-scale gold sector and bauxite and 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a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lumni are also 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mentioned 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despite the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fact </w:t>
      </w:r>
      <w:proofErr w:type="gramStart"/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that  the</w:t>
      </w:r>
      <w:proofErr w:type="gramEnd"/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pr</w:t>
      </w:r>
      <w:r w:rsidR="00795A6A"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oduction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has stopped.</w:t>
      </w:r>
    </w:p>
    <w:p w:rsidR="00795A6A" w:rsidRPr="00795A6A" w:rsidRDefault="00795A6A" w:rsidP="00795A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</w:pP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To become a member of EITI 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one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has to 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go through a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process. Today the first step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proofErr w:type="gramStart"/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was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made</w:t>
      </w:r>
      <w:proofErr w:type="gramEnd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towards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selecting a Multi-Stakeholders Group (MSG) during the workshop ' Extractive Industries Trans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parency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in Suriname ', and organized in the Conference Hall of the </w:t>
      </w:r>
      <w:proofErr w:type="spellStart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Lala</w:t>
      </w:r>
      <w:proofErr w:type="spellEnd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proofErr w:type="spellStart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Rookh</w:t>
      </w:r>
      <w:proofErr w:type="spellEnd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building. The workshop was intended for representatives of the Government, other </w:t>
      </w:r>
      <w:r w:rsidR="005062C9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companies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and social organizations.</w:t>
      </w:r>
    </w:p>
    <w:p w:rsidR="00795A6A" w:rsidRPr="00795A6A" w:rsidRDefault="00795A6A" w:rsidP="00795A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</w:pP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From the </w:t>
      </w:r>
      <w:proofErr w:type="gramStart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categories  Governme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nt</w:t>
      </w:r>
      <w:proofErr w:type="gramEnd"/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, companies and civil society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, three persons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are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appointed.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T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he MSG is expected to </w:t>
      </w:r>
      <w:proofErr w:type="gramStart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present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a</w:t>
      </w:r>
      <w:proofErr w:type="gramEnd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work plan in October,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on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how the standards will be carried out in Suriname.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On </w:t>
      </w:r>
      <w:proofErr w:type="gramStart"/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behalf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of</w:t>
      </w:r>
      <w:proofErr w:type="gramEnd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the Government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Valerie </w:t>
      </w:r>
      <w:proofErr w:type="spellStart"/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Refos-Lalji</w:t>
      </w:r>
      <w:proofErr w:type="spellEnd"/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gave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a presentation,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V. </w:t>
      </w:r>
      <w:proofErr w:type="spellStart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G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angram</w:t>
      </w:r>
      <w:proofErr w:type="spellEnd"/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proofErr w:type="spellStart"/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Panday</w:t>
      </w:r>
      <w:proofErr w:type="spellEnd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of State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O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il on behalf of the companies and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proofErr w:type="spellStart"/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Rayah</w:t>
      </w:r>
      <w:proofErr w:type="spellEnd"/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proofErr w:type="spellStart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Bhattacharji</w:t>
      </w:r>
      <w:proofErr w:type="spellEnd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on behalf of the civil society.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During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the </w:t>
      </w:r>
      <w:proofErr w:type="gramStart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workshop  proposals</w:t>
      </w:r>
      <w:proofErr w:type="gramEnd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were handed in regarding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the Term of Reference of the MSG, the </w:t>
      </w:r>
      <w:proofErr w:type="spellStart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Memoranum</w:t>
      </w:r>
      <w:proofErr w:type="spellEnd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of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U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nderstanding between stakeholders and the aforementioned stakeholders (Government,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companies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and social </w:t>
      </w:r>
      <w:proofErr w:type="spellStart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organisations</w:t>
      </w:r>
      <w:proofErr w:type="spellEnd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) about the processes.</w:t>
      </w:r>
    </w:p>
    <w:p w:rsidR="00795A6A" w:rsidRPr="00795A6A" w:rsidRDefault="00795A6A" w:rsidP="00795A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</w:pP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On 5 August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next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, a second meeting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will be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convened, in which the Term of Reference, </w:t>
      </w:r>
      <w:proofErr w:type="spellStart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Memoranum</w:t>
      </w:r>
      <w:proofErr w:type="spellEnd"/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of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U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nderstanding and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issues regarding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MSG will be finalized. On 7 October a national EITI Conference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will be 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organized with the aim of officially installing the MSG and the </w:t>
      </w:r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request </w:t>
      </w:r>
      <w:proofErr w:type="gramStart"/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for  the</w:t>
      </w:r>
      <w:proofErr w:type="gramEnd"/>
      <w:r w:rsidR="0029754D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 xml:space="preserve"> candidacy of Suriname will be s</w:t>
      </w:r>
      <w:r w:rsidRPr="00795A6A">
        <w:rPr>
          <w:rFonts w:ascii="Arial" w:eastAsia="Times New Roman" w:hAnsi="Arial" w:cs="Arial"/>
          <w:b/>
          <w:color w:val="632423" w:themeColor="accent2" w:themeShade="80"/>
          <w:sz w:val="21"/>
          <w:szCs w:val="21"/>
        </w:rPr>
        <w:t>ubmitted to the EITI board.</w:t>
      </w:r>
    </w:p>
    <w:p w:rsidR="00795A6A" w:rsidRDefault="00631812" w:rsidP="00795A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By</w:t>
      </w:r>
      <w:r w:rsidR="00795A6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Kimberley </w:t>
      </w:r>
      <w:proofErr w:type="spellStart"/>
      <w:r w:rsidR="00795A6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Fräser</w:t>
      </w:r>
      <w:proofErr w:type="spellEnd"/>
    </w:p>
    <w:p w:rsidR="00CD4952" w:rsidRDefault="00631812"/>
    <w:sectPr w:rsidR="00CD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6A"/>
    <w:rsid w:val="0029754D"/>
    <w:rsid w:val="005062C9"/>
    <w:rsid w:val="00631812"/>
    <w:rsid w:val="00681BCF"/>
    <w:rsid w:val="007455D5"/>
    <w:rsid w:val="00795A6A"/>
    <w:rsid w:val="009A2DAC"/>
    <w:rsid w:val="00F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Cornelly Codrington-Vianen</dc:creator>
  <cp:lastModifiedBy>Cornelly Codrington-Vianen</cp:lastModifiedBy>
  <cp:revision>2</cp:revision>
  <dcterms:created xsi:type="dcterms:W3CDTF">2017-04-11T15:06:00Z</dcterms:created>
  <dcterms:modified xsi:type="dcterms:W3CDTF">2017-04-11T16:05:00Z</dcterms:modified>
</cp:coreProperties>
</file>