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087FD" w14:textId="77777777" w:rsidR="00152FF5" w:rsidRPr="00962C19" w:rsidRDefault="00152FF5" w:rsidP="00152FF5">
      <w:pPr>
        <w:spacing w:before="120" w:after="120" w:line="220" w:lineRule="exact"/>
        <w:contextualSpacing/>
        <w:jc w:val="center"/>
        <w:rPr>
          <w:lang w:val="fr-FR"/>
        </w:rPr>
      </w:pPr>
      <w:bookmarkStart w:id="0" w:name="_GoBack"/>
      <w:bookmarkEnd w:id="0"/>
      <w:r>
        <w:rPr>
          <w:rFonts w:ascii="Calibri" w:eastAsia="Calibri" w:hAnsi="Calibri" w:cs="Calibri"/>
          <w:b/>
          <w:bCs/>
          <w:sz w:val="36"/>
          <w:szCs w:val="36"/>
          <w:bdr w:val="nil"/>
          <w:lang w:val="fr-FR"/>
        </w:rPr>
        <w:t>Tableau comparatif de la Validation 2016 du Kirghizistan</w:t>
      </w:r>
    </w:p>
    <w:p w14:paraId="4E7DAF94" w14:textId="77777777" w:rsidR="00152FF5" w:rsidRPr="00962C19" w:rsidRDefault="00152FF5" w:rsidP="00152FF5">
      <w:pPr>
        <w:spacing w:before="120" w:after="120" w:line="220" w:lineRule="exact"/>
        <w:contextualSpacing/>
        <w:rPr>
          <w:b/>
          <w:sz w:val="20"/>
          <w:szCs w:val="20"/>
          <w:lang w:val="fr-FR"/>
        </w:rPr>
      </w:pPr>
    </w:p>
    <w:tbl>
      <w:tblPr>
        <w:tblStyle w:val="TableGrid"/>
        <w:tblW w:w="15163" w:type="dxa"/>
        <w:tblLook w:val="04A0" w:firstRow="1" w:lastRow="0" w:firstColumn="1" w:lastColumn="0" w:noHBand="0" w:noVBand="1"/>
      </w:tblPr>
      <w:tblGrid>
        <w:gridCol w:w="2768"/>
        <w:gridCol w:w="2892"/>
        <w:gridCol w:w="2557"/>
        <w:gridCol w:w="2835"/>
        <w:gridCol w:w="2410"/>
        <w:gridCol w:w="1701"/>
      </w:tblGrid>
      <w:tr w:rsidR="000905FF" w14:paraId="7B665F46" w14:textId="77777777" w:rsidTr="00152FF5">
        <w:trPr>
          <w:cantSplit/>
          <w:tblHeader/>
        </w:trPr>
        <w:tc>
          <w:tcPr>
            <w:tcW w:w="2768" w:type="dxa"/>
            <w:shd w:val="clear" w:color="auto" w:fill="D9D9D9" w:themeFill="background1" w:themeFillShade="D9"/>
          </w:tcPr>
          <w:p w14:paraId="46C5A339" w14:textId="77777777" w:rsidR="00152FF5" w:rsidRPr="00A03321" w:rsidRDefault="00152FF5" w:rsidP="00152FF5">
            <w:pPr>
              <w:spacing w:before="120" w:after="120" w:line="220" w:lineRule="exact"/>
              <w:contextualSpacing/>
              <w:rPr>
                <w:b/>
                <w:sz w:val="20"/>
                <w:szCs w:val="20"/>
              </w:rPr>
            </w:pPr>
            <w:r>
              <w:rPr>
                <w:rFonts w:ascii="Calibri" w:eastAsia="Calibri" w:hAnsi="Calibri" w:cs="Calibri"/>
                <w:b/>
                <w:bCs/>
                <w:sz w:val="20"/>
                <w:szCs w:val="20"/>
                <w:bdr w:val="nil"/>
                <w:lang w:val="fr-FR"/>
              </w:rPr>
              <w:t>Exigence</w:t>
            </w:r>
          </w:p>
        </w:tc>
        <w:tc>
          <w:tcPr>
            <w:tcW w:w="2892" w:type="dxa"/>
            <w:shd w:val="clear" w:color="auto" w:fill="D9D9D9" w:themeFill="background1" w:themeFillShade="D9"/>
          </w:tcPr>
          <w:p w14:paraId="27138F1C" w14:textId="77777777" w:rsidR="00152FF5" w:rsidRPr="00962C19" w:rsidRDefault="00152FF5" w:rsidP="00152FF5">
            <w:pPr>
              <w:spacing w:before="120" w:after="120" w:line="220" w:lineRule="exact"/>
              <w:contextualSpacing/>
              <w:rPr>
                <w:b/>
                <w:sz w:val="20"/>
                <w:szCs w:val="20"/>
                <w:lang w:val="fr-FR"/>
              </w:rPr>
            </w:pPr>
            <w:r>
              <w:rPr>
                <w:rFonts w:ascii="Calibri" w:eastAsia="Calibri" w:hAnsi="Calibri" w:cs="Calibri"/>
                <w:b/>
                <w:bCs/>
                <w:sz w:val="20"/>
                <w:szCs w:val="20"/>
                <w:bdr w:val="nil"/>
                <w:lang w:val="fr-FR"/>
              </w:rPr>
              <w:t>Évaluation initiale du Secrétariat international (</w:t>
            </w:r>
            <w:hyperlink r:id="rId11" w:history="1">
              <w:r>
                <w:rPr>
                  <w:rFonts w:ascii="Calibri" w:eastAsia="Calibri" w:hAnsi="Calibri" w:cs="Calibri"/>
                  <w:b/>
                  <w:bCs/>
                  <w:color w:val="0000FF"/>
                  <w:sz w:val="20"/>
                  <w:szCs w:val="20"/>
                  <w:u w:val="single"/>
                  <w:bdr w:val="nil"/>
                  <w:lang w:val="fr-FR"/>
                </w:rPr>
                <w:t>Source</w:t>
              </w:r>
            </w:hyperlink>
            <w:r>
              <w:rPr>
                <w:rFonts w:ascii="Calibri" w:eastAsia="Calibri" w:hAnsi="Calibri" w:cs="Calibri"/>
                <w:b/>
                <w:bCs/>
                <w:sz w:val="20"/>
                <w:szCs w:val="20"/>
                <w:bdr w:val="nil"/>
                <w:lang w:val="fr-FR"/>
              </w:rPr>
              <w:t>)</w:t>
            </w:r>
          </w:p>
        </w:tc>
        <w:tc>
          <w:tcPr>
            <w:tcW w:w="2557" w:type="dxa"/>
            <w:shd w:val="clear" w:color="auto" w:fill="D9D9D9" w:themeFill="background1" w:themeFillShade="D9"/>
          </w:tcPr>
          <w:p w14:paraId="3465F100" w14:textId="77777777" w:rsidR="00152FF5" w:rsidRPr="00962C19" w:rsidRDefault="00152FF5" w:rsidP="00152FF5">
            <w:pPr>
              <w:spacing w:before="120" w:after="120" w:line="220" w:lineRule="exact"/>
              <w:contextualSpacing/>
              <w:rPr>
                <w:b/>
                <w:sz w:val="20"/>
                <w:szCs w:val="20"/>
                <w:lang w:val="fr-FR"/>
              </w:rPr>
            </w:pPr>
            <w:r>
              <w:rPr>
                <w:rFonts w:ascii="Calibri" w:eastAsia="Calibri" w:hAnsi="Calibri" w:cs="Calibri"/>
                <w:b/>
                <w:bCs/>
                <w:sz w:val="20"/>
                <w:szCs w:val="20"/>
                <w:bdr w:val="nil"/>
                <w:lang w:val="fr-FR"/>
              </w:rPr>
              <w:t>Commentaires des parties prenantes sur le rapport initial du Secrétariat (</w:t>
            </w:r>
            <w:hyperlink r:id="rId12" w:history="1">
              <w:r>
                <w:rPr>
                  <w:rFonts w:ascii="Calibri" w:eastAsia="Calibri" w:hAnsi="Calibri" w:cs="Calibri"/>
                  <w:b/>
                  <w:bCs/>
                  <w:color w:val="0000FF"/>
                  <w:sz w:val="20"/>
                  <w:szCs w:val="20"/>
                  <w:u w:val="single"/>
                  <w:bdr w:val="nil"/>
                  <w:lang w:val="fr-FR"/>
                </w:rPr>
                <w:t>Source</w:t>
              </w:r>
            </w:hyperlink>
            <w:r>
              <w:rPr>
                <w:rFonts w:ascii="Calibri" w:eastAsia="Calibri" w:hAnsi="Calibri" w:cs="Calibri"/>
                <w:b/>
                <w:bCs/>
                <w:sz w:val="20"/>
                <w:szCs w:val="20"/>
                <w:bdr w:val="nil"/>
                <w:lang w:val="fr-FR"/>
              </w:rPr>
              <w:t>)</w:t>
            </w:r>
          </w:p>
        </w:tc>
        <w:tc>
          <w:tcPr>
            <w:tcW w:w="2835" w:type="dxa"/>
            <w:shd w:val="clear" w:color="auto" w:fill="D9D9D9" w:themeFill="background1" w:themeFillShade="D9"/>
          </w:tcPr>
          <w:p w14:paraId="45DB5FF2" w14:textId="77777777" w:rsidR="00152FF5" w:rsidRPr="00962C19" w:rsidRDefault="00152FF5" w:rsidP="00152FF5">
            <w:pPr>
              <w:spacing w:before="120" w:after="120" w:line="220" w:lineRule="exact"/>
              <w:contextualSpacing/>
              <w:rPr>
                <w:b/>
                <w:sz w:val="20"/>
                <w:szCs w:val="20"/>
                <w:lang w:val="fr-FR"/>
              </w:rPr>
            </w:pPr>
            <w:r>
              <w:rPr>
                <w:rFonts w:ascii="Calibri" w:eastAsia="Calibri" w:hAnsi="Calibri" w:cs="Calibri"/>
                <w:b/>
                <w:bCs/>
                <w:sz w:val="20"/>
                <w:szCs w:val="20"/>
                <w:bdr w:val="nil"/>
                <w:lang w:val="fr-FR"/>
              </w:rPr>
              <w:t xml:space="preserve">Évaluation du Validateur </w:t>
            </w:r>
            <w:r w:rsidR="0048272B">
              <w:rPr>
                <w:rFonts w:ascii="Calibri" w:eastAsia="Calibri" w:hAnsi="Calibri" w:cs="Calibri"/>
                <w:b/>
                <w:bCs/>
                <w:sz w:val="20"/>
                <w:szCs w:val="20"/>
                <w:bdr w:val="nil"/>
                <w:lang w:val="fr-FR"/>
              </w:rPr>
              <w:t>I</w:t>
            </w:r>
            <w:r>
              <w:rPr>
                <w:rFonts w:ascii="Calibri" w:eastAsia="Calibri" w:hAnsi="Calibri" w:cs="Calibri"/>
                <w:b/>
                <w:bCs/>
                <w:sz w:val="20"/>
                <w:szCs w:val="20"/>
                <w:bdr w:val="nil"/>
                <w:lang w:val="fr-FR"/>
              </w:rPr>
              <w:t>ndépendant (</w:t>
            </w:r>
            <w:hyperlink r:id="rId13" w:history="1">
              <w:r>
                <w:rPr>
                  <w:rFonts w:ascii="Calibri" w:eastAsia="Calibri" w:hAnsi="Calibri" w:cs="Calibri"/>
                  <w:b/>
                  <w:bCs/>
                  <w:color w:val="0000FF"/>
                  <w:sz w:val="20"/>
                  <w:szCs w:val="20"/>
                  <w:u w:val="single"/>
                  <w:bdr w:val="nil"/>
                  <w:lang w:val="fr-FR"/>
                </w:rPr>
                <w:t>Source</w:t>
              </w:r>
            </w:hyperlink>
            <w:r>
              <w:rPr>
                <w:rFonts w:ascii="Calibri" w:eastAsia="Calibri" w:hAnsi="Calibri" w:cs="Calibri"/>
                <w:b/>
                <w:bCs/>
                <w:sz w:val="20"/>
                <w:szCs w:val="20"/>
                <w:bdr w:val="nil"/>
                <w:lang w:val="fr-FR"/>
              </w:rPr>
              <w:t>)</w:t>
            </w:r>
          </w:p>
        </w:tc>
        <w:tc>
          <w:tcPr>
            <w:tcW w:w="2410" w:type="dxa"/>
            <w:shd w:val="clear" w:color="auto" w:fill="D9D9D9" w:themeFill="background1" w:themeFillShade="D9"/>
          </w:tcPr>
          <w:p w14:paraId="0BFCA3AE" w14:textId="77777777" w:rsidR="00152FF5" w:rsidRPr="00962C19" w:rsidRDefault="00152FF5" w:rsidP="00152FF5">
            <w:pPr>
              <w:spacing w:before="120" w:after="120" w:line="220" w:lineRule="exact"/>
              <w:contextualSpacing/>
              <w:rPr>
                <w:sz w:val="20"/>
                <w:szCs w:val="20"/>
                <w:lang w:val="fr-FR"/>
              </w:rPr>
            </w:pPr>
            <w:r>
              <w:rPr>
                <w:rFonts w:ascii="Calibri" w:eastAsia="Calibri" w:hAnsi="Calibri" w:cs="Calibri"/>
                <w:b/>
                <w:bCs/>
                <w:sz w:val="20"/>
                <w:szCs w:val="20"/>
                <w:bdr w:val="nil"/>
                <w:lang w:val="fr-FR"/>
              </w:rPr>
              <w:t xml:space="preserve">Commentaires des parties prenantes sur le rapport de Validation </w:t>
            </w:r>
          </w:p>
          <w:p w14:paraId="761FF8BD" w14:textId="77777777" w:rsidR="00152FF5" w:rsidRPr="00962C19" w:rsidRDefault="00152FF5" w:rsidP="00152FF5">
            <w:pPr>
              <w:spacing w:before="120" w:after="120" w:line="220" w:lineRule="exact"/>
              <w:contextualSpacing/>
              <w:rPr>
                <w:b/>
                <w:sz w:val="20"/>
                <w:szCs w:val="20"/>
                <w:lang w:val="fr-FR"/>
              </w:rPr>
            </w:pPr>
            <w:r>
              <w:rPr>
                <w:rFonts w:ascii="Calibri" w:eastAsia="Calibri" w:hAnsi="Calibri" w:cs="Calibri"/>
                <w:sz w:val="20"/>
                <w:szCs w:val="20"/>
                <w:bdr w:val="nil"/>
                <w:lang w:val="fr-FR"/>
              </w:rPr>
              <w:t>(</w:t>
            </w:r>
            <w:hyperlink r:id="rId14" w:history="1">
              <w:r>
                <w:rPr>
                  <w:rFonts w:ascii="Calibri" w:eastAsia="Calibri" w:hAnsi="Calibri" w:cs="Calibri"/>
                  <w:b/>
                  <w:bCs/>
                  <w:color w:val="0000FF"/>
                  <w:sz w:val="20"/>
                  <w:szCs w:val="20"/>
                  <w:u w:val="single"/>
                  <w:bdr w:val="nil"/>
                  <w:lang w:val="fr-FR"/>
                </w:rPr>
                <w:t>Source</w:t>
              </w:r>
            </w:hyperlink>
            <w:r>
              <w:rPr>
                <w:rFonts w:ascii="Calibri" w:eastAsia="Calibri" w:hAnsi="Calibri" w:cs="Calibri"/>
                <w:b/>
                <w:bCs/>
                <w:sz w:val="20"/>
                <w:szCs w:val="20"/>
                <w:bdr w:val="nil"/>
                <w:lang w:val="fr-FR"/>
              </w:rPr>
              <w:t xml:space="preserve"> pour les commentaires du Groupe multipartite</w:t>
            </w:r>
            <w:r w:rsidR="00921573">
              <w:rPr>
                <w:rFonts w:ascii="Calibri" w:eastAsia="Calibri" w:hAnsi="Calibri" w:cs="Calibri"/>
                <w:b/>
                <w:bCs/>
                <w:sz w:val="20"/>
                <w:szCs w:val="20"/>
                <w:bdr w:val="nil"/>
                <w:lang w:val="fr-FR"/>
              </w:rPr>
              <w:t> </w:t>
            </w:r>
            <w:r>
              <w:rPr>
                <w:rFonts w:ascii="Calibri" w:eastAsia="Calibri" w:hAnsi="Calibri" w:cs="Calibri"/>
                <w:b/>
                <w:bCs/>
                <w:sz w:val="20"/>
                <w:szCs w:val="20"/>
                <w:bdr w:val="nil"/>
                <w:lang w:val="fr-FR"/>
              </w:rPr>
              <w:t xml:space="preserve">; </w:t>
            </w:r>
            <w:hyperlink r:id="rId15" w:history="1">
              <w:r>
                <w:rPr>
                  <w:rFonts w:ascii="Calibri" w:eastAsia="Calibri" w:hAnsi="Calibri" w:cs="Calibri"/>
                  <w:b/>
                  <w:bCs/>
                  <w:color w:val="0000FF"/>
                  <w:sz w:val="20"/>
                  <w:szCs w:val="20"/>
                  <w:u w:val="single"/>
                  <w:bdr w:val="nil"/>
                  <w:lang w:val="fr-FR"/>
                </w:rPr>
                <w:t>Source</w:t>
              </w:r>
            </w:hyperlink>
            <w:r>
              <w:rPr>
                <w:rFonts w:ascii="Calibri" w:eastAsia="Calibri" w:hAnsi="Calibri" w:cs="Calibri"/>
                <w:b/>
                <w:bCs/>
                <w:sz w:val="20"/>
                <w:szCs w:val="20"/>
                <w:bdr w:val="nil"/>
                <w:lang w:val="fr-FR"/>
              </w:rPr>
              <w:t xml:space="preserve"> pour les commentaires de l’industrie</w:t>
            </w:r>
            <w:r w:rsidR="00921573">
              <w:rPr>
                <w:rFonts w:ascii="Calibri" w:eastAsia="Calibri" w:hAnsi="Calibri" w:cs="Calibri"/>
                <w:b/>
                <w:bCs/>
                <w:sz w:val="20"/>
                <w:szCs w:val="20"/>
                <w:bdr w:val="nil"/>
                <w:lang w:val="fr-FR"/>
              </w:rPr>
              <w:t> </w:t>
            </w:r>
            <w:r>
              <w:rPr>
                <w:rFonts w:ascii="Calibri" w:eastAsia="Calibri" w:hAnsi="Calibri" w:cs="Calibri"/>
                <w:b/>
                <w:bCs/>
                <w:sz w:val="20"/>
                <w:szCs w:val="20"/>
                <w:bdr w:val="nil"/>
                <w:lang w:val="fr-FR"/>
              </w:rPr>
              <w:t xml:space="preserve">; </w:t>
            </w:r>
            <w:hyperlink r:id="rId16" w:history="1">
              <w:r>
                <w:rPr>
                  <w:rFonts w:ascii="Calibri" w:eastAsia="Calibri" w:hAnsi="Calibri" w:cs="Calibri"/>
                  <w:b/>
                  <w:bCs/>
                  <w:color w:val="0000FF"/>
                  <w:sz w:val="20"/>
                  <w:szCs w:val="20"/>
                  <w:u w:val="single"/>
                  <w:bdr w:val="nil"/>
                  <w:lang w:val="fr-FR"/>
                </w:rPr>
                <w:t>Source</w:t>
              </w:r>
            </w:hyperlink>
            <w:r>
              <w:rPr>
                <w:rFonts w:ascii="Calibri" w:eastAsia="Calibri" w:hAnsi="Calibri" w:cs="Calibri"/>
                <w:b/>
                <w:bCs/>
                <w:sz w:val="20"/>
                <w:szCs w:val="20"/>
                <w:bdr w:val="nil"/>
                <w:lang w:val="fr-FR"/>
              </w:rPr>
              <w:t xml:space="preserve"> pour les commentaires de l’Administrateur </w:t>
            </w:r>
            <w:r w:rsidR="00CD75A1">
              <w:rPr>
                <w:rFonts w:ascii="Calibri" w:eastAsia="Calibri" w:hAnsi="Calibri" w:cs="Calibri"/>
                <w:b/>
                <w:bCs/>
                <w:sz w:val="20"/>
                <w:szCs w:val="20"/>
                <w:bdr w:val="nil"/>
                <w:lang w:val="fr-FR"/>
              </w:rPr>
              <w:t>I</w:t>
            </w:r>
            <w:r>
              <w:rPr>
                <w:rFonts w:ascii="Calibri" w:eastAsia="Calibri" w:hAnsi="Calibri" w:cs="Calibri"/>
                <w:b/>
                <w:bCs/>
                <w:sz w:val="20"/>
                <w:szCs w:val="20"/>
                <w:bdr w:val="nil"/>
                <w:lang w:val="fr-FR"/>
              </w:rPr>
              <w:t>nd</w:t>
            </w:r>
            <w:r w:rsidR="00962C19">
              <w:rPr>
                <w:rFonts w:ascii="Calibri" w:eastAsia="Calibri" w:hAnsi="Calibri" w:cs="Calibri"/>
                <w:b/>
                <w:bCs/>
                <w:sz w:val="20"/>
                <w:szCs w:val="20"/>
                <w:bdr w:val="nil"/>
                <w:lang w:val="fr-FR"/>
              </w:rPr>
              <w:t>épendant</w:t>
            </w:r>
            <w:r>
              <w:rPr>
                <w:rFonts w:ascii="Calibri" w:eastAsia="Calibri" w:hAnsi="Calibri" w:cs="Calibri"/>
                <w:sz w:val="20"/>
                <w:szCs w:val="20"/>
                <w:bdr w:val="nil"/>
                <w:lang w:val="fr-FR"/>
              </w:rPr>
              <w:t>)</w:t>
            </w:r>
            <w:r>
              <w:rPr>
                <w:rFonts w:ascii="Calibri" w:eastAsia="Calibri" w:hAnsi="Calibri" w:cs="Calibri"/>
                <w:b/>
                <w:bCs/>
                <w:sz w:val="20"/>
                <w:szCs w:val="20"/>
                <w:bdr w:val="nil"/>
                <w:lang w:val="fr-FR"/>
              </w:rPr>
              <w:t xml:space="preserve"> </w:t>
            </w:r>
          </w:p>
        </w:tc>
        <w:tc>
          <w:tcPr>
            <w:tcW w:w="1701" w:type="dxa"/>
            <w:shd w:val="clear" w:color="auto" w:fill="D9D9D9" w:themeFill="background1" w:themeFillShade="D9"/>
          </w:tcPr>
          <w:p w14:paraId="43966325" w14:textId="77777777" w:rsidR="00152FF5" w:rsidRPr="00A03321" w:rsidRDefault="00152FF5" w:rsidP="00152FF5">
            <w:pPr>
              <w:spacing w:before="120" w:after="120" w:line="220" w:lineRule="exact"/>
              <w:contextualSpacing/>
              <w:rPr>
                <w:b/>
                <w:sz w:val="20"/>
                <w:szCs w:val="20"/>
              </w:rPr>
            </w:pPr>
            <w:r>
              <w:rPr>
                <w:rFonts w:ascii="Calibri" w:eastAsia="Calibri" w:hAnsi="Calibri" w:cs="Calibri"/>
                <w:b/>
                <w:bCs/>
                <w:sz w:val="20"/>
                <w:szCs w:val="20"/>
                <w:bdr w:val="nil"/>
                <w:lang w:val="fr-FR"/>
              </w:rPr>
              <w:t>Étapes suivantes</w:t>
            </w:r>
          </w:p>
        </w:tc>
      </w:tr>
      <w:tr w:rsidR="000905FF" w:rsidRPr="00B5300C" w14:paraId="0503E94F" w14:textId="77777777" w:rsidTr="00152FF5">
        <w:tc>
          <w:tcPr>
            <w:tcW w:w="2768" w:type="dxa"/>
          </w:tcPr>
          <w:p w14:paraId="216202A8" w14:textId="77777777" w:rsidR="00152FF5" w:rsidRPr="00962C19" w:rsidRDefault="00152FF5" w:rsidP="00152FF5">
            <w:pPr>
              <w:spacing w:before="120" w:after="120" w:line="220" w:lineRule="exact"/>
              <w:contextualSpacing/>
              <w:rPr>
                <w:sz w:val="20"/>
                <w:szCs w:val="20"/>
                <w:lang w:val="fr-FR"/>
              </w:rPr>
            </w:pPr>
            <w:r>
              <w:rPr>
                <w:rFonts w:ascii="Calibri" w:eastAsia="Calibri" w:hAnsi="Calibri" w:cs="Calibri"/>
                <w:sz w:val="20"/>
                <w:szCs w:val="20"/>
                <w:bdr w:val="nil"/>
                <w:lang w:val="fr-FR"/>
              </w:rPr>
              <w:t>1.2 Participation des entreprises</w:t>
            </w:r>
          </w:p>
          <w:p w14:paraId="480CB52E" w14:textId="77777777" w:rsidR="00152FF5" w:rsidRPr="00962C19" w:rsidRDefault="00152FF5" w:rsidP="00152FF5">
            <w:pPr>
              <w:autoSpaceDE w:val="0"/>
              <w:autoSpaceDN w:val="0"/>
              <w:adjustRightInd w:val="0"/>
              <w:spacing w:before="120" w:after="120" w:line="220" w:lineRule="exact"/>
              <w:contextualSpacing/>
              <w:rPr>
                <w:rFonts w:cs="MyriadPro-Regular"/>
                <w:sz w:val="20"/>
                <w:szCs w:val="20"/>
                <w:lang w:val="fr-FR"/>
              </w:rPr>
            </w:pPr>
            <w:r>
              <w:rPr>
                <w:rFonts w:ascii="Calibri" w:eastAsia="Calibri" w:hAnsi="Calibri" w:cs="Calibri"/>
                <w:sz w:val="20"/>
                <w:szCs w:val="20"/>
                <w:bdr w:val="nil"/>
                <w:lang w:val="fr-FR"/>
              </w:rPr>
              <w:t>a) Les entreprises doivent participer pleinement, effectivement et activement au processus ITIE.</w:t>
            </w:r>
          </w:p>
          <w:p w14:paraId="2A8F90DC" w14:textId="77777777" w:rsidR="00152FF5" w:rsidRPr="00962C19" w:rsidRDefault="00152FF5" w:rsidP="00152FF5">
            <w:pPr>
              <w:autoSpaceDE w:val="0"/>
              <w:autoSpaceDN w:val="0"/>
              <w:adjustRightInd w:val="0"/>
              <w:spacing w:before="120" w:after="120" w:line="220" w:lineRule="exact"/>
              <w:contextualSpacing/>
              <w:rPr>
                <w:rFonts w:cs="MyriadPro-Regular"/>
                <w:sz w:val="20"/>
                <w:szCs w:val="20"/>
                <w:lang w:val="fr-FR"/>
              </w:rPr>
            </w:pPr>
            <w:r>
              <w:rPr>
                <w:rFonts w:ascii="Calibri" w:eastAsia="Calibri" w:hAnsi="Calibri" w:cs="Calibri"/>
                <w:sz w:val="20"/>
                <w:szCs w:val="20"/>
                <w:bdr w:val="nil"/>
                <w:lang w:val="fr-FR"/>
              </w:rPr>
              <w:t>Le gouvernement doit garantir un environnement propice à la participation des entreprises, eu égard aux lois, règlements et règles administratives pertinents ainsi qu’aux pratiques concrètes en matière de mise en œuvre de l’ITIE.  Les droits fondamentaux des représentants des entreprises participant substantiellement aux activités de l’ITIE doivent être respectés, y compris, mais sans s’y limiter, ceux des membres du Groupe multipartite.</w:t>
            </w:r>
          </w:p>
          <w:p w14:paraId="60B51805" w14:textId="77777777" w:rsidR="00152FF5" w:rsidRPr="00962C19" w:rsidRDefault="00152FF5" w:rsidP="00152FF5">
            <w:pPr>
              <w:autoSpaceDE w:val="0"/>
              <w:autoSpaceDN w:val="0"/>
              <w:adjustRightInd w:val="0"/>
              <w:spacing w:before="120" w:after="120" w:line="220" w:lineRule="exact"/>
              <w:contextualSpacing/>
              <w:rPr>
                <w:rFonts w:cs="MyriadPro-Regular"/>
                <w:sz w:val="20"/>
                <w:szCs w:val="20"/>
                <w:lang w:val="fr-FR"/>
              </w:rPr>
            </w:pPr>
            <w:r>
              <w:rPr>
                <w:rFonts w:ascii="Calibri" w:eastAsia="Calibri" w:hAnsi="Calibri" w:cs="Calibri"/>
                <w:sz w:val="20"/>
                <w:szCs w:val="20"/>
                <w:bdr w:val="nil"/>
                <w:lang w:val="fr-FR"/>
              </w:rPr>
              <w:t xml:space="preserve">c) Le gouvernement doit s’assurer qu’il n’existe pas d’obstacles à la participation des entreprises au processus ITIE. </w:t>
            </w:r>
          </w:p>
        </w:tc>
        <w:tc>
          <w:tcPr>
            <w:tcW w:w="2892" w:type="dxa"/>
          </w:tcPr>
          <w:p w14:paraId="1E675854" w14:textId="77777777" w:rsidR="00152FF5" w:rsidRPr="00962C19" w:rsidRDefault="00152FF5" w:rsidP="00152FF5">
            <w:pPr>
              <w:autoSpaceDE w:val="0"/>
              <w:autoSpaceDN w:val="0"/>
              <w:adjustRightInd w:val="0"/>
              <w:spacing w:before="120" w:after="120" w:line="220" w:lineRule="exact"/>
              <w:contextualSpacing/>
              <w:rPr>
                <w:rFonts w:eastAsia="Calibri"/>
                <w:b/>
                <w:sz w:val="20"/>
                <w:szCs w:val="20"/>
                <w:lang w:val="fr-FR"/>
              </w:rPr>
            </w:pPr>
            <w:r>
              <w:rPr>
                <w:rFonts w:ascii="Calibri" w:eastAsia="Calibri" w:hAnsi="Calibri" w:cs="Calibri"/>
                <w:sz w:val="20"/>
                <w:szCs w:val="20"/>
                <w:bdr w:val="nil"/>
                <w:lang w:val="fr-FR"/>
              </w:rPr>
              <w:t>L’évaluation initiale du Secréta</w:t>
            </w:r>
            <w:r w:rsidR="00962C19">
              <w:rPr>
                <w:rFonts w:ascii="Calibri" w:eastAsia="Calibri" w:hAnsi="Calibri" w:cs="Calibri"/>
                <w:sz w:val="20"/>
                <w:szCs w:val="20"/>
                <w:bdr w:val="nil"/>
                <w:lang w:val="fr-FR"/>
              </w:rPr>
              <w:t xml:space="preserve">riat international </w:t>
            </w:r>
            <w:r w:rsidR="00D256EA">
              <w:rPr>
                <w:rFonts w:ascii="Calibri" w:eastAsia="Calibri" w:hAnsi="Calibri" w:cs="Calibri"/>
                <w:sz w:val="20"/>
                <w:szCs w:val="20"/>
                <w:bdr w:val="nil"/>
                <w:lang w:val="fr-FR"/>
              </w:rPr>
              <w:t xml:space="preserve">l’a amené à </w:t>
            </w:r>
            <w:r w:rsidR="00962C19">
              <w:rPr>
                <w:rFonts w:ascii="Calibri" w:eastAsia="Calibri" w:hAnsi="Calibri" w:cs="Calibri"/>
                <w:sz w:val="20"/>
                <w:szCs w:val="20"/>
                <w:bdr w:val="nil"/>
                <w:lang w:val="fr-FR"/>
              </w:rPr>
              <w:t>conclu</w:t>
            </w:r>
            <w:r w:rsidR="00D256EA">
              <w:rPr>
                <w:rFonts w:ascii="Calibri" w:eastAsia="Calibri" w:hAnsi="Calibri" w:cs="Calibri"/>
                <w:sz w:val="20"/>
                <w:szCs w:val="20"/>
                <w:bdr w:val="nil"/>
                <w:lang w:val="fr-FR"/>
              </w:rPr>
              <w:t>re</w:t>
            </w:r>
            <w:r w:rsidR="00962C19">
              <w:rPr>
                <w:rFonts w:ascii="Calibri" w:eastAsia="Calibri" w:hAnsi="Calibri" w:cs="Calibri"/>
                <w:sz w:val="20"/>
                <w:szCs w:val="20"/>
                <w:bdr w:val="nil"/>
                <w:lang w:val="fr-FR"/>
              </w:rPr>
              <w:t xml:space="preserve"> qu</w:t>
            </w:r>
            <w:r>
              <w:rPr>
                <w:rFonts w:ascii="Calibri" w:eastAsia="Calibri" w:hAnsi="Calibri" w:cs="Calibri"/>
                <w:sz w:val="20"/>
                <w:szCs w:val="20"/>
                <w:bdr w:val="nil"/>
                <w:lang w:val="fr-FR"/>
              </w:rPr>
              <w:t>’</w:t>
            </w:r>
            <w:r w:rsidR="00962C19">
              <w:rPr>
                <w:rFonts w:ascii="Calibri" w:eastAsia="Calibri" w:hAnsi="Calibri" w:cs="Calibri"/>
                <w:sz w:val="20"/>
                <w:szCs w:val="20"/>
                <w:bdr w:val="nil"/>
                <w:lang w:val="fr-FR"/>
              </w:rPr>
              <w:t>« </w:t>
            </w:r>
            <w:r>
              <w:rPr>
                <w:rFonts w:ascii="Calibri" w:eastAsia="Calibri" w:hAnsi="Calibri" w:cs="Calibri"/>
                <w:sz w:val="20"/>
                <w:szCs w:val="20"/>
                <w:bdr w:val="nil"/>
                <w:lang w:val="fr-FR"/>
              </w:rPr>
              <w:t xml:space="preserve">[...] il ne semble pas exister </w:t>
            </w:r>
            <w:r w:rsidR="00DD55C8">
              <w:rPr>
                <w:rFonts w:ascii="Calibri" w:eastAsia="Calibri" w:hAnsi="Calibri" w:cs="Calibri"/>
                <w:sz w:val="20"/>
                <w:szCs w:val="20"/>
                <w:bdr w:val="nil"/>
                <w:lang w:val="fr-FR"/>
              </w:rPr>
              <w:t>d’</w:t>
            </w:r>
            <w:r>
              <w:rPr>
                <w:rFonts w:ascii="Calibri" w:eastAsia="Calibri" w:hAnsi="Calibri" w:cs="Calibri"/>
                <w:sz w:val="20"/>
                <w:szCs w:val="20"/>
                <w:bdr w:val="nil"/>
                <w:lang w:val="fr-FR"/>
              </w:rPr>
              <w:t xml:space="preserve">obstacles juridiques empêchant la participation des entreprises à l’ITIE. Les 89 entreprises extractives les plus importantes ont volontairement soumis leur déclaration au titre de la Norme en 2014. </w:t>
            </w:r>
            <w:r w:rsidR="00962C19">
              <w:rPr>
                <w:rFonts w:ascii="Calibri" w:eastAsia="Calibri" w:hAnsi="Calibri" w:cs="Calibri"/>
                <w:sz w:val="20"/>
                <w:szCs w:val="20"/>
                <w:bdr w:val="nil"/>
                <w:lang w:val="fr-FR"/>
              </w:rPr>
              <w:t>Bien que ce</w:t>
            </w:r>
            <w:r w:rsidR="00DD55C8">
              <w:rPr>
                <w:rFonts w:ascii="Calibri" w:eastAsia="Calibri" w:hAnsi="Calibri" w:cs="Calibri"/>
                <w:sz w:val="20"/>
                <w:szCs w:val="20"/>
                <w:bdr w:val="nil"/>
                <w:lang w:val="fr-FR"/>
              </w:rPr>
              <w:t xml:space="preserve"> nombre</w:t>
            </w:r>
            <w:r w:rsidR="00962C19">
              <w:rPr>
                <w:rFonts w:ascii="Calibri" w:eastAsia="Calibri" w:hAnsi="Calibri" w:cs="Calibri"/>
                <w:sz w:val="20"/>
                <w:szCs w:val="20"/>
                <w:bdr w:val="nil"/>
                <w:lang w:val="fr-FR"/>
              </w:rPr>
              <w:t xml:space="preserve"> n</w:t>
            </w:r>
            <w:r>
              <w:rPr>
                <w:rFonts w:ascii="Calibri" w:eastAsia="Calibri" w:hAnsi="Calibri" w:cs="Calibri"/>
                <w:sz w:val="20"/>
                <w:szCs w:val="20"/>
                <w:bdr w:val="nil"/>
                <w:lang w:val="fr-FR"/>
              </w:rPr>
              <w:t>’englob</w:t>
            </w:r>
            <w:r w:rsidR="00DD55C8">
              <w:rPr>
                <w:rFonts w:ascii="Calibri" w:eastAsia="Calibri" w:hAnsi="Calibri" w:cs="Calibri"/>
                <w:sz w:val="20"/>
                <w:szCs w:val="20"/>
                <w:bdr w:val="nil"/>
                <w:lang w:val="fr-FR"/>
              </w:rPr>
              <w:t>ait pas</w:t>
            </w:r>
            <w:r>
              <w:rPr>
                <w:rFonts w:ascii="Calibri" w:eastAsia="Calibri" w:hAnsi="Calibri" w:cs="Calibri"/>
                <w:sz w:val="20"/>
                <w:szCs w:val="20"/>
                <w:bdr w:val="nil"/>
                <w:lang w:val="fr-FR"/>
              </w:rPr>
              <w:t xml:space="preserve"> toutes les entreprises concernées par le seuil de</w:t>
            </w:r>
            <w:r w:rsidR="00DD55C8">
              <w:rPr>
                <w:rFonts w:ascii="Calibri" w:eastAsia="Calibri" w:hAnsi="Calibri" w:cs="Calibri"/>
                <w:sz w:val="20"/>
                <w:szCs w:val="20"/>
                <w:bdr w:val="nil"/>
                <w:lang w:val="fr-FR"/>
              </w:rPr>
              <w:t xml:space="preserve"> matérialité</w:t>
            </w:r>
            <w:r>
              <w:rPr>
                <w:rFonts w:ascii="Calibri" w:eastAsia="Calibri" w:hAnsi="Calibri" w:cs="Calibri"/>
                <w:sz w:val="20"/>
                <w:szCs w:val="20"/>
                <w:bdr w:val="nil"/>
                <w:lang w:val="fr-FR"/>
              </w:rPr>
              <w:t>, il</w:t>
            </w:r>
            <w:r w:rsidR="00132F4D">
              <w:rPr>
                <w:rFonts w:ascii="Calibri" w:eastAsia="Calibri" w:hAnsi="Calibri" w:cs="Calibri"/>
                <w:sz w:val="20"/>
                <w:szCs w:val="20"/>
                <w:bdr w:val="nil"/>
                <w:lang w:val="fr-FR"/>
              </w:rPr>
              <w:t xml:space="preserve"> comprenait</w:t>
            </w:r>
            <w:r>
              <w:rPr>
                <w:rFonts w:ascii="Calibri" w:eastAsia="Calibri" w:hAnsi="Calibri" w:cs="Calibri"/>
                <w:sz w:val="20"/>
                <w:szCs w:val="20"/>
                <w:bdr w:val="nil"/>
                <w:lang w:val="fr-FR"/>
              </w:rPr>
              <w:t xml:space="preserve"> néanmoins l’ensemble des principaux contribuables du Kirghizistan. Les entreprises participent également aux réunions du Conseil de surveillance, même si les représentants de l’industrie ne s’engagent pas forcément activement à la conception, au suivi et à l’évaluation du processus ITIE. Il existe assurément un scepticisme marqué du monde des affaires à l’égard de l’ITIE</w:t>
            </w:r>
            <w:r w:rsidR="00132F4D">
              <w:rPr>
                <w:rFonts w:ascii="Calibri" w:eastAsia="Calibri" w:hAnsi="Calibri" w:cs="Calibri"/>
                <w:sz w:val="20"/>
                <w:szCs w:val="20"/>
                <w:bdr w:val="nil"/>
                <w:lang w:val="fr-FR"/>
              </w:rPr>
              <w:t>,</w:t>
            </w:r>
            <w:r>
              <w:rPr>
                <w:rFonts w:ascii="Calibri" w:eastAsia="Calibri" w:hAnsi="Calibri" w:cs="Calibri"/>
                <w:sz w:val="20"/>
                <w:szCs w:val="20"/>
                <w:bdr w:val="nil"/>
                <w:lang w:val="fr-FR"/>
              </w:rPr>
              <w:t xml:space="preserve"> et la plupart des entreprises ne montrent qu’un intérêt limité à participer à l’ITIE. </w:t>
            </w:r>
            <w:r>
              <w:rPr>
                <w:rFonts w:ascii="Calibri" w:eastAsia="Calibri" w:hAnsi="Calibri" w:cs="Calibri"/>
                <w:sz w:val="20"/>
                <w:szCs w:val="20"/>
                <w:bdr w:val="nil"/>
                <w:lang w:val="fr-FR"/>
              </w:rPr>
              <w:lastRenderedPageBreak/>
              <w:t>Dans la pratique, il semble toutefois que cela n’ait pas affecté le processus de déclaration de l’ITIE</w:t>
            </w:r>
            <w:r w:rsidR="00132F4D">
              <w:rPr>
                <w:rFonts w:ascii="Calibri" w:eastAsia="Calibri" w:hAnsi="Calibri" w:cs="Calibri"/>
                <w:sz w:val="20"/>
                <w:szCs w:val="20"/>
                <w:bdr w:val="nil"/>
                <w:lang w:val="fr-FR"/>
              </w:rPr>
              <w:t xml:space="preserve"> de manière appréciable</w:t>
            </w:r>
            <w:r>
              <w:rPr>
                <w:rFonts w:ascii="Calibri" w:eastAsia="Calibri" w:hAnsi="Calibri" w:cs="Calibri"/>
                <w:sz w:val="20"/>
                <w:szCs w:val="20"/>
                <w:bdr w:val="nil"/>
                <w:lang w:val="fr-FR"/>
              </w:rPr>
              <w:t xml:space="preserve">. Par conséquent, l’évaluation initiale du Secrétariat international est que le Kirghizistan a accompli des progrès </w:t>
            </w:r>
            <w:r>
              <w:rPr>
                <w:rFonts w:ascii="Calibri" w:eastAsia="Calibri" w:hAnsi="Calibri" w:cs="Calibri"/>
                <w:b/>
                <w:bCs/>
                <w:sz w:val="20"/>
                <w:szCs w:val="20"/>
                <w:bdr w:val="nil"/>
                <w:lang w:val="fr-FR"/>
              </w:rPr>
              <w:t>SATISFAISANTS</w:t>
            </w:r>
            <w:r>
              <w:rPr>
                <w:rFonts w:ascii="Calibri" w:eastAsia="Calibri" w:hAnsi="Calibri" w:cs="Calibri"/>
                <w:sz w:val="20"/>
                <w:szCs w:val="20"/>
                <w:bdr w:val="nil"/>
                <w:lang w:val="fr-FR"/>
              </w:rPr>
              <w:t xml:space="preserve"> pou</w:t>
            </w:r>
            <w:r w:rsidR="00962C19">
              <w:rPr>
                <w:rFonts w:ascii="Calibri" w:eastAsia="Calibri" w:hAnsi="Calibri" w:cs="Calibri"/>
                <w:sz w:val="20"/>
                <w:szCs w:val="20"/>
                <w:bdr w:val="nil"/>
                <w:lang w:val="fr-FR"/>
              </w:rPr>
              <w:t xml:space="preserve">r satisfaire à cette exigence. » </w:t>
            </w:r>
            <w:r>
              <w:rPr>
                <w:rFonts w:ascii="Calibri" w:eastAsia="Calibri" w:hAnsi="Calibri" w:cs="Calibri"/>
                <w:sz w:val="20"/>
                <w:szCs w:val="20"/>
                <w:bdr w:val="nil"/>
                <w:lang w:val="fr-FR"/>
              </w:rPr>
              <w:t>(p. 18)</w:t>
            </w:r>
          </w:p>
        </w:tc>
        <w:tc>
          <w:tcPr>
            <w:tcW w:w="2557" w:type="dxa"/>
          </w:tcPr>
          <w:p w14:paraId="7DB44031" w14:textId="77777777" w:rsidR="00152FF5" w:rsidRPr="00962C19" w:rsidRDefault="00152FF5" w:rsidP="00152FF5">
            <w:pPr>
              <w:spacing w:before="120" w:after="120" w:line="220" w:lineRule="exact"/>
              <w:contextualSpacing/>
              <w:rPr>
                <w:sz w:val="20"/>
                <w:szCs w:val="20"/>
                <w:lang w:val="fr-FR"/>
              </w:rPr>
            </w:pPr>
            <w:r>
              <w:rPr>
                <w:rFonts w:ascii="Calibri" w:eastAsia="Calibri" w:hAnsi="Calibri" w:cs="Calibri"/>
                <w:sz w:val="20"/>
                <w:szCs w:val="20"/>
                <w:bdr w:val="nil"/>
                <w:lang w:val="fr-FR"/>
              </w:rPr>
              <w:lastRenderedPageBreak/>
              <w:t>Aucun.</w:t>
            </w:r>
          </w:p>
          <w:p w14:paraId="070F820E" w14:textId="77777777" w:rsidR="00152FF5" w:rsidRPr="00962C19" w:rsidRDefault="00152FF5" w:rsidP="00152FF5">
            <w:pPr>
              <w:spacing w:before="120" w:after="120" w:line="220" w:lineRule="exact"/>
              <w:contextualSpacing/>
              <w:rPr>
                <w:color w:val="A6A6A6" w:themeColor="background1" w:themeShade="A6"/>
                <w:sz w:val="20"/>
                <w:szCs w:val="20"/>
                <w:lang w:val="fr-FR"/>
              </w:rPr>
            </w:pPr>
          </w:p>
        </w:tc>
        <w:tc>
          <w:tcPr>
            <w:tcW w:w="2835" w:type="dxa"/>
          </w:tcPr>
          <w:p w14:paraId="78FCF613" w14:textId="77777777" w:rsidR="00152FF5" w:rsidRPr="00063951" w:rsidRDefault="00152FF5" w:rsidP="00152FF5">
            <w:pPr>
              <w:spacing w:before="120" w:after="120" w:line="220" w:lineRule="exact"/>
              <w:contextualSpacing/>
              <w:rPr>
                <w:rFonts w:cstheme="minorHAnsi"/>
                <w:sz w:val="20"/>
                <w:szCs w:val="20"/>
              </w:rPr>
            </w:pPr>
            <w:r>
              <w:rPr>
                <w:rFonts w:ascii="Calibri" w:eastAsia="Calibri" w:hAnsi="Calibri" w:cs="Calibri"/>
                <w:sz w:val="20"/>
                <w:szCs w:val="20"/>
                <w:bdr w:val="nil"/>
                <w:lang w:val="fr-FR"/>
              </w:rPr>
              <w:t xml:space="preserve">Le Validateur est en désaccord avec l’évaluation du Secrétariat international et estime au contraire que le Kirghizistan a accompli des progrès </w:t>
            </w:r>
            <w:r>
              <w:rPr>
                <w:rFonts w:ascii="Calibri" w:eastAsia="Calibri" w:hAnsi="Calibri" w:cs="Calibri"/>
                <w:b/>
                <w:bCs/>
                <w:sz w:val="20"/>
                <w:szCs w:val="20"/>
                <w:bdr w:val="nil"/>
                <w:lang w:val="fr-FR"/>
              </w:rPr>
              <w:t>SIGNIFICATIFS</w:t>
            </w:r>
            <w:r>
              <w:rPr>
                <w:rFonts w:ascii="Calibri" w:eastAsia="Calibri" w:hAnsi="Calibri" w:cs="Calibri"/>
                <w:sz w:val="20"/>
                <w:szCs w:val="20"/>
                <w:bdr w:val="nil"/>
                <w:lang w:val="fr-FR"/>
              </w:rPr>
              <w:t xml:space="preserve"> pour satisfaire à cette exigen</w:t>
            </w:r>
            <w:r w:rsidR="00962C19">
              <w:rPr>
                <w:rFonts w:ascii="Calibri" w:eastAsia="Calibri" w:hAnsi="Calibri" w:cs="Calibri"/>
                <w:sz w:val="20"/>
                <w:szCs w:val="20"/>
                <w:bdr w:val="nil"/>
                <w:lang w:val="fr-FR"/>
              </w:rPr>
              <w:t>ce. Le Validateur constate que « </w:t>
            </w:r>
            <w:r>
              <w:rPr>
                <w:rFonts w:ascii="Calibri" w:eastAsia="Calibri" w:hAnsi="Calibri" w:cs="Calibri"/>
                <w:sz w:val="20"/>
                <w:szCs w:val="20"/>
                <w:bdr w:val="nil"/>
                <w:lang w:val="fr-FR"/>
              </w:rPr>
              <w:t>[m]algré la participation des entreprises aux réunions du Conseil de surveillance et la déclaration volontaire des 89 entreprises extractives les plus importantes</w:t>
            </w:r>
            <w:r>
              <w:rPr>
                <w:rStyle w:val="FootnoteReference"/>
                <w:rFonts w:cstheme="minorHAnsi"/>
                <w:sz w:val="20"/>
                <w:szCs w:val="20"/>
              </w:rPr>
              <w:footnoteReference w:id="1"/>
            </w:r>
            <w:r w:rsidR="00F96326">
              <w:rPr>
                <w:rFonts w:ascii="Calibri" w:eastAsia="Calibri" w:hAnsi="Calibri" w:cs="Calibri"/>
                <w:sz w:val="20"/>
                <w:szCs w:val="20"/>
                <w:bdr w:val="nil"/>
                <w:lang w:val="fr-FR"/>
              </w:rPr>
              <w:t> </w:t>
            </w:r>
            <w:r>
              <w:rPr>
                <w:rFonts w:ascii="Calibri" w:eastAsia="Calibri" w:hAnsi="Calibri" w:cs="Calibri"/>
                <w:sz w:val="20"/>
                <w:szCs w:val="20"/>
                <w:bdr w:val="nil"/>
                <w:lang w:val="fr-FR"/>
              </w:rPr>
              <w:t xml:space="preserve">au titre de la Norme ITIE en 2014, il </w:t>
            </w:r>
            <w:r w:rsidR="009F4D9F">
              <w:rPr>
                <w:rFonts w:ascii="Calibri" w:eastAsia="Calibri" w:hAnsi="Calibri" w:cs="Calibri"/>
                <w:sz w:val="20"/>
                <w:szCs w:val="20"/>
                <w:bdr w:val="nil"/>
                <w:lang w:val="fr-FR"/>
              </w:rPr>
              <w:t>n’</w:t>
            </w:r>
            <w:r>
              <w:rPr>
                <w:rFonts w:ascii="Calibri" w:eastAsia="Calibri" w:hAnsi="Calibri" w:cs="Calibri"/>
                <w:sz w:val="20"/>
                <w:szCs w:val="20"/>
                <w:bdr w:val="nil"/>
                <w:lang w:val="fr-FR"/>
              </w:rPr>
              <w:t xml:space="preserve">est </w:t>
            </w:r>
            <w:r w:rsidR="009F4D9F">
              <w:rPr>
                <w:rFonts w:ascii="Calibri" w:eastAsia="Calibri" w:hAnsi="Calibri" w:cs="Calibri"/>
                <w:sz w:val="20"/>
                <w:szCs w:val="20"/>
                <w:bdr w:val="nil"/>
                <w:lang w:val="fr-FR"/>
              </w:rPr>
              <w:t xml:space="preserve">pas évident </w:t>
            </w:r>
            <w:r>
              <w:rPr>
                <w:rFonts w:ascii="Calibri" w:eastAsia="Calibri" w:hAnsi="Calibri" w:cs="Calibri"/>
                <w:sz w:val="20"/>
                <w:szCs w:val="20"/>
                <w:bdr w:val="nil"/>
                <w:lang w:val="fr-FR"/>
              </w:rPr>
              <w:t>que les entreprises participent pleinement, activement et efficacement au processus ITIE.  La participation des entreprises a été irrégulière et selon l’étude de la structure institutionnelle</w:t>
            </w:r>
            <w:r w:rsidR="00962C19">
              <w:rPr>
                <w:rFonts w:ascii="Calibri" w:eastAsia="Calibri" w:hAnsi="Calibri" w:cs="Calibri"/>
                <w:sz w:val="20"/>
                <w:szCs w:val="20"/>
                <w:bdr w:val="nil"/>
                <w:lang w:val="fr-FR"/>
              </w:rPr>
              <w:t xml:space="preserve"> (Institutional Set-Up Study), « </w:t>
            </w:r>
            <w:r>
              <w:rPr>
                <w:rFonts w:ascii="Calibri" w:eastAsia="Calibri" w:hAnsi="Calibri" w:cs="Calibri"/>
                <w:sz w:val="20"/>
                <w:szCs w:val="20"/>
                <w:bdr w:val="nil"/>
                <w:lang w:val="fr-FR"/>
              </w:rPr>
              <w:t>minime, à l’exception d</w:t>
            </w:r>
            <w:r w:rsidR="00962C19">
              <w:rPr>
                <w:rFonts w:ascii="Calibri" w:eastAsia="Calibri" w:hAnsi="Calibri" w:cs="Calibri"/>
                <w:sz w:val="20"/>
                <w:szCs w:val="20"/>
                <w:bdr w:val="nil"/>
                <w:lang w:val="fr-FR"/>
              </w:rPr>
              <w:t>e Kumtor et de JSC KyrgyzAltyn. »</w:t>
            </w:r>
            <w:r>
              <w:rPr>
                <w:rFonts w:ascii="Calibri" w:eastAsia="Calibri" w:hAnsi="Calibri" w:cs="Calibri"/>
                <w:sz w:val="20"/>
                <w:szCs w:val="20"/>
                <w:bdr w:val="nil"/>
                <w:lang w:val="fr-FR"/>
              </w:rPr>
              <w:t xml:space="preserve"> L’évaluation initiale du Secrétariat international </w:t>
            </w:r>
            <w:r w:rsidR="00F9420E">
              <w:rPr>
                <w:rFonts w:ascii="Calibri" w:eastAsia="Calibri" w:hAnsi="Calibri" w:cs="Calibri"/>
                <w:sz w:val="20"/>
                <w:szCs w:val="20"/>
                <w:bdr w:val="nil"/>
                <w:lang w:val="fr-FR"/>
              </w:rPr>
              <w:t>fait r</w:t>
            </w:r>
            <w:r w:rsidR="009F4D9F">
              <w:rPr>
                <w:rFonts w:ascii="Calibri" w:eastAsia="Calibri" w:hAnsi="Calibri" w:cs="Calibri"/>
                <w:sz w:val="20"/>
                <w:szCs w:val="20"/>
                <w:bdr w:val="nil"/>
                <w:lang w:val="fr-FR"/>
              </w:rPr>
              <w:t>essortir</w:t>
            </w:r>
            <w:r>
              <w:rPr>
                <w:rFonts w:ascii="Calibri" w:eastAsia="Calibri" w:hAnsi="Calibri" w:cs="Calibri"/>
                <w:sz w:val="20"/>
                <w:szCs w:val="20"/>
                <w:bdr w:val="nil"/>
                <w:lang w:val="fr-FR"/>
              </w:rPr>
              <w:t xml:space="preserve"> que l’absence des entreprises </w:t>
            </w:r>
            <w:r w:rsidR="00F9420E">
              <w:rPr>
                <w:rFonts w:ascii="Calibri" w:eastAsia="Calibri" w:hAnsi="Calibri" w:cs="Calibri"/>
                <w:sz w:val="20"/>
                <w:szCs w:val="20"/>
                <w:bdr w:val="nil"/>
                <w:lang w:val="fr-FR"/>
              </w:rPr>
              <w:t>dans</w:t>
            </w:r>
            <w:r>
              <w:rPr>
                <w:rFonts w:ascii="Calibri" w:eastAsia="Calibri" w:hAnsi="Calibri" w:cs="Calibri"/>
                <w:sz w:val="20"/>
                <w:szCs w:val="20"/>
                <w:bdr w:val="nil"/>
                <w:lang w:val="fr-FR"/>
              </w:rPr>
              <w:t xml:space="preserve"> la composition du Conseil de surveillance est problématique, </w:t>
            </w:r>
            <w:r>
              <w:rPr>
                <w:rFonts w:ascii="Calibri" w:eastAsia="Calibri" w:hAnsi="Calibri" w:cs="Calibri"/>
                <w:sz w:val="20"/>
                <w:szCs w:val="20"/>
                <w:bdr w:val="nil"/>
                <w:lang w:val="fr-FR"/>
              </w:rPr>
              <w:lastRenderedPageBreak/>
              <w:t xml:space="preserve">de même que le manque de sensibilisation et de participation. L’évaluation initiale fait observer que cette situation a entraîné une méconnaissance de l’ITIE parmi les parties prenantes de l’industrie, </w:t>
            </w:r>
            <w:r w:rsidR="007D02E2">
              <w:rPr>
                <w:rFonts w:ascii="Calibri" w:eastAsia="Calibri" w:hAnsi="Calibri" w:cs="Calibri"/>
                <w:sz w:val="20"/>
                <w:szCs w:val="20"/>
                <w:bdr w:val="nil"/>
                <w:lang w:val="fr-FR"/>
              </w:rPr>
              <w:t>dont</w:t>
            </w:r>
            <w:r w:rsidR="00962C19">
              <w:rPr>
                <w:rFonts w:ascii="Calibri" w:eastAsia="Calibri" w:hAnsi="Calibri" w:cs="Calibri"/>
                <w:sz w:val="20"/>
                <w:szCs w:val="20"/>
                <w:bdr w:val="nil"/>
                <w:lang w:val="fr-FR"/>
              </w:rPr>
              <w:t xml:space="preserve"> beaucoup s</w:t>
            </w:r>
            <w:r w:rsidR="007D02E2">
              <w:rPr>
                <w:rFonts w:ascii="Calibri" w:eastAsia="Calibri" w:hAnsi="Calibri" w:cs="Calibri"/>
                <w:sz w:val="20"/>
                <w:szCs w:val="20"/>
                <w:bdr w:val="nil"/>
                <w:lang w:val="fr-FR"/>
              </w:rPr>
              <w:t>ont</w:t>
            </w:r>
            <w:r w:rsidR="00962C19">
              <w:rPr>
                <w:rFonts w:ascii="Calibri" w:eastAsia="Calibri" w:hAnsi="Calibri" w:cs="Calibri"/>
                <w:sz w:val="20"/>
                <w:szCs w:val="20"/>
                <w:bdr w:val="nil"/>
                <w:lang w:val="fr-FR"/>
              </w:rPr>
              <w:t xml:space="preserve"> « </w:t>
            </w:r>
            <w:r>
              <w:rPr>
                <w:rFonts w:ascii="Calibri" w:eastAsia="Calibri" w:hAnsi="Calibri" w:cs="Calibri"/>
                <w:sz w:val="20"/>
                <w:szCs w:val="20"/>
                <w:bdr w:val="nil"/>
                <w:lang w:val="fr-FR"/>
              </w:rPr>
              <w:t>opposées à l’ITIE</w:t>
            </w:r>
            <w:r w:rsidR="00962C19">
              <w:rPr>
                <w:rFonts w:ascii="Calibri" w:eastAsia="Calibri" w:hAnsi="Calibri" w:cs="Calibri"/>
                <w:sz w:val="20"/>
                <w:szCs w:val="20"/>
                <w:bdr w:val="nil"/>
                <w:lang w:val="fr-FR"/>
              </w:rPr>
              <w:t> »</w:t>
            </w:r>
            <w:r>
              <w:rPr>
                <w:rFonts w:ascii="Calibri" w:eastAsia="Calibri" w:hAnsi="Calibri" w:cs="Calibri"/>
                <w:sz w:val="20"/>
                <w:szCs w:val="20"/>
                <w:bdr w:val="nil"/>
                <w:lang w:val="fr-FR"/>
              </w:rPr>
              <w:t>, comme le constatent le gouvernement et la société civile. L’évaluation initiale constate également qu’il n’existe pas de preuve que l’industrie ait utilisé des réseaux plus larges pour plaider en faveur d’une réforme législative relative à l’ITIE, y compris ceux qui pourraient identifier et remédier aux exigences de déc</w:t>
            </w:r>
            <w:r w:rsidR="00962C19">
              <w:rPr>
                <w:rFonts w:ascii="Calibri" w:eastAsia="Calibri" w:hAnsi="Calibri" w:cs="Calibri"/>
                <w:sz w:val="20"/>
                <w:szCs w:val="20"/>
                <w:bdr w:val="nil"/>
                <w:lang w:val="fr-FR"/>
              </w:rPr>
              <w:t>laration faisant double emploi. »</w:t>
            </w:r>
            <w:r>
              <w:rPr>
                <w:rFonts w:ascii="Calibri" w:eastAsia="Calibri" w:hAnsi="Calibri" w:cs="Calibri"/>
                <w:sz w:val="20"/>
                <w:szCs w:val="20"/>
                <w:bdr w:val="nil"/>
                <w:lang w:val="fr-FR"/>
              </w:rPr>
              <w:t xml:space="preserve"> (p.</w:t>
            </w:r>
            <w:r w:rsidR="007D02E2">
              <w:rPr>
                <w:rFonts w:ascii="Calibri" w:eastAsia="Calibri" w:hAnsi="Calibri" w:cs="Calibri"/>
                <w:sz w:val="20"/>
                <w:szCs w:val="20"/>
                <w:bdr w:val="nil"/>
                <w:lang w:val="fr-FR"/>
              </w:rPr>
              <w:t> </w:t>
            </w:r>
            <w:r>
              <w:rPr>
                <w:rFonts w:ascii="Calibri" w:eastAsia="Calibri" w:hAnsi="Calibri" w:cs="Calibri"/>
                <w:sz w:val="20"/>
                <w:szCs w:val="20"/>
                <w:bdr w:val="nil"/>
                <w:lang w:val="fr-FR"/>
              </w:rPr>
              <w:t>4)</w:t>
            </w:r>
          </w:p>
        </w:tc>
        <w:tc>
          <w:tcPr>
            <w:tcW w:w="2410" w:type="dxa"/>
          </w:tcPr>
          <w:p w14:paraId="1B793070" w14:textId="77777777" w:rsidR="00152FF5" w:rsidRPr="00962C19" w:rsidRDefault="00152FF5" w:rsidP="00962C19">
            <w:pPr>
              <w:spacing w:before="120" w:after="120" w:line="220" w:lineRule="exact"/>
              <w:contextualSpacing/>
              <w:rPr>
                <w:rFonts w:eastAsiaTheme="minorEastAsia" w:cs="Arial"/>
                <w:sz w:val="20"/>
                <w:szCs w:val="20"/>
                <w:lang w:val="fr-FR" w:eastAsia="en-AU"/>
              </w:rPr>
            </w:pPr>
            <w:r>
              <w:rPr>
                <w:rFonts w:ascii="Calibri" w:eastAsia="Calibri" w:hAnsi="Calibri" w:cs="Calibri"/>
                <w:bCs/>
                <w:sz w:val="20"/>
                <w:szCs w:val="20"/>
                <w:bdr w:val="nil"/>
                <w:lang w:val="fr-FR"/>
              </w:rPr>
              <w:lastRenderedPageBreak/>
              <w:t xml:space="preserve">Le collège de l’industrie se dit préoccupé par l’évaluation du Validateur et </w:t>
            </w:r>
            <w:r w:rsidR="00DB2E17">
              <w:rPr>
                <w:rFonts w:ascii="Calibri" w:eastAsia="Calibri" w:hAnsi="Calibri" w:cs="Calibri"/>
                <w:bCs/>
                <w:sz w:val="20"/>
                <w:szCs w:val="20"/>
                <w:bdr w:val="nil"/>
                <w:lang w:val="fr-FR"/>
              </w:rPr>
              <w:t xml:space="preserve">fait </w:t>
            </w:r>
            <w:r w:rsidR="009A4CD3">
              <w:rPr>
                <w:rFonts w:ascii="Calibri" w:eastAsia="Calibri" w:hAnsi="Calibri" w:cs="Calibri"/>
                <w:bCs/>
                <w:sz w:val="20"/>
                <w:szCs w:val="20"/>
                <w:bdr w:val="nil"/>
                <w:lang w:val="fr-FR"/>
              </w:rPr>
              <w:t>ressortir</w:t>
            </w:r>
            <w:r>
              <w:rPr>
                <w:rFonts w:ascii="Calibri" w:eastAsia="Calibri" w:hAnsi="Calibri" w:cs="Calibri"/>
                <w:bCs/>
                <w:sz w:val="20"/>
                <w:szCs w:val="20"/>
                <w:bdr w:val="nil"/>
                <w:lang w:val="fr-FR"/>
              </w:rPr>
              <w:t xml:space="preserve"> que </w:t>
            </w:r>
            <w:r w:rsidR="00962C19">
              <w:rPr>
                <w:rFonts w:ascii="Calibri" w:eastAsia="Calibri" w:hAnsi="Calibri" w:cs="Calibri"/>
                <w:bCs/>
                <w:sz w:val="20"/>
                <w:szCs w:val="20"/>
                <w:bdr w:val="nil"/>
                <w:lang w:val="fr-FR"/>
              </w:rPr>
              <w:t>« </w:t>
            </w:r>
            <w:r>
              <w:rPr>
                <w:rFonts w:ascii="Calibri" w:eastAsia="Calibri" w:hAnsi="Calibri" w:cs="Calibri"/>
                <w:bCs/>
                <w:sz w:val="20"/>
                <w:szCs w:val="20"/>
                <w:bdr w:val="nil"/>
                <w:lang w:val="fr-FR"/>
              </w:rPr>
              <w:t xml:space="preserve">[...] depuis que l’International Business Council </w:t>
            </w:r>
            <w:r w:rsidR="00DB2E17">
              <w:rPr>
                <w:rFonts w:ascii="Calibri" w:eastAsia="Calibri" w:hAnsi="Calibri" w:cs="Calibri"/>
                <w:bCs/>
                <w:sz w:val="20"/>
                <w:szCs w:val="20"/>
                <w:bdr w:val="nil"/>
                <w:lang w:val="fr-FR"/>
              </w:rPr>
              <w:t>est devenu membre du</w:t>
            </w:r>
            <w:r>
              <w:rPr>
                <w:rFonts w:ascii="Calibri" w:eastAsia="Calibri" w:hAnsi="Calibri" w:cs="Calibri"/>
                <w:bCs/>
                <w:sz w:val="20"/>
                <w:szCs w:val="20"/>
                <w:bdr w:val="nil"/>
                <w:lang w:val="fr-FR"/>
              </w:rPr>
              <w:t xml:space="preserve"> Conseil de </w:t>
            </w:r>
            <w:r w:rsidR="00DB2E17">
              <w:rPr>
                <w:rFonts w:ascii="Calibri" w:eastAsia="Calibri" w:hAnsi="Calibri" w:cs="Calibri"/>
                <w:bCs/>
                <w:sz w:val="20"/>
                <w:szCs w:val="20"/>
                <w:bdr w:val="nil"/>
                <w:lang w:val="fr-FR"/>
              </w:rPr>
              <w:t>S</w:t>
            </w:r>
            <w:r>
              <w:rPr>
                <w:rFonts w:ascii="Calibri" w:eastAsia="Calibri" w:hAnsi="Calibri" w:cs="Calibri"/>
                <w:bCs/>
                <w:sz w:val="20"/>
                <w:szCs w:val="20"/>
                <w:bdr w:val="nil"/>
                <w:lang w:val="fr-FR"/>
              </w:rPr>
              <w:t xml:space="preserve">urveillance de l’ITIE, un travail considérable a été réalisé pour mobiliser et impliquer les membres de notre Association dans le processus ITIE. Ce travail a notamment consisté à mettre des problématiques ITIE à l’ordre du jour des réunions du </w:t>
            </w:r>
            <w:r w:rsidR="00962C19">
              <w:rPr>
                <w:rFonts w:ascii="Calibri" w:eastAsia="Calibri" w:hAnsi="Calibri" w:cs="Calibri"/>
                <w:bCs/>
                <w:sz w:val="20"/>
                <w:szCs w:val="20"/>
                <w:bdr w:val="nil"/>
                <w:lang w:val="fr-FR"/>
              </w:rPr>
              <w:t>Comité des ressources minérales</w:t>
            </w:r>
            <w:r>
              <w:rPr>
                <w:rStyle w:val="FootnoteReference"/>
                <w:rFonts w:eastAsiaTheme="minorEastAsia" w:cs="Arial"/>
                <w:sz w:val="20"/>
                <w:szCs w:val="20"/>
                <w:lang w:val="en-AU" w:eastAsia="en-AU"/>
              </w:rPr>
              <w:footnoteReference w:id="2"/>
            </w:r>
            <w:r w:rsidR="00962C19" w:rsidRPr="00962C19">
              <w:rPr>
                <w:rFonts w:ascii="Calibri" w:eastAsia="Calibri" w:hAnsi="Calibri" w:cs="Calibri"/>
                <w:bCs/>
                <w:sz w:val="20"/>
                <w:szCs w:val="20"/>
                <w:bdr w:val="nil"/>
                <w:lang w:val="fr-FR"/>
              </w:rPr>
              <w:t xml:space="preserve"> </w:t>
            </w:r>
            <w:r>
              <w:rPr>
                <w:rFonts w:ascii="Calibri" w:eastAsia="Calibri" w:hAnsi="Calibri" w:cs="Calibri"/>
                <w:bCs/>
                <w:sz w:val="20"/>
                <w:szCs w:val="20"/>
                <w:bdr w:val="nil"/>
                <w:lang w:val="fr-FR"/>
              </w:rPr>
              <w:t xml:space="preserve">de l’International Business Council. Outre cette collaboration avec le Comité, des informations sur l’ITIE ont été publiées dans la lettre d’information hebdomadaire de l’International Business Council afin d’attirer </w:t>
            </w:r>
            <w:r>
              <w:rPr>
                <w:rFonts w:ascii="Calibri" w:eastAsia="Calibri" w:hAnsi="Calibri" w:cs="Calibri"/>
                <w:bCs/>
                <w:sz w:val="20"/>
                <w:szCs w:val="20"/>
                <w:bdr w:val="nil"/>
                <w:lang w:val="fr-FR"/>
              </w:rPr>
              <w:lastRenderedPageBreak/>
              <w:t>l’attention d’un public plus large sur l’ITIE. Par conséquent, le travail effectué avec les membres de l’International Business Council a permis de promouvoir l’ITIE auprès d’un plus grand nombre d’entreprises, et de sensibiliser davantage les utilisateurs du</w:t>
            </w:r>
            <w:r w:rsidR="00962C19">
              <w:rPr>
                <w:rFonts w:ascii="Calibri" w:eastAsia="Calibri" w:hAnsi="Calibri" w:cs="Calibri"/>
                <w:bCs/>
                <w:sz w:val="20"/>
                <w:szCs w:val="20"/>
                <w:bdr w:val="nil"/>
                <w:lang w:val="fr-FR"/>
              </w:rPr>
              <w:t xml:space="preserve"> sous-sol aux normes de l</w:t>
            </w:r>
            <w:r>
              <w:rPr>
                <w:rFonts w:ascii="Calibri" w:eastAsia="Calibri" w:hAnsi="Calibri" w:cs="Calibri"/>
                <w:bCs/>
                <w:sz w:val="20"/>
                <w:szCs w:val="20"/>
                <w:bdr w:val="nil"/>
                <w:lang w:val="fr-FR"/>
              </w:rPr>
              <w:t>’</w:t>
            </w:r>
            <w:r w:rsidR="00962C19">
              <w:rPr>
                <w:rFonts w:ascii="Calibri" w:eastAsia="Calibri" w:hAnsi="Calibri" w:cs="Calibri"/>
                <w:bCs/>
                <w:sz w:val="20"/>
                <w:szCs w:val="20"/>
                <w:bdr w:val="nil"/>
                <w:lang w:val="fr-FR"/>
              </w:rPr>
              <w:t>ITIE. » Ils ajoutent également qu</w:t>
            </w:r>
            <w:r>
              <w:rPr>
                <w:rFonts w:ascii="Calibri" w:eastAsia="Calibri" w:hAnsi="Calibri" w:cs="Calibri"/>
                <w:bCs/>
                <w:sz w:val="20"/>
                <w:szCs w:val="20"/>
                <w:bdr w:val="nil"/>
                <w:lang w:val="fr-FR"/>
              </w:rPr>
              <w:t>’</w:t>
            </w:r>
            <w:r w:rsidR="00962C19">
              <w:rPr>
                <w:rFonts w:ascii="Calibri" w:eastAsia="Calibri" w:hAnsi="Calibri" w:cs="Calibri"/>
                <w:bCs/>
                <w:sz w:val="20"/>
                <w:szCs w:val="20"/>
                <w:bdr w:val="nil"/>
                <w:lang w:val="fr-FR"/>
              </w:rPr>
              <w:t>« </w:t>
            </w:r>
            <w:r>
              <w:rPr>
                <w:rFonts w:ascii="Calibri" w:eastAsia="Calibri" w:hAnsi="Calibri" w:cs="Calibri"/>
                <w:bCs/>
                <w:sz w:val="20"/>
                <w:szCs w:val="20"/>
                <w:bdr w:val="nil"/>
                <w:lang w:val="fr-FR"/>
              </w:rPr>
              <w:t xml:space="preserve">après s’être familiarisés avec les activités du Conseil de surveillance de l’ITIE, quatre représentants de l’industrie minière de l’International Business Council ont </w:t>
            </w:r>
            <w:r w:rsidR="00A1625B">
              <w:rPr>
                <w:rFonts w:ascii="Calibri" w:eastAsia="Calibri" w:hAnsi="Calibri" w:cs="Calibri"/>
                <w:bCs/>
                <w:sz w:val="20"/>
                <w:szCs w:val="20"/>
                <w:bdr w:val="nil"/>
                <w:lang w:val="fr-FR"/>
              </w:rPr>
              <w:t>commencé de</w:t>
            </w:r>
            <w:r w:rsidR="003B3A9F">
              <w:rPr>
                <w:rFonts w:ascii="Calibri" w:eastAsia="Calibri" w:hAnsi="Calibri" w:cs="Calibri"/>
                <w:bCs/>
                <w:sz w:val="20"/>
                <w:szCs w:val="20"/>
                <w:bdr w:val="nil"/>
                <w:lang w:val="fr-FR"/>
              </w:rPr>
              <w:t xml:space="preserve"> siéger au</w:t>
            </w:r>
            <w:r>
              <w:rPr>
                <w:rFonts w:ascii="Calibri" w:eastAsia="Calibri" w:hAnsi="Calibri" w:cs="Calibri"/>
                <w:bCs/>
                <w:sz w:val="20"/>
                <w:szCs w:val="20"/>
                <w:bdr w:val="nil"/>
                <w:lang w:val="fr-FR"/>
              </w:rPr>
              <w:t xml:space="preserve"> Conseil d</w:t>
            </w:r>
            <w:r w:rsidR="00962C19">
              <w:rPr>
                <w:rFonts w:ascii="Calibri" w:eastAsia="Calibri" w:hAnsi="Calibri" w:cs="Calibri"/>
                <w:bCs/>
                <w:sz w:val="20"/>
                <w:szCs w:val="20"/>
                <w:bdr w:val="nil"/>
                <w:lang w:val="fr-FR"/>
              </w:rPr>
              <w:t>e surveillance le 31 mars 2016. »</w:t>
            </w:r>
            <w:r>
              <w:rPr>
                <w:rFonts w:ascii="Calibri" w:eastAsia="Calibri" w:hAnsi="Calibri" w:cs="Calibri"/>
                <w:bCs/>
                <w:sz w:val="20"/>
                <w:szCs w:val="20"/>
                <w:bdr w:val="nil"/>
                <w:lang w:val="fr-FR"/>
              </w:rPr>
              <w:t xml:space="preserve"> (p.</w:t>
            </w:r>
            <w:r w:rsidR="00A1625B">
              <w:rPr>
                <w:rFonts w:ascii="Calibri" w:eastAsia="Calibri" w:hAnsi="Calibri" w:cs="Calibri"/>
                <w:bCs/>
                <w:sz w:val="20"/>
                <w:szCs w:val="20"/>
                <w:bdr w:val="nil"/>
                <w:lang w:val="fr-FR"/>
              </w:rPr>
              <w:t> </w:t>
            </w:r>
            <w:r>
              <w:rPr>
                <w:rFonts w:ascii="Calibri" w:eastAsia="Calibri" w:hAnsi="Calibri" w:cs="Calibri"/>
                <w:bCs/>
                <w:sz w:val="20"/>
                <w:szCs w:val="20"/>
                <w:bdr w:val="nil"/>
                <w:lang w:val="fr-FR"/>
              </w:rPr>
              <w:t>1)</w:t>
            </w:r>
          </w:p>
        </w:tc>
        <w:tc>
          <w:tcPr>
            <w:tcW w:w="1701" w:type="dxa"/>
          </w:tcPr>
          <w:p w14:paraId="13440425" w14:textId="77777777" w:rsidR="00152FF5" w:rsidRPr="00962C19" w:rsidRDefault="00152FF5" w:rsidP="00152FF5">
            <w:pPr>
              <w:autoSpaceDE w:val="0"/>
              <w:autoSpaceDN w:val="0"/>
              <w:adjustRightInd w:val="0"/>
              <w:spacing w:before="120" w:after="120" w:line="220" w:lineRule="exact"/>
              <w:contextualSpacing/>
              <w:rPr>
                <w:sz w:val="20"/>
                <w:szCs w:val="20"/>
                <w:lang w:val="fr-FR"/>
              </w:rPr>
            </w:pPr>
            <w:r>
              <w:rPr>
                <w:rFonts w:ascii="Calibri" w:eastAsia="Calibri" w:hAnsi="Calibri" w:cs="Calibri"/>
                <w:sz w:val="20"/>
                <w:szCs w:val="20"/>
                <w:bdr w:val="nil"/>
                <w:lang w:val="fr-FR"/>
              </w:rPr>
              <w:lastRenderedPageBreak/>
              <w:t>Le Comité doit émettre une recommandation sur l’évaluation du Conseil d’administration de l’</w:t>
            </w:r>
            <w:r w:rsidR="00087D0F">
              <w:rPr>
                <w:rFonts w:ascii="Calibri" w:eastAsia="Calibri" w:hAnsi="Calibri" w:cs="Calibri"/>
                <w:sz w:val="20"/>
                <w:szCs w:val="20"/>
                <w:bdr w:val="nil"/>
                <w:lang w:val="fr-FR"/>
              </w:rPr>
              <w:t>E</w:t>
            </w:r>
            <w:r>
              <w:rPr>
                <w:rFonts w:ascii="Calibri" w:eastAsia="Calibri" w:hAnsi="Calibri" w:cs="Calibri"/>
                <w:sz w:val="20"/>
                <w:szCs w:val="20"/>
                <w:bdr w:val="nil"/>
                <w:lang w:val="fr-FR"/>
              </w:rPr>
              <w:t>xigence 1.2, à savoir s</w:t>
            </w:r>
            <w:r w:rsidR="00962C19">
              <w:rPr>
                <w:rFonts w:ascii="Calibri" w:eastAsia="Calibri" w:hAnsi="Calibri" w:cs="Calibri"/>
                <w:sz w:val="20"/>
                <w:szCs w:val="20"/>
                <w:bdr w:val="nil"/>
                <w:lang w:val="fr-FR"/>
              </w:rPr>
              <w:t>i les progrès sont « significatifs » ou « </w:t>
            </w:r>
            <w:r>
              <w:rPr>
                <w:rFonts w:ascii="Calibri" w:eastAsia="Calibri" w:hAnsi="Calibri" w:cs="Calibri"/>
                <w:sz w:val="20"/>
                <w:szCs w:val="20"/>
                <w:bdr w:val="nil"/>
                <w:lang w:val="fr-FR"/>
              </w:rPr>
              <w:t>satisfaisants</w:t>
            </w:r>
            <w:r w:rsidR="00962C19">
              <w:rPr>
                <w:rFonts w:ascii="Calibri" w:eastAsia="Calibri" w:hAnsi="Calibri" w:cs="Calibri"/>
                <w:sz w:val="20"/>
                <w:szCs w:val="20"/>
                <w:bdr w:val="nil"/>
                <w:lang w:val="fr-FR"/>
              </w:rPr>
              <w:t> »</w:t>
            </w:r>
            <w:r>
              <w:rPr>
                <w:rFonts w:ascii="Calibri" w:eastAsia="Calibri" w:hAnsi="Calibri" w:cs="Calibri"/>
                <w:sz w:val="20"/>
                <w:szCs w:val="20"/>
                <w:bdr w:val="nil"/>
                <w:lang w:val="fr-FR"/>
              </w:rPr>
              <w:t xml:space="preserve">.  </w:t>
            </w:r>
          </w:p>
          <w:p w14:paraId="335FAF8C" w14:textId="77777777" w:rsidR="00152FF5" w:rsidRPr="00962C19" w:rsidRDefault="00152FF5" w:rsidP="00152FF5">
            <w:pPr>
              <w:spacing w:before="120" w:after="120" w:line="220" w:lineRule="exact"/>
              <w:contextualSpacing/>
              <w:rPr>
                <w:sz w:val="20"/>
                <w:szCs w:val="20"/>
                <w:lang w:val="fr-FR"/>
              </w:rPr>
            </w:pPr>
          </w:p>
          <w:p w14:paraId="78DE58DC" w14:textId="77777777" w:rsidR="00152FF5" w:rsidRPr="00962C19" w:rsidRDefault="00962C19" w:rsidP="00962C19">
            <w:pPr>
              <w:spacing w:before="120" w:after="120" w:line="220" w:lineRule="exact"/>
              <w:contextualSpacing/>
              <w:rPr>
                <w:sz w:val="20"/>
                <w:szCs w:val="20"/>
                <w:lang w:val="fr-FR"/>
              </w:rPr>
            </w:pPr>
            <w:r>
              <w:rPr>
                <w:rFonts w:ascii="Calibri" w:eastAsia="Calibri" w:hAnsi="Calibri" w:cs="Calibri"/>
                <w:sz w:val="20"/>
                <w:szCs w:val="20"/>
                <w:bdr w:val="nil"/>
                <w:lang w:val="fr-FR"/>
              </w:rPr>
              <w:t>Si les progrès sont « s</w:t>
            </w:r>
            <w:r w:rsidR="00152FF5">
              <w:rPr>
                <w:rFonts w:ascii="Calibri" w:eastAsia="Calibri" w:hAnsi="Calibri" w:cs="Calibri"/>
                <w:sz w:val="20"/>
                <w:szCs w:val="20"/>
                <w:bdr w:val="nil"/>
                <w:lang w:val="fr-FR"/>
              </w:rPr>
              <w:t>ignificatifs</w:t>
            </w:r>
            <w:r>
              <w:rPr>
                <w:rFonts w:ascii="Calibri" w:eastAsia="Calibri" w:hAnsi="Calibri" w:cs="Calibri"/>
                <w:sz w:val="20"/>
                <w:szCs w:val="20"/>
                <w:bdr w:val="nil"/>
                <w:lang w:val="fr-FR"/>
              </w:rPr>
              <w:t> »</w:t>
            </w:r>
            <w:r w:rsidR="00152FF5">
              <w:rPr>
                <w:rFonts w:ascii="Calibri" w:eastAsia="Calibri" w:hAnsi="Calibri" w:cs="Calibri"/>
                <w:sz w:val="20"/>
                <w:szCs w:val="20"/>
                <w:bdr w:val="nil"/>
                <w:lang w:val="fr-FR"/>
              </w:rPr>
              <w:t>, le Comité doit préciser quelles dispositions n’ont pas été respectées selon lui et recommander des mesures correctives.</w:t>
            </w:r>
          </w:p>
        </w:tc>
      </w:tr>
      <w:tr w:rsidR="000905FF" w:rsidRPr="00B5300C" w14:paraId="71DEFA29" w14:textId="77777777" w:rsidTr="00152FF5">
        <w:tc>
          <w:tcPr>
            <w:tcW w:w="2768" w:type="dxa"/>
          </w:tcPr>
          <w:p w14:paraId="021A3912" w14:textId="77777777" w:rsidR="00152FF5" w:rsidRPr="00962C19" w:rsidRDefault="00152FF5" w:rsidP="00152FF5">
            <w:pPr>
              <w:autoSpaceDE w:val="0"/>
              <w:autoSpaceDN w:val="0"/>
              <w:adjustRightInd w:val="0"/>
              <w:spacing w:before="120" w:after="120" w:line="220" w:lineRule="exact"/>
              <w:contextualSpacing/>
              <w:rPr>
                <w:sz w:val="20"/>
                <w:szCs w:val="20"/>
                <w:lang w:val="fr-FR"/>
              </w:rPr>
            </w:pPr>
            <w:r>
              <w:rPr>
                <w:rFonts w:ascii="Calibri" w:eastAsia="Calibri" w:hAnsi="Calibri" w:cs="Calibri"/>
                <w:sz w:val="20"/>
                <w:szCs w:val="20"/>
                <w:bdr w:val="nil"/>
                <w:lang w:val="fr-FR"/>
              </w:rPr>
              <w:t>1.5 Plan de travail</w:t>
            </w:r>
          </w:p>
          <w:p w14:paraId="430C11F3" w14:textId="77777777" w:rsidR="00152FF5" w:rsidRPr="00962C19" w:rsidRDefault="00152FF5" w:rsidP="00152FF5">
            <w:pPr>
              <w:autoSpaceDE w:val="0"/>
              <w:autoSpaceDN w:val="0"/>
              <w:adjustRightInd w:val="0"/>
              <w:spacing w:before="120" w:after="120" w:line="220" w:lineRule="exact"/>
              <w:contextualSpacing/>
              <w:rPr>
                <w:rFonts w:eastAsia="Calibri"/>
                <w:sz w:val="20"/>
                <w:szCs w:val="20"/>
                <w:lang w:val="fr-FR"/>
              </w:rPr>
            </w:pPr>
            <w:r>
              <w:rPr>
                <w:rFonts w:ascii="Calibri" w:eastAsia="Calibri" w:hAnsi="Calibri" w:cs="Calibri"/>
                <w:sz w:val="20"/>
                <w:szCs w:val="20"/>
                <w:bdr w:val="nil"/>
                <w:lang w:val="fr-FR"/>
              </w:rPr>
              <w:t>Le Groupe multipartite est tenu de convenir et de tenir à jour un plan de travail, entièrement chiffré et compatible avec les échéances de déclaration et de Validation établies par le Conseil d’administration de l’ITIE. Le plan de travail doit</w:t>
            </w:r>
            <w:r w:rsidR="00921573">
              <w:rPr>
                <w:rFonts w:ascii="Calibri" w:eastAsia="Calibri" w:hAnsi="Calibri" w:cs="Calibri"/>
                <w:sz w:val="20"/>
                <w:szCs w:val="20"/>
                <w:bdr w:val="nil"/>
                <w:lang w:val="fr-FR"/>
              </w:rPr>
              <w:t> </w:t>
            </w:r>
            <w:r>
              <w:rPr>
                <w:rFonts w:ascii="Calibri" w:eastAsia="Calibri" w:hAnsi="Calibri" w:cs="Calibri"/>
                <w:sz w:val="20"/>
                <w:szCs w:val="20"/>
                <w:bdr w:val="nil"/>
                <w:lang w:val="fr-FR"/>
              </w:rPr>
              <w:t xml:space="preserve">: </w:t>
            </w:r>
          </w:p>
          <w:p w14:paraId="411969C7" w14:textId="77777777" w:rsidR="00152FF5" w:rsidRPr="00962C19" w:rsidRDefault="00152FF5" w:rsidP="00152FF5">
            <w:pPr>
              <w:autoSpaceDE w:val="0"/>
              <w:autoSpaceDN w:val="0"/>
              <w:adjustRightInd w:val="0"/>
              <w:spacing w:before="120" w:after="120" w:line="220" w:lineRule="exact"/>
              <w:contextualSpacing/>
              <w:rPr>
                <w:rFonts w:eastAsia="Calibri"/>
                <w:sz w:val="20"/>
                <w:szCs w:val="20"/>
                <w:lang w:val="fr-FR"/>
              </w:rPr>
            </w:pPr>
            <w:r>
              <w:rPr>
                <w:rFonts w:ascii="Calibri" w:eastAsia="Calibri" w:hAnsi="Calibri" w:cs="Calibri"/>
                <w:sz w:val="20"/>
                <w:szCs w:val="20"/>
                <w:bdr w:val="nil"/>
                <w:lang w:val="fr-FR"/>
              </w:rPr>
              <w:t xml:space="preserve">a) fixer des objectifs de mise en œuvre de l’ITIE compatibles avec les Principes de l’ITIE et </w:t>
            </w:r>
            <w:r>
              <w:rPr>
                <w:rFonts w:ascii="Calibri" w:eastAsia="Calibri" w:hAnsi="Calibri" w:cs="Calibri"/>
                <w:sz w:val="20"/>
                <w:szCs w:val="20"/>
                <w:bdr w:val="nil"/>
                <w:lang w:val="fr-FR"/>
              </w:rPr>
              <w:lastRenderedPageBreak/>
              <w:t>reflétant les priorités nationales des industries extractives.  Les Groupes multipartites sont invités à considérer l’adoption d’approches innovantes pour renforcer la mise en œuvre de l’ITIE, afin d’améliorer l’exhaustivité des déclarations ITIE et la compréhension qu’a le public des revenus ainsi que de favoriser le maintien de niveaux élevés de transparence et de redevabilité dans la vie publique, les activités du gouvernement et les affaires.</w:t>
            </w:r>
          </w:p>
          <w:p w14:paraId="06FBC140" w14:textId="77777777" w:rsidR="00152FF5" w:rsidRPr="00962C19" w:rsidRDefault="00152FF5" w:rsidP="00152FF5">
            <w:pPr>
              <w:autoSpaceDE w:val="0"/>
              <w:autoSpaceDN w:val="0"/>
              <w:adjustRightInd w:val="0"/>
              <w:spacing w:before="120" w:after="120" w:line="220" w:lineRule="exact"/>
              <w:contextualSpacing/>
              <w:rPr>
                <w:rFonts w:eastAsia="Calibri"/>
                <w:sz w:val="20"/>
                <w:szCs w:val="20"/>
                <w:lang w:val="fr-FR"/>
              </w:rPr>
            </w:pPr>
            <w:r>
              <w:rPr>
                <w:rFonts w:ascii="Calibri" w:eastAsia="Calibri" w:hAnsi="Calibri" w:cs="Calibri"/>
                <w:sz w:val="20"/>
                <w:szCs w:val="20"/>
                <w:bdr w:val="nil"/>
                <w:lang w:val="fr-FR"/>
              </w:rPr>
              <w:t>b) Refléter le résultat des consultations avec les principales parties prenantes, et être avalisé par le Groupe multipartite.</w:t>
            </w:r>
          </w:p>
          <w:p w14:paraId="03317272" w14:textId="77777777" w:rsidR="00152FF5" w:rsidRPr="00962C19" w:rsidRDefault="00152FF5" w:rsidP="00152FF5">
            <w:pPr>
              <w:autoSpaceDE w:val="0"/>
              <w:autoSpaceDN w:val="0"/>
              <w:adjustRightInd w:val="0"/>
              <w:spacing w:before="120" w:after="120" w:line="220" w:lineRule="exact"/>
              <w:contextualSpacing/>
              <w:rPr>
                <w:rFonts w:eastAsia="Calibri"/>
                <w:sz w:val="20"/>
                <w:szCs w:val="20"/>
                <w:lang w:val="fr-FR"/>
              </w:rPr>
            </w:pPr>
            <w:r>
              <w:rPr>
                <w:rFonts w:ascii="Calibri" w:eastAsia="Calibri" w:hAnsi="Calibri" w:cs="Calibri"/>
                <w:sz w:val="20"/>
                <w:szCs w:val="20"/>
                <w:bdr w:val="nil"/>
                <w:lang w:val="fr-FR"/>
              </w:rPr>
              <w:t xml:space="preserve">c) </w:t>
            </w:r>
            <w:r w:rsidR="009563AC">
              <w:rPr>
                <w:rFonts w:ascii="Calibri" w:eastAsia="Calibri" w:hAnsi="Calibri" w:cs="Calibri"/>
                <w:sz w:val="20"/>
                <w:szCs w:val="20"/>
                <w:bdr w:val="nil"/>
                <w:lang w:val="fr-FR"/>
              </w:rPr>
              <w:t>Comprendre</w:t>
            </w:r>
            <w:r>
              <w:rPr>
                <w:rFonts w:ascii="Calibri" w:eastAsia="Calibri" w:hAnsi="Calibri" w:cs="Calibri"/>
                <w:sz w:val="20"/>
                <w:szCs w:val="20"/>
                <w:bdr w:val="nil"/>
                <w:lang w:val="fr-FR"/>
              </w:rPr>
              <w:t xml:space="preserve"> des activités mesurables et assorties de délais d’exécution visant à atteindre les objectifs convenus. Le périmètre d’application de la mise en œuvre de l’ITIE devra être adapté pour contribuer aux objectifs souhaités tels qu’ils ont été identifiés lors du processus de consultation. Le plan de travail doit</w:t>
            </w:r>
            <w:r w:rsidR="00921573">
              <w:rPr>
                <w:rFonts w:ascii="Calibri" w:eastAsia="Calibri" w:hAnsi="Calibri" w:cs="Calibri"/>
                <w:sz w:val="20"/>
                <w:szCs w:val="20"/>
                <w:bdr w:val="nil"/>
                <w:lang w:val="fr-FR"/>
              </w:rPr>
              <w:t> </w:t>
            </w:r>
            <w:r>
              <w:rPr>
                <w:rFonts w:ascii="Calibri" w:eastAsia="Calibri" w:hAnsi="Calibri" w:cs="Calibri"/>
                <w:sz w:val="20"/>
                <w:szCs w:val="20"/>
                <w:bdr w:val="nil"/>
                <w:lang w:val="fr-FR"/>
              </w:rPr>
              <w:t xml:space="preserve">: </w:t>
            </w:r>
          </w:p>
          <w:p w14:paraId="1B0029C0" w14:textId="77777777" w:rsidR="00152FF5" w:rsidRPr="00962C19" w:rsidRDefault="00152FF5" w:rsidP="00152FF5">
            <w:pPr>
              <w:autoSpaceDE w:val="0"/>
              <w:autoSpaceDN w:val="0"/>
              <w:adjustRightInd w:val="0"/>
              <w:spacing w:before="120" w:after="120" w:line="220" w:lineRule="exact"/>
              <w:contextualSpacing/>
              <w:rPr>
                <w:rFonts w:eastAsia="Calibri"/>
                <w:sz w:val="20"/>
                <w:szCs w:val="20"/>
                <w:lang w:val="fr-FR"/>
              </w:rPr>
            </w:pPr>
            <w:r>
              <w:rPr>
                <w:rFonts w:ascii="Calibri" w:eastAsia="Calibri" w:hAnsi="Calibri" w:cs="Calibri"/>
                <w:sz w:val="20"/>
                <w:szCs w:val="20"/>
                <w:bdr w:val="nil"/>
                <w:lang w:val="fr-FR"/>
              </w:rPr>
              <w:t xml:space="preserve">i.    Évaluer et exposer les plans destinés à aborder les contraintes potentielles en </w:t>
            </w:r>
            <w:r>
              <w:rPr>
                <w:rFonts w:ascii="Calibri" w:eastAsia="Calibri" w:hAnsi="Calibri" w:cs="Calibri"/>
                <w:sz w:val="20"/>
                <w:szCs w:val="20"/>
                <w:bdr w:val="nil"/>
                <w:lang w:val="fr-FR"/>
              </w:rPr>
              <w:lastRenderedPageBreak/>
              <w:t>matière de capacités des entités de l’État, des entreprises et de la société civile qui pourraient constituer un obstacle à une mise en œuvre efficace de l’ITIE.</w:t>
            </w:r>
          </w:p>
          <w:p w14:paraId="704E7647" w14:textId="77777777" w:rsidR="00152FF5" w:rsidRPr="00962C19" w:rsidRDefault="00152FF5" w:rsidP="00152FF5">
            <w:pPr>
              <w:autoSpaceDE w:val="0"/>
              <w:autoSpaceDN w:val="0"/>
              <w:adjustRightInd w:val="0"/>
              <w:spacing w:before="120" w:after="120" w:line="220" w:lineRule="exact"/>
              <w:contextualSpacing/>
              <w:rPr>
                <w:rFonts w:eastAsia="Calibri"/>
                <w:sz w:val="20"/>
                <w:szCs w:val="20"/>
                <w:lang w:val="fr-FR"/>
              </w:rPr>
            </w:pPr>
            <w:r>
              <w:rPr>
                <w:rFonts w:ascii="Calibri" w:eastAsia="Calibri" w:hAnsi="Calibri" w:cs="Calibri"/>
                <w:sz w:val="20"/>
                <w:szCs w:val="20"/>
                <w:bdr w:val="nil"/>
                <w:lang w:val="fr-FR"/>
              </w:rPr>
              <w:t>ii.    Aborder le périmètre d’application de la déclaration ITIE, en incluant les plans sur la manière de gérer les aspects techniques de la déclaration tels que l’exhaustivité (4.1) et la fiabilité des données (4.9).</w:t>
            </w:r>
          </w:p>
          <w:p w14:paraId="0D1C763C" w14:textId="77777777" w:rsidR="00152FF5" w:rsidRPr="00962C19" w:rsidRDefault="00152FF5" w:rsidP="00152FF5">
            <w:pPr>
              <w:autoSpaceDE w:val="0"/>
              <w:autoSpaceDN w:val="0"/>
              <w:adjustRightInd w:val="0"/>
              <w:spacing w:before="120" w:after="120" w:line="220" w:lineRule="exact"/>
              <w:contextualSpacing/>
              <w:rPr>
                <w:rFonts w:eastAsia="Calibri"/>
                <w:sz w:val="20"/>
                <w:szCs w:val="20"/>
                <w:lang w:val="fr-FR"/>
              </w:rPr>
            </w:pPr>
            <w:r>
              <w:rPr>
                <w:rFonts w:ascii="Calibri" w:eastAsia="Calibri" w:hAnsi="Calibri" w:cs="Calibri"/>
                <w:sz w:val="20"/>
                <w:szCs w:val="20"/>
                <w:bdr w:val="nil"/>
                <w:lang w:val="fr-FR"/>
              </w:rPr>
              <w:t>iii.   Identifier et élaborer des plans pour aborder tout obstacle juridique ou réglementaire qui pourrait nuire à la mise en œuvre de l’ITIE, y compris, le cas échéant, tout plan destiné à intégrer les Exigences de l’ITIE dans les législations ou réglementations nationales.</w:t>
            </w:r>
          </w:p>
          <w:p w14:paraId="17F099C4" w14:textId="77777777" w:rsidR="00152FF5" w:rsidRPr="00962C19" w:rsidRDefault="00152FF5" w:rsidP="00152FF5">
            <w:pPr>
              <w:autoSpaceDE w:val="0"/>
              <w:autoSpaceDN w:val="0"/>
              <w:adjustRightInd w:val="0"/>
              <w:spacing w:before="120" w:after="120" w:line="220" w:lineRule="exact"/>
              <w:contextualSpacing/>
              <w:rPr>
                <w:rFonts w:eastAsia="Calibri"/>
                <w:sz w:val="20"/>
                <w:szCs w:val="20"/>
                <w:lang w:val="fr-FR"/>
              </w:rPr>
            </w:pPr>
            <w:r>
              <w:rPr>
                <w:rFonts w:ascii="Calibri" w:eastAsia="Calibri" w:hAnsi="Calibri" w:cs="Calibri"/>
                <w:sz w:val="20"/>
                <w:szCs w:val="20"/>
                <w:bdr w:val="nil"/>
                <w:lang w:val="fr-FR"/>
              </w:rPr>
              <w:t>iv.   Présenter le travail du Groupe multipartite dont l’objectif est la mise en œuvre des recommandations de la Validation et du processus ITIE.</w:t>
            </w:r>
          </w:p>
          <w:p w14:paraId="0447B000" w14:textId="77777777" w:rsidR="00152FF5" w:rsidRPr="00962C19" w:rsidRDefault="00152FF5" w:rsidP="00152FF5">
            <w:pPr>
              <w:autoSpaceDE w:val="0"/>
              <w:autoSpaceDN w:val="0"/>
              <w:adjustRightInd w:val="0"/>
              <w:spacing w:before="120" w:after="120" w:line="220" w:lineRule="exact"/>
              <w:contextualSpacing/>
              <w:rPr>
                <w:rFonts w:eastAsia="Calibri"/>
                <w:sz w:val="20"/>
                <w:szCs w:val="20"/>
                <w:lang w:val="fr-FR"/>
              </w:rPr>
            </w:pPr>
            <w:r>
              <w:rPr>
                <w:rFonts w:ascii="Calibri" w:eastAsia="Calibri" w:hAnsi="Calibri" w:cs="Calibri"/>
                <w:sz w:val="20"/>
                <w:szCs w:val="20"/>
                <w:bdr w:val="nil"/>
                <w:lang w:val="fr-FR"/>
              </w:rPr>
              <w:t>d) Identifier les sources domestiques ou externes de financement et d’assistance technique</w:t>
            </w:r>
            <w:r w:rsidR="008F7135">
              <w:rPr>
                <w:rFonts w:ascii="Calibri" w:eastAsia="Calibri" w:hAnsi="Calibri" w:cs="Calibri"/>
                <w:sz w:val="20"/>
                <w:szCs w:val="20"/>
                <w:bdr w:val="nil"/>
                <w:lang w:val="fr-FR"/>
              </w:rPr>
              <w:t>, selon que de besoin,</w:t>
            </w:r>
            <w:r>
              <w:rPr>
                <w:rFonts w:ascii="Calibri" w:eastAsia="Calibri" w:hAnsi="Calibri" w:cs="Calibri"/>
                <w:sz w:val="20"/>
                <w:szCs w:val="20"/>
                <w:bdr w:val="nil"/>
                <w:lang w:val="fr-FR"/>
              </w:rPr>
              <w:t xml:space="preserve"> afin d’assurer la mise en œuvre du plan de travail convenu dans les délais impartis.</w:t>
            </w:r>
          </w:p>
          <w:p w14:paraId="4D37A187" w14:textId="77777777" w:rsidR="00152FF5" w:rsidRPr="00962C19" w:rsidRDefault="00152FF5" w:rsidP="00152FF5">
            <w:pPr>
              <w:autoSpaceDE w:val="0"/>
              <w:autoSpaceDN w:val="0"/>
              <w:adjustRightInd w:val="0"/>
              <w:spacing w:before="120" w:after="120" w:line="220" w:lineRule="exact"/>
              <w:contextualSpacing/>
              <w:rPr>
                <w:rFonts w:eastAsia="Calibri"/>
                <w:sz w:val="20"/>
                <w:szCs w:val="20"/>
                <w:lang w:val="fr-FR"/>
              </w:rPr>
            </w:pPr>
            <w:r>
              <w:rPr>
                <w:rFonts w:ascii="Calibri" w:eastAsia="Calibri" w:hAnsi="Calibri" w:cs="Calibri"/>
                <w:sz w:val="20"/>
                <w:szCs w:val="20"/>
                <w:bdr w:val="nil"/>
                <w:lang w:val="fr-FR"/>
              </w:rPr>
              <w:lastRenderedPageBreak/>
              <w:t>e) Etre rendu largement accessible au public, par exemple au moyen d’une publication dans la presse écrite, sur le site Internet national de l’ITIE et/ou sur les sites Internet de l’entité de l’État et du ministère concerné, ou de par son affichage dans des lieux qui sont facilement accessibles au public.</w:t>
            </w:r>
          </w:p>
          <w:p w14:paraId="6A3C945A" w14:textId="77777777" w:rsidR="00152FF5" w:rsidRPr="00962C19" w:rsidRDefault="00152FF5" w:rsidP="00152FF5">
            <w:pPr>
              <w:autoSpaceDE w:val="0"/>
              <w:autoSpaceDN w:val="0"/>
              <w:adjustRightInd w:val="0"/>
              <w:spacing w:before="120" w:after="120" w:line="220" w:lineRule="exact"/>
              <w:contextualSpacing/>
              <w:rPr>
                <w:rFonts w:eastAsia="Calibri"/>
                <w:sz w:val="20"/>
                <w:szCs w:val="20"/>
                <w:lang w:val="fr-FR"/>
              </w:rPr>
            </w:pPr>
            <w:r>
              <w:rPr>
                <w:rFonts w:ascii="Calibri" w:eastAsia="Calibri" w:hAnsi="Calibri" w:cs="Calibri"/>
                <w:sz w:val="20"/>
                <w:szCs w:val="20"/>
                <w:bdr w:val="nil"/>
                <w:lang w:val="fr-FR"/>
              </w:rPr>
              <w:t>f) Faire l’objet d’une revue et d’une mise à jour annuelles.  Dans sa revue du plan de travail, le Groupe multipartite devra envisager d’étendre le niveau de détail et le périmètre des déclarations ITIE, notamment pour tenir compte de questions telles que la gestion des revenus et des dépenses (5.3), les paiements de frais de transport (4.4), les dépenses sociales discrétionnaires (6.1.b), les transferts infranationaux ponctuels (5.2.b), la propriété réelle (2.5) et les contrats (2.4).  Conformément à l’Exigence</w:t>
            </w:r>
            <w:r w:rsidR="00F45A56">
              <w:rPr>
                <w:rFonts w:ascii="Calibri" w:eastAsia="Calibri" w:hAnsi="Calibri" w:cs="Calibri"/>
                <w:sz w:val="20"/>
                <w:szCs w:val="20"/>
                <w:bdr w:val="nil"/>
                <w:lang w:val="fr-FR"/>
              </w:rPr>
              <w:t> </w:t>
            </w:r>
            <w:r>
              <w:rPr>
                <w:rFonts w:ascii="Calibri" w:eastAsia="Calibri" w:hAnsi="Calibri" w:cs="Calibri"/>
                <w:sz w:val="20"/>
                <w:szCs w:val="20"/>
                <w:bdr w:val="nil"/>
                <w:lang w:val="fr-FR"/>
              </w:rPr>
              <w:t>1.4.b (viii), le Groupe multipartite est tenu de documenter ses discussions et ses décisions.</w:t>
            </w:r>
          </w:p>
          <w:p w14:paraId="31143882" w14:textId="77777777" w:rsidR="00152FF5" w:rsidRPr="00962C19" w:rsidRDefault="00152FF5" w:rsidP="00152FF5">
            <w:pPr>
              <w:autoSpaceDE w:val="0"/>
              <w:autoSpaceDN w:val="0"/>
              <w:adjustRightInd w:val="0"/>
              <w:spacing w:before="120" w:after="120" w:line="220" w:lineRule="exact"/>
              <w:contextualSpacing/>
              <w:rPr>
                <w:rFonts w:eastAsia="Calibri"/>
                <w:sz w:val="20"/>
                <w:szCs w:val="20"/>
                <w:highlight w:val="yellow"/>
                <w:lang w:val="fr-FR"/>
              </w:rPr>
            </w:pPr>
            <w:r>
              <w:rPr>
                <w:rFonts w:ascii="Calibri" w:eastAsia="Calibri" w:hAnsi="Calibri" w:cs="Calibri"/>
                <w:sz w:val="20"/>
                <w:szCs w:val="20"/>
                <w:bdr w:val="nil"/>
                <w:lang w:val="fr-FR"/>
              </w:rPr>
              <w:t xml:space="preserve">g) Inclure un calendrier de mise en œuvre compatible avec les échéances de déclaration et de </w:t>
            </w:r>
            <w:r>
              <w:rPr>
                <w:rFonts w:ascii="Calibri" w:eastAsia="Calibri" w:hAnsi="Calibri" w:cs="Calibri"/>
                <w:sz w:val="20"/>
                <w:szCs w:val="20"/>
                <w:bdr w:val="nil"/>
                <w:lang w:val="fr-FR"/>
              </w:rPr>
              <w:lastRenderedPageBreak/>
              <w:t>Validation fixées par le Conseil d’administration de l’ITIE (8.1-8.4), et qui prenne en considération les exigences administratives telles que le processus de recrutement et le financement.</w:t>
            </w:r>
          </w:p>
        </w:tc>
        <w:tc>
          <w:tcPr>
            <w:tcW w:w="2892" w:type="dxa"/>
          </w:tcPr>
          <w:p w14:paraId="6FC897B5" w14:textId="77777777" w:rsidR="00152FF5" w:rsidRPr="00962C19" w:rsidRDefault="00152FF5" w:rsidP="00152FF5">
            <w:pPr>
              <w:spacing w:before="120" w:after="120" w:line="220" w:lineRule="exact"/>
              <w:contextualSpacing/>
              <w:rPr>
                <w:rFonts w:eastAsia="Calibri"/>
                <w:sz w:val="20"/>
                <w:szCs w:val="20"/>
                <w:lang w:val="fr-FR"/>
              </w:rPr>
            </w:pPr>
            <w:r>
              <w:rPr>
                <w:rFonts w:ascii="Calibri" w:eastAsia="Calibri" w:hAnsi="Calibri" w:cs="Calibri"/>
                <w:sz w:val="20"/>
                <w:szCs w:val="20"/>
                <w:bdr w:val="nil"/>
                <w:lang w:val="fr-FR"/>
              </w:rPr>
              <w:lastRenderedPageBreak/>
              <w:t>L’évaluation initiale du Secrétari</w:t>
            </w:r>
            <w:r w:rsidR="00962C19">
              <w:rPr>
                <w:rFonts w:ascii="Calibri" w:eastAsia="Calibri" w:hAnsi="Calibri" w:cs="Calibri"/>
                <w:sz w:val="20"/>
                <w:szCs w:val="20"/>
                <w:bdr w:val="nil"/>
                <w:lang w:val="fr-FR"/>
              </w:rPr>
              <w:t xml:space="preserve">at international </w:t>
            </w:r>
            <w:r w:rsidR="00DF0B95">
              <w:rPr>
                <w:rFonts w:ascii="Calibri" w:eastAsia="Calibri" w:hAnsi="Calibri" w:cs="Calibri"/>
                <w:sz w:val="20"/>
                <w:szCs w:val="20"/>
                <w:bdr w:val="nil"/>
                <w:lang w:val="fr-FR"/>
              </w:rPr>
              <w:t xml:space="preserve">parvient à la </w:t>
            </w:r>
            <w:r w:rsidR="00962C19">
              <w:rPr>
                <w:rFonts w:ascii="Calibri" w:eastAsia="Calibri" w:hAnsi="Calibri" w:cs="Calibri"/>
                <w:sz w:val="20"/>
                <w:szCs w:val="20"/>
                <w:bdr w:val="nil"/>
                <w:lang w:val="fr-FR"/>
              </w:rPr>
              <w:t>conclu</w:t>
            </w:r>
            <w:r w:rsidR="00DF0B95">
              <w:rPr>
                <w:rFonts w:ascii="Calibri" w:eastAsia="Calibri" w:hAnsi="Calibri" w:cs="Calibri"/>
                <w:sz w:val="20"/>
                <w:szCs w:val="20"/>
                <w:bdr w:val="nil"/>
                <w:lang w:val="fr-FR"/>
              </w:rPr>
              <w:t>sion</w:t>
            </w:r>
            <w:r w:rsidR="00962C19">
              <w:rPr>
                <w:rFonts w:ascii="Calibri" w:eastAsia="Calibri" w:hAnsi="Calibri" w:cs="Calibri"/>
                <w:sz w:val="20"/>
                <w:szCs w:val="20"/>
                <w:bdr w:val="nil"/>
                <w:lang w:val="fr-FR"/>
              </w:rPr>
              <w:t xml:space="preserve"> que</w:t>
            </w:r>
            <w:r w:rsidR="00921573">
              <w:rPr>
                <w:rFonts w:ascii="Calibri" w:eastAsia="Calibri" w:hAnsi="Calibri" w:cs="Calibri"/>
                <w:sz w:val="20"/>
                <w:szCs w:val="20"/>
                <w:bdr w:val="nil"/>
                <w:lang w:val="fr-FR"/>
              </w:rPr>
              <w:t> </w:t>
            </w:r>
            <w:r w:rsidR="00962C19">
              <w:rPr>
                <w:rFonts w:ascii="Calibri" w:eastAsia="Calibri" w:hAnsi="Calibri" w:cs="Calibri"/>
                <w:sz w:val="20"/>
                <w:szCs w:val="20"/>
                <w:bdr w:val="nil"/>
                <w:lang w:val="fr-FR"/>
              </w:rPr>
              <w:t>: « </w:t>
            </w:r>
            <w:r>
              <w:rPr>
                <w:rFonts w:ascii="Calibri" w:eastAsia="Calibri" w:hAnsi="Calibri" w:cs="Calibri"/>
                <w:sz w:val="20"/>
                <w:szCs w:val="20"/>
                <w:bdr w:val="nil"/>
                <w:lang w:val="fr-FR"/>
              </w:rPr>
              <w:t xml:space="preserve">[...] le plan de travail contient des objectifs adaptés aux priorités nationales, ainsi que des activités et des mesures visant à garantir la réalisation des objectifs. Le plan de travail comprend un calendrier général pour la réalisation des objectifs, ainsi qu’une évaluation des coûts et </w:t>
            </w:r>
            <w:r>
              <w:rPr>
                <w:rFonts w:ascii="Calibri" w:eastAsia="Calibri" w:hAnsi="Calibri" w:cs="Calibri"/>
                <w:sz w:val="20"/>
                <w:szCs w:val="20"/>
                <w:bdr w:val="nil"/>
                <w:lang w:val="fr-FR"/>
              </w:rPr>
              <w:lastRenderedPageBreak/>
              <w:t>des sources de financement</w:t>
            </w:r>
            <w:r w:rsidR="00435796">
              <w:rPr>
                <w:rFonts w:ascii="Calibri" w:eastAsia="Calibri" w:hAnsi="Calibri" w:cs="Calibri"/>
                <w:sz w:val="20"/>
                <w:szCs w:val="20"/>
                <w:bdr w:val="nil"/>
                <w:lang w:val="fr-FR"/>
              </w:rPr>
              <w:t xml:space="preserve"> envisagées</w:t>
            </w:r>
            <w:r>
              <w:rPr>
                <w:rFonts w:ascii="Calibri" w:eastAsia="Calibri" w:hAnsi="Calibri" w:cs="Calibri"/>
                <w:sz w:val="20"/>
                <w:szCs w:val="20"/>
                <w:bdr w:val="nil"/>
                <w:lang w:val="fr-FR"/>
              </w:rPr>
              <w:t>. [</w:t>
            </w:r>
            <w:r w:rsidR="00435796">
              <w:rPr>
                <w:rFonts w:ascii="Calibri" w:eastAsia="Calibri" w:hAnsi="Calibri" w:cs="Calibri"/>
                <w:sz w:val="20"/>
                <w:szCs w:val="20"/>
                <w:bdr w:val="nil"/>
                <w:lang w:val="fr-FR"/>
              </w:rPr>
              <w:t>Il</w:t>
            </w:r>
            <w:r>
              <w:rPr>
                <w:rFonts w:ascii="Calibri" w:eastAsia="Calibri" w:hAnsi="Calibri" w:cs="Calibri"/>
                <w:sz w:val="20"/>
                <w:szCs w:val="20"/>
                <w:bdr w:val="nil"/>
                <w:lang w:val="fr-FR"/>
              </w:rPr>
              <w:t>] semble répondre suffisamment aux Exigences de l’ITIE</w:t>
            </w:r>
            <w:r w:rsidR="00435796">
              <w:rPr>
                <w:rFonts w:ascii="Calibri" w:eastAsia="Calibri" w:hAnsi="Calibri" w:cs="Calibri"/>
                <w:sz w:val="20"/>
                <w:szCs w:val="20"/>
                <w:bdr w:val="nil"/>
                <w:lang w:val="fr-FR"/>
              </w:rPr>
              <w:t>,</w:t>
            </w:r>
            <w:r>
              <w:rPr>
                <w:rFonts w:ascii="Calibri" w:eastAsia="Calibri" w:hAnsi="Calibri" w:cs="Calibri"/>
                <w:sz w:val="20"/>
                <w:szCs w:val="20"/>
                <w:bdr w:val="nil"/>
                <w:lang w:val="fr-FR"/>
              </w:rPr>
              <w:t xml:space="preserve"> et l’évaluation initiale du Secrétariat international est que le Kirghizistan a accompli des progrès </w:t>
            </w:r>
            <w:r>
              <w:rPr>
                <w:rFonts w:ascii="Calibri" w:eastAsia="Calibri" w:hAnsi="Calibri" w:cs="Calibri"/>
                <w:b/>
                <w:bCs/>
                <w:sz w:val="20"/>
                <w:szCs w:val="20"/>
                <w:bdr w:val="nil"/>
                <w:lang w:val="fr-FR"/>
              </w:rPr>
              <w:t>SATISFAISANTS</w:t>
            </w:r>
            <w:r>
              <w:rPr>
                <w:rFonts w:ascii="Calibri" w:eastAsia="Calibri" w:hAnsi="Calibri" w:cs="Calibri"/>
                <w:sz w:val="20"/>
                <w:szCs w:val="20"/>
                <w:bdr w:val="nil"/>
                <w:lang w:val="fr-FR"/>
              </w:rPr>
              <w:t xml:space="preserve"> pour satisfaire à cette exigence. » (p.</w:t>
            </w:r>
            <w:r w:rsidR="00435796">
              <w:rPr>
                <w:rFonts w:ascii="Calibri" w:eastAsia="Calibri" w:hAnsi="Calibri" w:cs="Calibri"/>
                <w:sz w:val="20"/>
                <w:szCs w:val="20"/>
                <w:bdr w:val="nil"/>
                <w:lang w:val="fr-FR"/>
              </w:rPr>
              <w:t> </w:t>
            </w:r>
            <w:r>
              <w:rPr>
                <w:rFonts w:ascii="Calibri" w:eastAsia="Calibri" w:hAnsi="Calibri" w:cs="Calibri"/>
                <w:sz w:val="20"/>
                <w:szCs w:val="20"/>
                <w:bdr w:val="nil"/>
                <w:lang w:val="fr-FR"/>
              </w:rPr>
              <w:t xml:space="preserve">35) L’évaluation initiale du Secrétariat international recommande également au Conseil de </w:t>
            </w:r>
            <w:r w:rsidR="009D0BAE">
              <w:rPr>
                <w:rFonts w:ascii="Calibri" w:eastAsia="Calibri" w:hAnsi="Calibri" w:cs="Calibri"/>
                <w:sz w:val="20"/>
                <w:szCs w:val="20"/>
                <w:bdr w:val="nil"/>
                <w:lang w:val="fr-FR"/>
              </w:rPr>
              <w:t>S</w:t>
            </w:r>
            <w:r>
              <w:rPr>
                <w:rFonts w:ascii="Calibri" w:eastAsia="Calibri" w:hAnsi="Calibri" w:cs="Calibri"/>
                <w:sz w:val="20"/>
                <w:szCs w:val="20"/>
                <w:bdr w:val="nil"/>
                <w:lang w:val="fr-FR"/>
              </w:rPr>
              <w:t>urveillance de convenir d’une stratégie de collecte de fonds comprenant des plans pour un financement public partiel à l’avenir. (p.</w:t>
            </w:r>
            <w:r w:rsidR="009D0BAE">
              <w:rPr>
                <w:rFonts w:ascii="Calibri" w:eastAsia="Calibri" w:hAnsi="Calibri" w:cs="Calibri"/>
                <w:sz w:val="20"/>
                <w:szCs w:val="20"/>
                <w:bdr w:val="nil"/>
                <w:lang w:val="fr-FR"/>
              </w:rPr>
              <w:t> </w:t>
            </w:r>
            <w:r>
              <w:rPr>
                <w:rFonts w:ascii="Calibri" w:eastAsia="Calibri" w:hAnsi="Calibri" w:cs="Calibri"/>
                <w:sz w:val="20"/>
                <w:szCs w:val="20"/>
                <w:bdr w:val="nil"/>
                <w:lang w:val="fr-FR"/>
              </w:rPr>
              <w:t xml:space="preserve">35) Les futurs plans de travail pourraient établir plus précisément le lien entre les activités et les objectifs du plan de travail, et indiquer des échéances plus spécifiques pour chaque activité. </w:t>
            </w:r>
          </w:p>
        </w:tc>
        <w:tc>
          <w:tcPr>
            <w:tcW w:w="2557" w:type="dxa"/>
          </w:tcPr>
          <w:p w14:paraId="7D70FBB4" w14:textId="77777777" w:rsidR="00152FF5" w:rsidRPr="00962C19" w:rsidRDefault="00152FF5" w:rsidP="00152FF5">
            <w:pPr>
              <w:spacing w:before="120" w:after="120" w:line="220" w:lineRule="exact"/>
              <w:contextualSpacing/>
              <w:rPr>
                <w:sz w:val="20"/>
                <w:szCs w:val="20"/>
                <w:lang w:val="fr-FR"/>
              </w:rPr>
            </w:pPr>
            <w:r>
              <w:rPr>
                <w:rFonts w:ascii="Calibri" w:eastAsia="Calibri" w:hAnsi="Calibri" w:cs="Calibri"/>
                <w:sz w:val="20"/>
                <w:szCs w:val="20"/>
                <w:bdr w:val="nil"/>
                <w:lang w:val="fr-FR"/>
              </w:rPr>
              <w:lastRenderedPageBreak/>
              <w:t xml:space="preserve">Le Groupe multipartite </w:t>
            </w:r>
            <w:r w:rsidR="00962C19">
              <w:rPr>
                <w:rFonts w:ascii="Calibri" w:eastAsia="Calibri" w:hAnsi="Calibri" w:cs="Calibri"/>
                <w:sz w:val="20"/>
                <w:szCs w:val="20"/>
                <w:bdr w:val="nil"/>
                <w:lang w:val="fr-FR"/>
              </w:rPr>
              <w:t>est d</w:t>
            </w:r>
            <w:r>
              <w:rPr>
                <w:rFonts w:ascii="Calibri" w:eastAsia="Calibri" w:hAnsi="Calibri" w:cs="Calibri"/>
                <w:sz w:val="20"/>
                <w:szCs w:val="20"/>
                <w:bdr w:val="nil"/>
                <w:lang w:val="fr-FR"/>
              </w:rPr>
              <w:t>’</w:t>
            </w:r>
            <w:r w:rsidR="00962C19">
              <w:rPr>
                <w:rFonts w:ascii="Calibri" w:eastAsia="Calibri" w:hAnsi="Calibri" w:cs="Calibri"/>
                <w:sz w:val="20"/>
                <w:szCs w:val="20"/>
                <w:bdr w:val="nil"/>
                <w:lang w:val="fr-FR"/>
              </w:rPr>
              <w:t>accord et constate que</w:t>
            </w:r>
            <w:r w:rsidR="00921573">
              <w:rPr>
                <w:rFonts w:ascii="Calibri" w:eastAsia="Calibri" w:hAnsi="Calibri" w:cs="Calibri"/>
                <w:sz w:val="20"/>
                <w:szCs w:val="20"/>
                <w:bdr w:val="nil"/>
                <w:lang w:val="fr-FR"/>
              </w:rPr>
              <w:t> </w:t>
            </w:r>
            <w:r w:rsidR="00962C19">
              <w:rPr>
                <w:rFonts w:ascii="Calibri" w:eastAsia="Calibri" w:hAnsi="Calibri" w:cs="Calibri"/>
                <w:sz w:val="20"/>
                <w:szCs w:val="20"/>
                <w:bdr w:val="nil"/>
                <w:lang w:val="fr-FR"/>
              </w:rPr>
              <w:t>: « </w:t>
            </w:r>
            <w:r>
              <w:rPr>
                <w:rFonts w:ascii="Calibri" w:eastAsia="Calibri" w:hAnsi="Calibri" w:cs="Calibri"/>
                <w:sz w:val="20"/>
                <w:szCs w:val="20"/>
                <w:bdr w:val="nil"/>
                <w:lang w:val="fr-FR"/>
              </w:rPr>
              <w:t xml:space="preserve">les objectifs du plan de travail sont clairement liés aux priorités nationales. Toutes les mesures du plan de travail servent à soutenir les plans du gouvernement pour améliorer la gestion des ressources naturelles, la transparence et la </w:t>
            </w:r>
            <w:r>
              <w:rPr>
                <w:rFonts w:ascii="Calibri" w:eastAsia="Calibri" w:hAnsi="Calibri" w:cs="Calibri"/>
                <w:sz w:val="20"/>
                <w:szCs w:val="20"/>
                <w:bdr w:val="nil"/>
                <w:lang w:val="fr-FR"/>
              </w:rPr>
              <w:lastRenderedPageBreak/>
              <w:t xml:space="preserve">responsabilité, et pour attirer les investissements. </w:t>
            </w:r>
          </w:p>
        </w:tc>
        <w:tc>
          <w:tcPr>
            <w:tcW w:w="2835" w:type="dxa"/>
          </w:tcPr>
          <w:p w14:paraId="72751974" w14:textId="77777777" w:rsidR="00152FF5" w:rsidRPr="005E1D4B" w:rsidRDefault="00152FF5" w:rsidP="00962C19">
            <w:pPr>
              <w:spacing w:before="120" w:after="120" w:line="220" w:lineRule="exact"/>
              <w:contextualSpacing/>
              <w:rPr>
                <w:rFonts w:cstheme="minorHAnsi"/>
                <w:sz w:val="20"/>
                <w:szCs w:val="20"/>
                <w:lang w:val="fr-FR"/>
              </w:rPr>
            </w:pPr>
            <w:r>
              <w:rPr>
                <w:rFonts w:ascii="Calibri" w:eastAsia="Calibri" w:hAnsi="Calibri" w:cs="Calibri"/>
                <w:sz w:val="20"/>
                <w:szCs w:val="20"/>
                <w:bdr w:val="nil"/>
                <w:lang w:val="fr-FR"/>
              </w:rPr>
              <w:lastRenderedPageBreak/>
              <w:t xml:space="preserve">Le Validateur est en désaccord avec l’évaluation du Secrétariat international et estime au contraire que le niveau de progrès est </w:t>
            </w:r>
            <w:r>
              <w:rPr>
                <w:rFonts w:ascii="Calibri" w:eastAsia="Calibri" w:hAnsi="Calibri" w:cs="Calibri"/>
                <w:b/>
                <w:bCs/>
                <w:sz w:val="20"/>
                <w:szCs w:val="20"/>
                <w:bdr w:val="nil"/>
                <w:lang w:val="fr-FR"/>
              </w:rPr>
              <w:t>SIGNIFICATIF</w:t>
            </w:r>
            <w:r w:rsidRPr="005E1D4B">
              <w:rPr>
                <w:rFonts w:ascii="Calibri" w:eastAsia="Calibri" w:hAnsi="Calibri" w:cs="Calibri"/>
                <w:bCs/>
                <w:sz w:val="20"/>
                <w:szCs w:val="20"/>
                <w:bdr w:val="nil"/>
                <w:lang w:val="fr-FR"/>
              </w:rPr>
              <w:t xml:space="preserve">. </w:t>
            </w:r>
            <w:r w:rsidR="005E1D4B" w:rsidRPr="005E1D4B">
              <w:rPr>
                <w:rFonts w:ascii="Calibri" w:eastAsia="Calibri" w:hAnsi="Calibri" w:cs="Calibri"/>
                <w:bCs/>
                <w:sz w:val="20"/>
                <w:szCs w:val="20"/>
                <w:bdr w:val="nil"/>
                <w:lang w:val="fr-FR"/>
              </w:rPr>
              <w:t>«</w:t>
            </w:r>
            <w:r w:rsidR="005E1D4B">
              <w:rPr>
                <w:rFonts w:ascii="Calibri" w:eastAsia="Calibri" w:hAnsi="Calibri" w:cs="Calibri"/>
                <w:b/>
                <w:bCs/>
                <w:sz w:val="20"/>
                <w:szCs w:val="20"/>
                <w:bdr w:val="nil"/>
                <w:lang w:val="fr-FR"/>
              </w:rPr>
              <w:t> </w:t>
            </w:r>
            <w:r w:rsidR="005E1D4B">
              <w:rPr>
                <w:rFonts w:ascii="Calibri" w:eastAsia="Calibri" w:hAnsi="Calibri" w:cs="Calibri"/>
                <w:sz w:val="20"/>
                <w:szCs w:val="20"/>
                <w:bdr w:val="nil"/>
                <w:lang w:val="fr-FR"/>
              </w:rPr>
              <w:t>[...] B</w:t>
            </w:r>
            <w:r>
              <w:rPr>
                <w:rFonts w:ascii="Calibri" w:eastAsia="Calibri" w:hAnsi="Calibri" w:cs="Calibri"/>
                <w:sz w:val="20"/>
                <w:szCs w:val="20"/>
                <w:bdr w:val="nil"/>
                <w:lang w:val="fr-FR"/>
              </w:rPr>
              <w:t>ien que le plan de travail prévoit des activités de renforcement des capacités, il ne présente pas de plans précis</w:t>
            </w:r>
            <w:r w:rsidR="00921573">
              <w:rPr>
                <w:rFonts w:ascii="Calibri" w:eastAsia="Calibri" w:hAnsi="Calibri" w:cs="Calibri"/>
                <w:sz w:val="20"/>
                <w:szCs w:val="20"/>
                <w:bdr w:val="nil"/>
                <w:lang w:val="fr-FR"/>
              </w:rPr>
              <w:t> </w:t>
            </w:r>
            <w:r>
              <w:rPr>
                <w:rFonts w:ascii="Calibri" w:eastAsia="Calibri" w:hAnsi="Calibri" w:cs="Calibri"/>
                <w:sz w:val="20"/>
                <w:szCs w:val="20"/>
                <w:bdr w:val="nil"/>
                <w:lang w:val="fr-FR"/>
              </w:rPr>
              <w:t xml:space="preserve">; le plan de travail rappelle le besoin de mettre en œuvre des modifications à la loi sur </w:t>
            </w:r>
            <w:r>
              <w:rPr>
                <w:rFonts w:ascii="Calibri" w:eastAsia="Calibri" w:hAnsi="Calibri" w:cs="Calibri"/>
                <w:sz w:val="20"/>
                <w:szCs w:val="20"/>
                <w:bdr w:val="nil"/>
                <w:lang w:val="fr-FR"/>
              </w:rPr>
              <w:lastRenderedPageBreak/>
              <w:t>l’utilisation des sous-sol</w:t>
            </w:r>
            <w:r w:rsidR="001857E0">
              <w:rPr>
                <w:rFonts w:ascii="Calibri" w:eastAsia="Calibri" w:hAnsi="Calibri" w:cs="Calibri"/>
                <w:sz w:val="20"/>
                <w:szCs w:val="20"/>
                <w:bdr w:val="nil"/>
                <w:lang w:val="fr-FR"/>
              </w:rPr>
              <w:t>s,</w:t>
            </w:r>
            <w:r>
              <w:rPr>
                <w:rFonts w:ascii="Calibri" w:eastAsia="Calibri" w:hAnsi="Calibri" w:cs="Calibri"/>
                <w:sz w:val="20"/>
                <w:szCs w:val="20"/>
                <w:bdr w:val="nil"/>
                <w:lang w:val="fr-FR"/>
              </w:rPr>
              <w:t xml:space="preserve"> mais ne présente pas de plans sur la façon dont cela sera fait</w:t>
            </w:r>
            <w:r w:rsidR="00921573">
              <w:rPr>
                <w:rFonts w:ascii="Calibri" w:eastAsia="Calibri" w:hAnsi="Calibri" w:cs="Calibri"/>
                <w:sz w:val="20"/>
                <w:szCs w:val="20"/>
                <w:bdr w:val="nil"/>
                <w:lang w:val="fr-FR"/>
              </w:rPr>
              <w:t> </w:t>
            </w:r>
            <w:r>
              <w:rPr>
                <w:rFonts w:ascii="Calibri" w:eastAsia="Calibri" w:hAnsi="Calibri" w:cs="Calibri"/>
                <w:sz w:val="20"/>
                <w:szCs w:val="20"/>
                <w:bdr w:val="nil"/>
                <w:lang w:val="fr-FR"/>
              </w:rPr>
              <w:t>; si le plan de travail mentionne le besoin de mettre en œuvre les recommandations de la Validation, il ne décrit pas les plans du Groupe multipartite à cet effet</w:t>
            </w:r>
            <w:r w:rsidR="00921573">
              <w:rPr>
                <w:rFonts w:ascii="Calibri" w:eastAsia="Calibri" w:hAnsi="Calibri" w:cs="Calibri"/>
                <w:sz w:val="20"/>
                <w:szCs w:val="20"/>
                <w:bdr w:val="nil"/>
                <w:lang w:val="fr-FR"/>
              </w:rPr>
              <w:t> </w:t>
            </w:r>
            <w:r>
              <w:rPr>
                <w:rFonts w:ascii="Calibri" w:eastAsia="Calibri" w:hAnsi="Calibri" w:cs="Calibri"/>
                <w:sz w:val="20"/>
                <w:szCs w:val="20"/>
                <w:bdr w:val="nil"/>
                <w:lang w:val="fr-FR"/>
              </w:rPr>
              <w:t>; le plan de travail ne mentionne aucun plan pour</w:t>
            </w:r>
            <w:r w:rsidR="001857E0">
              <w:rPr>
                <w:rFonts w:ascii="Calibri" w:eastAsia="Calibri" w:hAnsi="Calibri" w:cs="Calibri"/>
                <w:sz w:val="20"/>
                <w:szCs w:val="20"/>
                <w:bdr w:val="nil"/>
                <w:lang w:val="fr-FR"/>
              </w:rPr>
              <w:t xml:space="preserve"> la</w:t>
            </w:r>
            <w:r>
              <w:rPr>
                <w:rFonts w:ascii="Calibri" w:eastAsia="Calibri" w:hAnsi="Calibri" w:cs="Calibri"/>
                <w:sz w:val="20"/>
                <w:szCs w:val="20"/>
                <w:bdr w:val="nil"/>
                <w:lang w:val="fr-FR"/>
              </w:rPr>
              <w:t xml:space="preserve"> m</w:t>
            </w:r>
            <w:r w:rsidR="001857E0">
              <w:rPr>
                <w:rFonts w:ascii="Calibri" w:eastAsia="Calibri" w:hAnsi="Calibri" w:cs="Calibri"/>
                <w:sz w:val="20"/>
                <w:szCs w:val="20"/>
                <w:bdr w:val="nil"/>
                <w:lang w:val="fr-FR"/>
              </w:rPr>
              <w:t>is</w:t>
            </w:r>
            <w:r>
              <w:rPr>
                <w:rFonts w:ascii="Calibri" w:eastAsia="Calibri" w:hAnsi="Calibri" w:cs="Calibri"/>
                <w:sz w:val="20"/>
                <w:szCs w:val="20"/>
                <w:bdr w:val="nil"/>
                <w:lang w:val="fr-FR"/>
              </w:rPr>
              <w:t xml:space="preserve">e en œuvre </w:t>
            </w:r>
            <w:r w:rsidR="001857E0">
              <w:rPr>
                <w:rFonts w:ascii="Calibri" w:eastAsia="Calibri" w:hAnsi="Calibri" w:cs="Calibri"/>
                <w:sz w:val="20"/>
                <w:szCs w:val="20"/>
                <w:bdr w:val="nil"/>
                <w:lang w:val="fr-FR"/>
              </w:rPr>
              <w:t>d</w:t>
            </w:r>
            <w:r>
              <w:rPr>
                <w:rFonts w:ascii="Calibri" w:eastAsia="Calibri" w:hAnsi="Calibri" w:cs="Calibri"/>
                <w:sz w:val="20"/>
                <w:szCs w:val="20"/>
                <w:bdr w:val="nil"/>
                <w:lang w:val="fr-FR"/>
              </w:rPr>
              <w:t xml:space="preserve">es recommandations </w:t>
            </w:r>
            <w:r w:rsidR="00E34603">
              <w:rPr>
                <w:rFonts w:ascii="Calibri" w:eastAsia="Calibri" w:hAnsi="Calibri" w:cs="Calibri"/>
                <w:sz w:val="20"/>
                <w:szCs w:val="20"/>
                <w:bdr w:val="nil"/>
                <w:lang w:val="fr-FR"/>
              </w:rPr>
              <w:t xml:space="preserve">issues </w:t>
            </w:r>
            <w:r>
              <w:rPr>
                <w:rFonts w:ascii="Calibri" w:eastAsia="Calibri" w:hAnsi="Calibri" w:cs="Calibri"/>
                <w:sz w:val="20"/>
                <w:szCs w:val="20"/>
                <w:bdr w:val="nil"/>
                <w:lang w:val="fr-FR"/>
              </w:rPr>
              <w:t>du rapportage ITIE</w:t>
            </w:r>
            <w:r w:rsidR="00921573">
              <w:rPr>
                <w:rFonts w:ascii="Calibri" w:eastAsia="Calibri" w:hAnsi="Calibri" w:cs="Calibri"/>
                <w:sz w:val="20"/>
                <w:szCs w:val="20"/>
                <w:bdr w:val="nil"/>
                <w:lang w:val="fr-FR"/>
              </w:rPr>
              <w:t> </w:t>
            </w:r>
            <w:r>
              <w:rPr>
                <w:rFonts w:ascii="Calibri" w:eastAsia="Calibri" w:hAnsi="Calibri" w:cs="Calibri"/>
                <w:sz w:val="20"/>
                <w:szCs w:val="20"/>
                <w:bdr w:val="nil"/>
                <w:lang w:val="fr-FR"/>
              </w:rPr>
              <w:t>; et si certaines activités sont chiffrée</w:t>
            </w:r>
            <w:r w:rsidR="00962C19">
              <w:rPr>
                <w:rFonts w:ascii="Calibri" w:eastAsia="Calibri" w:hAnsi="Calibri" w:cs="Calibri"/>
                <w:sz w:val="20"/>
                <w:szCs w:val="20"/>
                <w:bdr w:val="nil"/>
                <w:lang w:val="fr-FR"/>
              </w:rPr>
              <w:t>s, d</w:t>
            </w:r>
            <w:r>
              <w:rPr>
                <w:rFonts w:ascii="Calibri" w:eastAsia="Calibri" w:hAnsi="Calibri" w:cs="Calibri"/>
                <w:sz w:val="20"/>
                <w:szCs w:val="20"/>
                <w:bdr w:val="nil"/>
                <w:lang w:val="fr-FR"/>
              </w:rPr>
              <w:t>’</w:t>
            </w:r>
            <w:r w:rsidR="00962C19">
              <w:rPr>
                <w:rFonts w:ascii="Calibri" w:eastAsia="Calibri" w:hAnsi="Calibri" w:cs="Calibri"/>
                <w:sz w:val="20"/>
                <w:szCs w:val="20"/>
                <w:bdr w:val="nil"/>
                <w:lang w:val="fr-FR"/>
              </w:rPr>
              <w:t xml:space="preserve">autres ne mentionnent que </w:t>
            </w:r>
            <w:r w:rsidR="00E34603">
              <w:rPr>
                <w:rFonts w:ascii="Calibri" w:eastAsia="Calibri" w:hAnsi="Calibri" w:cs="Calibri"/>
                <w:sz w:val="20"/>
                <w:szCs w:val="20"/>
                <w:bdr w:val="nil"/>
                <w:lang w:val="fr-FR"/>
              </w:rPr>
              <w:t xml:space="preserve">les </w:t>
            </w:r>
            <w:r w:rsidR="00962C19">
              <w:rPr>
                <w:rFonts w:ascii="Calibri" w:eastAsia="Calibri" w:hAnsi="Calibri" w:cs="Calibri"/>
                <w:sz w:val="20"/>
                <w:szCs w:val="20"/>
                <w:bdr w:val="nil"/>
                <w:lang w:val="fr-FR"/>
              </w:rPr>
              <w:t xml:space="preserve">« donateurs » ou </w:t>
            </w:r>
            <w:r w:rsidR="00E34603">
              <w:rPr>
                <w:rFonts w:ascii="Calibri" w:eastAsia="Calibri" w:hAnsi="Calibri" w:cs="Calibri"/>
                <w:sz w:val="20"/>
                <w:szCs w:val="20"/>
                <w:bdr w:val="nil"/>
                <w:lang w:val="fr-FR"/>
              </w:rPr>
              <w:t xml:space="preserve">le </w:t>
            </w:r>
            <w:r w:rsidR="00962C19">
              <w:rPr>
                <w:rFonts w:ascii="Calibri" w:eastAsia="Calibri" w:hAnsi="Calibri" w:cs="Calibri"/>
                <w:sz w:val="20"/>
                <w:szCs w:val="20"/>
                <w:bdr w:val="nil"/>
                <w:lang w:val="fr-FR"/>
              </w:rPr>
              <w:t>« gouvernement »</w:t>
            </w:r>
            <w:r>
              <w:rPr>
                <w:rFonts w:ascii="Calibri" w:eastAsia="Calibri" w:hAnsi="Calibri" w:cs="Calibri"/>
                <w:sz w:val="20"/>
                <w:szCs w:val="20"/>
                <w:bdr w:val="nil"/>
                <w:lang w:val="fr-FR"/>
              </w:rPr>
              <w:t xml:space="preserve"> mais n’indiquent pas qui sont ces donateurs, et ne donnent pas non plus d’indications sur les activités de collecte de fonds ou les </w:t>
            </w:r>
            <w:r w:rsidR="00962C19">
              <w:rPr>
                <w:rFonts w:ascii="Calibri" w:eastAsia="Calibri" w:hAnsi="Calibri" w:cs="Calibri"/>
                <w:sz w:val="20"/>
                <w:szCs w:val="20"/>
                <w:bdr w:val="nil"/>
                <w:lang w:val="fr-FR"/>
              </w:rPr>
              <w:t>sources d</w:t>
            </w:r>
            <w:r>
              <w:rPr>
                <w:rFonts w:ascii="Calibri" w:eastAsia="Calibri" w:hAnsi="Calibri" w:cs="Calibri"/>
                <w:sz w:val="20"/>
                <w:szCs w:val="20"/>
                <w:bdr w:val="nil"/>
                <w:lang w:val="fr-FR"/>
              </w:rPr>
              <w:t>’</w:t>
            </w:r>
            <w:r w:rsidR="00962C19">
              <w:rPr>
                <w:rFonts w:ascii="Calibri" w:eastAsia="Calibri" w:hAnsi="Calibri" w:cs="Calibri"/>
                <w:sz w:val="20"/>
                <w:szCs w:val="20"/>
                <w:bdr w:val="nil"/>
                <w:lang w:val="fr-FR"/>
              </w:rPr>
              <w:t>assistance technique. »</w:t>
            </w:r>
            <w:r>
              <w:rPr>
                <w:rFonts w:ascii="Calibri" w:eastAsia="Calibri" w:hAnsi="Calibri" w:cs="Calibri"/>
                <w:sz w:val="20"/>
                <w:szCs w:val="20"/>
                <w:bdr w:val="nil"/>
                <w:lang w:val="fr-FR"/>
              </w:rPr>
              <w:t xml:space="preserve"> (p.</w:t>
            </w:r>
            <w:r w:rsidR="00E34603">
              <w:rPr>
                <w:rFonts w:ascii="Calibri" w:eastAsia="Calibri" w:hAnsi="Calibri" w:cs="Calibri"/>
                <w:sz w:val="20"/>
                <w:szCs w:val="20"/>
                <w:bdr w:val="nil"/>
                <w:lang w:val="fr-FR"/>
              </w:rPr>
              <w:t> </w:t>
            </w:r>
            <w:r>
              <w:rPr>
                <w:rFonts w:ascii="Calibri" w:eastAsia="Calibri" w:hAnsi="Calibri" w:cs="Calibri"/>
                <w:sz w:val="20"/>
                <w:szCs w:val="20"/>
                <w:bdr w:val="nil"/>
                <w:lang w:val="fr-FR"/>
              </w:rPr>
              <w:t>4)</w:t>
            </w:r>
          </w:p>
        </w:tc>
        <w:tc>
          <w:tcPr>
            <w:tcW w:w="2410" w:type="dxa"/>
          </w:tcPr>
          <w:p w14:paraId="115E7B18" w14:textId="77777777" w:rsidR="00152FF5" w:rsidRPr="00962C19" w:rsidRDefault="00152FF5" w:rsidP="00152FF5">
            <w:pPr>
              <w:spacing w:before="120" w:after="120" w:line="220" w:lineRule="exact"/>
              <w:contextualSpacing/>
              <w:rPr>
                <w:bCs/>
                <w:sz w:val="20"/>
                <w:szCs w:val="20"/>
                <w:lang w:val="fr-FR"/>
              </w:rPr>
            </w:pPr>
            <w:r>
              <w:rPr>
                <w:rFonts w:ascii="Calibri" w:eastAsia="Calibri" w:hAnsi="Calibri" w:cs="Calibri"/>
                <w:bCs/>
                <w:sz w:val="20"/>
                <w:szCs w:val="20"/>
                <w:bdr w:val="nil"/>
                <w:lang w:val="fr-FR"/>
              </w:rPr>
              <w:lastRenderedPageBreak/>
              <w:t xml:space="preserve">Les membres du Conseil de surveillance sont en désaccord avec le Validateur et s’interrogent </w:t>
            </w:r>
            <w:r w:rsidR="00A1625B">
              <w:rPr>
                <w:rFonts w:ascii="Calibri" w:eastAsia="Calibri" w:hAnsi="Calibri" w:cs="Calibri"/>
                <w:bCs/>
                <w:sz w:val="20"/>
                <w:szCs w:val="20"/>
                <w:bdr w:val="nil"/>
                <w:lang w:val="fr-FR"/>
              </w:rPr>
              <w:t>quant à</w:t>
            </w:r>
            <w:r>
              <w:rPr>
                <w:rFonts w:ascii="Calibri" w:eastAsia="Calibri" w:hAnsi="Calibri" w:cs="Calibri"/>
                <w:bCs/>
                <w:sz w:val="20"/>
                <w:szCs w:val="20"/>
                <w:bdr w:val="nil"/>
                <w:lang w:val="fr-FR"/>
              </w:rPr>
              <w:t xml:space="preserve"> la version du plan de travail qui a</w:t>
            </w:r>
            <w:r w:rsidR="00962C19">
              <w:rPr>
                <w:rFonts w:ascii="Calibri" w:eastAsia="Calibri" w:hAnsi="Calibri" w:cs="Calibri"/>
                <w:bCs/>
                <w:sz w:val="20"/>
                <w:szCs w:val="20"/>
                <w:bdr w:val="nil"/>
                <w:lang w:val="fr-FR"/>
              </w:rPr>
              <w:t xml:space="preserve"> été revue par le Validateur</w:t>
            </w:r>
            <w:r w:rsidR="00921573">
              <w:rPr>
                <w:rFonts w:ascii="Calibri" w:eastAsia="Calibri" w:hAnsi="Calibri" w:cs="Calibri"/>
                <w:bCs/>
                <w:sz w:val="20"/>
                <w:szCs w:val="20"/>
                <w:bdr w:val="nil"/>
                <w:lang w:val="fr-FR"/>
              </w:rPr>
              <w:t> </w:t>
            </w:r>
            <w:r w:rsidR="00962C19">
              <w:rPr>
                <w:rFonts w:ascii="Calibri" w:eastAsia="Calibri" w:hAnsi="Calibri" w:cs="Calibri"/>
                <w:bCs/>
                <w:sz w:val="20"/>
                <w:szCs w:val="20"/>
                <w:bdr w:val="nil"/>
                <w:lang w:val="fr-FR"/>
              </w:rPr>
              <w:t>: « </w:t>
            </w:r>
            <w:r>
              <w:rPr>
                <w:rFonts w:ascii="Calibri" w:eastAsia="Calibri" w:hAnsi="Calibri" w:cs="Calibri"/>
                <w:bCs/>
                <w:sz w:val="20"/>
                <w:szCs w:val="20"/>
                <w:bdr w:val="nil"/>
                <w:lang w:val="fr-FR"/>
              </w:rPr>
              <w:t xml:space="preserve">[...] à l’évidence, le Validateur n’a pas reçu la version complète du plan de travail, puisque les arguments avancés ne </w:t>
            </w:r>
            <w:r>
              <w:rPr>
                <w:rFonts w:ascii="Calibri" w:eastAsia="Calibri" w:hAnsi="Calibri" w:cs="Calibri"/>
                <w:bCs/>
                <w:sz w:val="20"/>
                <w:szCs w:val="20"/>
                <w:bdr w:val="nil"/>
                <w:lang w:val="fr-FR"/>
              </w:rPr>
              <w:lastRenderedPageBreak/>
              <w:t xml:space="preserve">trouvent pas confirmation dans le document lui-même. Les activités relatives à l’augmentation du potentiel de </w:t>
            </w:r>
            <w:r w:rsidR="00A1625B">
              <w:rPr>
                <w:rFonts w:ascii="Calibri" w:eastAsia="Calibri" w:hAnsi="Calibri" w:cs="Calibri"/>
                <w:bCs/>
                <w:sz w:val="20"/>
                <w:szCs w:val="20"/>
                <w:bdr w:val="nil"/>
                <w:lang w:val="fr-FR"/>
              </w:rPr>
              <w:t>V</w:t>
            </w:r>
            <w:r>
              <w:rPr>
                <w:rFonts w:ascii="Calibri" w:eastAsia="Calibri" w:hAnsi="Calibri" w:cs="Calibri"/>
                <w:bCs/>
                <w:sz w:val="20"/>
                <w:szCs w:val="20"/>
                <w:bdr w:val="nil"/>
                <w:lang w:val="fr-FR"/>
              </w:rPr>
              <w:t xml:space="preserve">alidation sont décrites aux sections 5 et 7 du plan de travail respectivement. » Le Groupe multipartite </w:t>
            </w:r>
            <w:r w:rsidR="00A1625B">
              <w:rPr>
                <w:rFonts w:ascii="Calibri" w:eastAsia="Calibri" w:hAnsi="Calibri" w:cs="Calibri"/>
                <w:bCs/>
                <w:sz w:val="20"/>
                <w:szCs w:val="20"/>
                <w:bdr w:val="nil"/>
                <w:lang w:val="fr-FR"/>
              </w:rPr>
              <w:t xml:space="preserve">continue à </w:t>
            </w:r>
            <w:r>
              <w:rPr>
                <w:rFonts w:ascii="Calibri" w:eastAsia="Calibri" w:hAnsi="Calibri" w:cs="Calibri"/>
                <w:bCs/>
                <w:sz w:val="20"/>
                <w:szCs w:val="20"/>
                <w:bdr w:val="nil"/>
                <w:lang w:val="fr-FR"/>
              </w:rPr>
              <w:t>fourni</w:t>
            </w:r>
            <w:r w:rsidR="00A1625B">
              <w:rPr>
                <w:rFonts w:ascii="Calibri" w:eastAsia="Calibri" w:hAnsi="Calibri" w:cs="Calibri"/>
                <w:bCs/>
                <w:sz w:val="20"/>
                <w:szCs w:val="20"/>
                <w:bdr w:val="nil"/>
                <w:lang w:val="fr-FR"/>
              </w:rPr>
              <w:t>r</w:t>
            </w:r>
            <w:r>
              <w:rPr>
                <w:rFonts w:ascii="Calibri" w:eastAsia="Calibri" w:hAnsi="Calibri" w:cs="Calibri"/>
                <w:bCs/>
                <w:sz w:val="20"/>
                <w:szCs w:val="20"/>
                <w:bdr w:val="nil"/>
                <w:lang w:val="fr-FR"/>
              </w:rPr>
              <w:t xml:space="preserve"> des arguments à l’encontre de chaque poi</w:t>
            </w:r>
            <w:r w:rsidR="00962C19">
              <w:rPr>
                <w:rFonts w:ascii="Calibri" w:eastAsia="Calibri" w:hAnsi="Calibri" w:cs="Calibri"/>
                <w:bCs/>
                <w:sz w:val="20"/>
                <w:szCs w:val="20"/>
                <w:bdr w:val="nil"/>
                <w:lang w:val="fr-FR"/>
              </w:rPr>
              <w:t>nt soulevé par le Validateur</w:t>
            </w:r>
            <w:r w:rsidR="00921573">
              <w:rPr>
                <w:rFonts w:ascii="Calibri" w:eastAsia="Calibri" w:hAnsi="Calibri" w:cs="Calibri"/>
                <w:bCs/>
                <w:sz w:val="20"/>
                <w:szCs w:val="20"/>
                <w:bdr w:val="nil"/>
                <w:lang w:val="fr-FR"/>
              </w:rPr>
              <w:t> </w:t>
            </w:r>
            <w:r w:rsidR="00962C19">
              <w:rPr>
                <w:rFonts w:ascii="Calibri" w:eastAsia="Calibri" w:hAnsi="Calibri" w:cs="Calibri"/>
                <w:bCs/>
                <w:sz w:val="20"/>
                <w:szCs w:val="20"/>
                <w:bdr w:val="nil"/>
                <w:lang w:val="fr-FR"/>
              </w:rPr>
              <w:t>: « </w:t>
            </w:r>
            <w:r>
              <w:rPr>
                <w:rFonts w:ascii="Calibri" w:eastAsia="Calibri" w:hAnsi="Calibri" w:cs="Calibri"/>
                <w:bCs/>
                <w:sz w:val="20"/>
                <w:szCs w:val="20"/>
                <w:bdr w:val="nil"/>
                <w:lang w:val="fr-FR"/>
              </w:rPr>
              <w:t>(1) Nous attirons votre attention sur le fait qu’en application de la résolution gouvernementale n°</w:t>
            </w:r>
            <w:r w:rsidR="00B5300C">
              <w:rPr>
                <w:rFonts w:ascii="Calibri" w:eastAsia="Calibri" w:hAnsi="Calibri" w:cs="Calibri"/>
                <w:bCs/>
                <w:sz w:val="20"/>
                <w:szCs w:val="20"/>
                <w:bdr w:val="nil"/>
                <w:lang w:val="fr-FR"/>
              </w:rPr>
              <w:t> </w:t>
            </w:r>
            <w:r>
              <w:rPr>
                <w:rFonts w:ascii="Calibri" w:eastAsia="Calibri" w:hAnsi="Calibri" w:cs="Calibri"/>
                <w:bCs/>
                <w:sz w:val="20"/>
                <w:szCs w:val="20"/>
                <w:bdr w:val="nil"/>
                <w:lang w:val="fr-FR"/>
              </w:rPr>
              <w:t xml:space="preserve">317, la responsabilité de la collecte de fonds revient au Secrétariat de l’ITIE qui a participé au </w:t>
            </w:r>
            <w:r w:rsidR="00EB5097">
              <w:rPr>
                <w:rFonts w:ascii="Calibri" w:eastAsia="Calibri" w:hAnsi="Calibri" w:cs="Calibri"/>
                <w:bCs/>
                <w:sz w:val="20"/>
                <w:szCs w:val="20"/>
                <w:bdr w:val="nil"/>
                <w:lang w:val="fr-FR"/>
              </w:rPr>
              <w:t>C</w:t>
            </w:r>
            <w:r>
              <w:rPr>
                <w:rFonts w:ascii="Calibri" w:eastAsia="Calibri" w:hAnsi="Calibri" w:cs="Calibri"/>
                <w:bCs/>
                <w:sz w:val="20"/>
                <w:szCs w:val="20"/>
                <w:bdr w:val="nil"/>
                <w:lang w:val="fr-FR"/>
              </w:rPr>
              <w:t xml:space="preserve">onseil des donateurs par deux fois au cours de l’exercice 2013-2014, ainsi qu’à des réunions distinctes avec la participation d’autres représentants du Conseil de </w:t>
            </w:r>
            <w:r w:rsidR="00EB5097">
              <w:rPr>
                <w:rFonts w:ascii="Calibri" w:eastAsia="Calibri" w:hAnsi="Calibri" w:cs="Calibri"/>
                <w:bCs/>
                <w:sz w:val="20"/>
                <w:szCs w:val="20"/>
                <w:bdr w:val="nil"/>
                <w:lang w:val="fr-FR"/>
              </w:rPr>
              <w:t>S</w:t>
            </w:r>
            <w:r>
              <w:rPr>
                <w:rFonts w:ascii="Calibri" w:eastAsia="Calibri" w:hAnsi="Calibri" w:cs="Calibri"/>
                <w:bCs/>
                <w:sz w:val="20"/>
                <w:szCs w:val="20"/>
                <w:bdr w:val="nil"/>
                <w:lang w:val="fr-FR"/>
              </w:rPr>
              <w:t xml:space="preserve">urveillance. (2) Il est vrai que les sections 2.4 et 4.4 ne détaillent pas le coût des activités, puisqu’elles sont censées être couvertes par la même subvention que la section 2.10, qui calcule le </w:t>
            </w:r>
            <w:r>
              <w:rPr>
                <w:rFonts w:ascii="Calibri" w:eastAsia="Calibri" w:hAnsi="Calibri" w:cs="Calibri"/>
                <w:bCs/>
                <w:sz w:val="20"/>
                <w:szCs w:val="20"/>
                <w:bdr w:val="nil"/>
                <w:lang w:val="fr-FR"/>
              </w:rPr>
              <w:lastRenderedPageBreak/>
              <w:t>coût de préparation du rapport.</w:t>
            </w:r>
          </w:p>
          <w:p w14:paraId="70A4F63F" w14:textId="77777777" w:rsidR="00152FF5" w:rsidRPr="00962C19" w:rsidRDefault="00152FF5" w:rsidP="00152FF5">
            <w:pPr>
              <w:spacing w:before="120" w:after="120" w:line="220" w:lineRule="exact"/>
              <w:contextualSpacing/>
              <w:rPr>
                <w:bCs/>
                <w:sz w:val="20"/>
                <w:szCs w:val="20"/>
                <w:lang w:val="fr-FR"/>
              </w:rPr>
            </w:pPr>
            <w:r>
              <w:rPr>
                <w:rFonts w:ascii="Calibri" w:eastAsia="Calibri" w:hAnsi="Calibri" w:cs="Calibri"/>
                <w:bCs/>
                <w:sz w:val="20"/>
                <w:szCs w:val="20"/>
                <w:bdr w:val="nil"/>
                <w:lang w:val="fr-FR"/>
              </w:rPr>
              <w:t xml:space="preserve">(3) En ce qui concerne les commentaires du Validateur sur les modifications de la </w:t>
            </w:r>
            <w:r w:rsidR="001527C8">
              <w:rPr>
                <w:rFonts w:ascii="Calibri" w:eastAsia="Calibri" w:hAnsi="Calibri" w:cs="Calibri"/>
                <w:bCs/>
                <w:sz w:val="20"/>
                <w:szCs w:val="20"/>
                <w:bdr w:val="nil"/>
                <w:lang w:val="fr-FR"/>
              </w:rPr>
              <w:t>L</w:t>
            </w:r>
            <w:r>
              <w:rPr>
                <w:rFonts w:ascii="Calibri" w:eastAsia="Calibri" w:hAnsi="Calibri" w:cs="Calibri"/>
                <w:bCs/>
                <w:sz w:val="20"/>
                <w:szCs w:val="20"/>
                <w:bdr w:val="nil"/>
                <w:lang w:val="fr-FR"/>
              </w:rPr>
              <w:t xml:space="preserve">oi sur </w:t>
            </w:r>
            <w:r w:rsidR="001527C8">
              <w:rPr>
                <w:rFonts w:ascii="Calibri" w:eastAsia="Calibri" w:hAnsi="Calibri" w:cs="Calibri"/>
                <w:bCs/>
                <w:sz w:val="20"/>
                <w:szCs w:val="20"/>
                <w:bdr w:val="nil"/>
                <w:lang w:val="fr-FR"/>
              </w:rPr>
              <w:t>l</w:t>
            </w:r>
            <w:r>
              <w:rPr>
                <w:rFonts w:ascii="Calibri" w:eastAsia="Calibri" w:hAnsi="Calibri" w:cs="Calibri"/>
                <w:bCs/>
                <w:sz w:val="20"/>
                <w:szCs w:val="20"/>
                <w:bdr w:val="nil"/>
                <w:lang w:val="fr-FR"/>
              </w:rPr>
              <w:t>es sous-sols</w:t>
            </w:r>
            <w:r w:rsidR="001527C8">
              <w:rPr>
                <w:rFonts w:ascii="Calibri" w:eastAsia="Calibri" w:hAnsi="Calibri" w:cs="Calibri"/>
                <w:bCs/>
                <w:sz w:val="20"/>
                <w:szCs w:val="20"/>
                <w:bdr w:val="nil"/>
                <w:lang w:val="fr-FR"/>
              </w:rPr>
              <w:t>,</w:t>
            </w:r>
            <w:r w:rsidR="00962C19">
              <w:rPr>
                <w:rFonts w:ascii="Calibri" w:eastAsia="Calibri" w:hAnsi="Calibri" w:cs="Calibri"/>
                <w:bCs/>
                <w:sz w:val="20"/>
                <w:szCs w:val="20"/>
                <w:bdr w:val="nil"/>
                <w:lang w:val="fr-FR"/>
              </w:rPr>
              <w:t xml:space="preserve"> « </w:t>
            </w:r>
            <w:r>
              <w:rPr>
                <w:rFonts w:ascii="Calibri" w:eastAsia="Calibri" w:hAnsi="Calibri" w:cs="Calibri"/>
                <w:bCs/>
                <w:sz w:val="20"/>
                <w:szCs w:val="20"/>
                <w:bdr w:val="nil"/>
                <w:lang w:val="fr-FR"/>
              </w:rPr>
              <w:t>les amendements à la loi sont en cours de préparation conformément au processus législatif, et l’organisme public qui supervise l’ITIE - le Comité d’État chargé de l’industrie, de l’énergie et de l’utilisation des sous-sols d</w:t>
            </w:r>
            <w:r w:rsidR="002823DF">
              <w:rPr>
                <w:rFonts w:ascii="Calibri" w:eastAsia="Calibri" w:hAnsi="Calibri" w:cs="Calibri"/>
                <w:bCs/>
                <w:sz w:val="20"/>
                <w:szCs w:val="20"/>
                <w:bdr w:val="nil"/>
                <w:lang w:val="fr-FR"/>
              </w:rPr>
              <w:t>e la République</w:t>
            </w:r>
            <w:r>
              <w:rPr>
                <w:rFonts w:ascii="Calibri" w:eastAsia="Calibri" w:hAnsi="Calibri" w:cs="Calibri"/>
                <w:bCs/>
                <w:sz w:val="20"/>
                <w:szCs w:val="20"/>
                <w:bdr w:val="nil"/>
                <w:lang w:val="fr-FR"/>
              </w:rPr>
              <w:t xml:space="preserve"> </w:t>
            </w:r>
            <w:r w:rsidR="002823DF">
              <w:rPr>
                <w:rFonts w:ascii="Calibri" w:eastAsia="Calibri" w:hAnsi="Calibri" w:cs="Calibri"/>
                <w:bCs/>
                <w:sz w:val="20"/>
                <w:szCs w:val="20"/>
                <w:bdr w:val="nil"/>
                <w:lang w:val="fr-FR"/>
              </w:rPr>
              <w:t>k</w:t>
            </w:r>
            <w:r>
              <w:rPr>
                <w:rFonts w:ascii="Calibri" w:eastAsia="Calibri" w:hAnsi="Calibri" w:cs="Calibri"/>
                <w:bCs/>
                <w:sz w:val="20"/>
                <w:szCs w:val="20"/>
                <w:bdr w:val="nil"/>
                <w:lang w:val="fr-FR"/>
              </w:rPr>
              <w:t>irghiz</w:t>
            </w:r>
            <w:r w:rsidR="002823DF">
              <w:rPr>
                <w:rFonts w:ascii="Calibri" w:eastAsia="Calibri" w:hAnsi="Calibri" w:cs="Calibri"/>
                <w:bCs/>
                <w:sz w:val="20"/>
                <w:szCs w:val="20"/>
                <w:bdr w:val="nil"/>
                <w:lang w:val="fr-FR"/>
              </w:rPr>
              <w:t>e</w:t>
            </w:r>
            <w:r>
              <w:rPr>
                <w:rFonts w:ascii="Calibri" w:eastAsia="Calibri" w:hAnsi="Calibri" w:cs="Calibri"/>
                <w:bCs/>
                <w:sz w:val="20"/>
                <w:szCs w:val="20"/>
                <w:bdr w:val="nil"/>
                <w:lang w:val="fr-FR"/>
              </w:rPr>
              <w:t xml:space="preserve"> - a participé à l’élaboration d’une série d’amende</w:t>
            </w:r>
            <w:r w:rsidR="00962C19">
              <w:rPr>
                <w:rFonts w:ascii="Calibri" w:eastAsia="Calibri" w:hAnsi="Calibri" w:cs="Calibri"/>
                <w:bCs/>
                <w:sz w:val="20"/>
                <w:szCs w:val="20"/>
                <w:bdr w:val="nil"/>
                <w:lang w:val="fr-FR"/>
              </w:rPr>
              <w:t xml:space="preserve">ments à la </w:t>
            </w:r>
            <w:r w:rsidR="001527C8">
              <w:rPr>
                <w:rFonts w:ascii="Calibri" w:eastAsia="Calibri" w:hAnsi="Calibri" w:cs="Calibri"/>
                <w:bCs/>
                <w:sz w:val="20"/>
                <w:szCs w:val="20"/>
                <w:bdr w:val="nil"/>
                <w:lang w:val="fr-FR"/>
              </w:rPr>
              <w:t>L</w:t>
            </w:r>
            <w:r w:rsidR="00962C19">
              <w:rPr>
                <w:rFonts w:ascii="Calibri" w:eastAsia="Calibri" w:hAnsi="Calibri" w:cs="Calibri"/>
                <w:bCs/>
                <w:sz w:val="20"/>
                <w:szCs w:val="20"/>
                <w:bdr w:val="nil"/>
                <w:lang w:val="fr-FR"/>
              </w:rPr>
              <w:t>oi sur les sous-sols</w:t>
            </w:r>
            <w:r>
              <w:rPr>
                <w:rFonts w:ascii="Calibri" w:eastAsia="Calibri" w:hAnsi="Calibri" w:cs="Calibri"/>
                <w:bCs/>
                <w:sz w:val="20"/>
                <w:szCs w:val="20"/>
                <w:bdr w:val="nil"/>
                <w:lang w:val="fr-FR"/>
              </w:rPr>
              <w:t xml:space="preserve"> en 2016. Ces amendements reprennent les sujets évoqués dans le plan de travail et sont examinés par le parlement du Kirghizistan au cours d’une deuxième audience [en 2017]. Le Conseil de </w:t>
            </w:r>
            <w:r w:rsidR="000E656D">
              <w:rPr>
                <w:rFonts w:ascii="Calibri" w:eastAsia="Calibri" w:hAnsi="Calibri" w:cs="Calibri"/>
                <w:bCs/>
                <w:sz w:val="20"/>
                <w:szCs w:val="20"/>
                <w:bdr w:val="nil"/>
                <w:lang w:val="fr-FR"/>
              </w:rPr>
              <w:t>S</w:t>
            </w:r>
            <w:r>
              <w:rPr>
                <w:rFonts w:ascii="Calibri" w:eastAsia="Calibri" w:hAnsi="Calibri" w:cs="Calibri"/>
                <w:bCs/>
                <w:sz w:val="20"/>
                <w:szCs w:val="20"/>
                <w:bdr w:val="nil"/>
                <w:lang w:val="fr-FR"/>
              </w:rPr>
              <w:t xml:space="preserve">urveillance n’a pas non plus </w:t>
            </w:r>
            <w:r w:rsidR="000E656D">
              <w:rPr>
                <w:rFonts w:ascii="Calibri" w:eastAsia="Calibri" w:hAnsi="Calibri" w:cs="Calibri"/>
                <w:bCs/>
                <w:sz w:val="20"/>
                <w:szCs w:val="20"/>
                <w:bdr w:val="nil"/>
                <w:lang w:val="fr-FR"/>
              </w:rPr>
              <w:t xml:space="preserve">exprimé sa </w:t>
            </w:r>
            <w:r>
              <w:rPr>
                <w:rFonts w:ascii="Calibri" w:eastAsia="Calibri" w:hAnsi="Calibri" w:cs="Calibri"/>
                <w:bCs/>
                <w:sz w:val="20"/>
                <w:szCs w:val="20"/>
                <w:bdr w:val="nil"/>
                <w:lang w:val="fr-FR"/>
              </w:rPr>
              <w:t>comp</w:t>
            </w:r>
            <w:r w:rsidR="000E656D">
              <w:rPr>
                <w:rFonts w:ascii="Calibri" w:eastAsia="Calibri" w:hAnsi="Calibri" w:cs="Calibri"/>
                <w:bCs/>
                <w:sz w:val="20"/>
                <w:szCs w:val="20"/>
                <w:bdr w:val="nil"/>
                <w:lang w:val="fr-FR"/>
              </w:rPr>
              <w:t>réhension à l’égard</w:t>
            </w:r>
            <w:r>
              <w:rPr>
                <w:rFonts w:ascii="Calibri" w:eastAsia="Calibri" w:hAnsi="Calibri" w:cs="Calibri"/>
                <w:bCs/>
                <w:sz w:val="20"/>
                <w:szCs w:val="20"/>
                <w:bdr w:val="nil"/>
                <w:lang w:val="fr-FR"/>
              </w:rPr>
              <w:t xml:space="preserve"> </w:t>
            </w:r>
            <w:r w:rsidR="000E656D">
              <w:rPr>
                <w:rFonts w:ascii="Calibri" w:eastAsia="Calibri" w:hAnsi="Calibri" w:cs="Calibri"/>
                <w:bCs/>
                <w:sz w:val="20"/>
                <w:szCs w:val="20"/>
                <w:bdr w:val="nil"/>
                <w:lang w:val="fr-FR"/>
              </w:rPr>
              <w:t>d</w:t>
            </w:r>
            <w:r>
              <w:rPr>
                <w:rFonts w:ascii="Calibri" w:eastAsia="Calibri" w:hAnsi="Calibri" w:cs="Calibri"/>
                <w:bCs/>
                <w:sz w:val="20"/>
                <w:szCs w:val="20"/>
                <w:bdr w:val="nil"/>
                <w:lang w:val="fr-FR"/>
              </w:rPr>
              <w:t>es commentaires du rapport préliminaire</w:t>
            </w:r>
            <w:r w:rsidR="00CE7F7B">
              <w:rPr>
                <w:rFonts w:ascii="Calibri" w:eastAsia="Calibri" w:hAnsi="Calibri" w:cs="Calibri"/>
                <w:bCs/>
                <w:sz w:val="20"/>
                <w:szCs w:val="20"/>
                <w:bdr w:val="nil"/>
                <w:lang w:val="fr-FR"/>
              </w:rPr>
              <w:t xml:space="preserve"> pour ce qui</w:t>
            </w:r>
            <w:r>
              <w:rPr>
                <w:rFonts w:ascii="Calibri" w:eastAsia="Calibri" w:hAnsi="Calibri" w:cs="Calibri"/>
                <w:bCs/>
                <w:sz w:val="20"/>
                <w:szCs w:val="20"/>
                <w:bdr w:val="nil"/>
                <w:lang w:val="fr-FR"/>
              </w:rPr>
              <w:t xml:space="preserve"> concern</w:t>
            </w:r>
            <w:r w:rsidR="00CE7F7B">
              <w:rPr>
                <w:rFonts w:ascii="Calibri" w:eastAsia="Calibri" w:hAnsi="Calibri" w:cs="Calibri"/>
                <w:bCs/>
                <w:sz w:val="20"/>
                <w:szCs w:val="20"/>
                <w:bdr w:val="nil"/>
                <w:lang w:val="fr-FR"/>
              </w:rPr>
              <w:t>e</w:t>
            </w:r>
            <w:r>
              <w:rPr>
                <w:rFonts w:ascii="Calibri" w:eastAsia="Calibri" w:hAnsi="Calibri" w:cs="Calibri"/>
                <w:bCs/>
                <w:sz w:val="20"/>
                <w:szCs w:val="20"/>
                <w:bdr w:val="nil"/>
                <w:lang w:val="fr-FR"/>
              </w:rPr>
              <w:t xml:space="preserve"> l’</w:t>
            </w:r>
            <w:r w:rsidR="00CE7F7B">
              <w:rPr>
                <w:rFonts w:ascii="Calibri" w:eastAsia="Calibri" w:hAnsi="Calibri" w:cs="Calibri"/>
                <w:bCs/>
                <w:sz w:val="20"/>
                <w:szCs w:val="20"/>
                <w:bdr w:val="nil"/>
                <w:lang w:val="fr-FR"/>
              </w:rPr>
              <w:t>incohérence</w:t>
            </w:r>
            <w:r>
              <w:rPr>
                <w:rFonts w:ascii="Calibri" w:eastAsia="Calibri" w:hAnsi="Calibri" w:cs="Calibri"/>
                <w:bCs/>
                <w:sz w:val="20"/>
                <w:szCs w:val="20"/>
                <w:bdr w:val="nil"/>
                <w:lang w:val="fr-FR"/>
              </w:rPr>
              <w:t xml:space="preserve"> des activités </w:t>
            </w:r>
            <w:r>
              <w:rPr>
                <w:rFonts w:ascii="Calibri" w:eastAsia="Calibri" w:hAnsi="Calibri" w:cs="Calibri"/>
                <w:bCs/>
                <w:sz w:val="20"/>
                <w:szCs w:val="20"/>
                <w:bdr w:val="nil"/>
                <w:lang w:val="fr-FR"/>
              </w:rPr>
              <w:lastRenderedPageBreak/>
              <w:t xml:space="preserve">du plan de travail </w:t>
            </w:r>
            <w:r w:rsidR="00CE7F7B">
              <w:rPr>
                <w:rFonts w:ascii="Calibri" w:eastAsia="Calibri" w:hAnsi="Calibri" w:cs="Calibri"/>
                <w:bCs/>
                <w:sz w:val="20"/>
                <w:szCs w:val="20"/>
                <w:bdr w:val="nil"/>
                <w:lang w:val="fr-FR"/>
              </w:rPr>
              <w:t>par rapport aux</w:t>
            </w:r>
            <w:r>
              <w:rPr>
                <w:rFonts w:ascii="Calibri" w:eastAsia="Calibri" w:hAnsi="Calibri" w:cs="Calibri"/>
                <w:bCs/>
                <w:sz w:val="20"/>
                <w:szCs w:val="20"/>
                <w:bdr w:val="nil"/>
                <w:lang w:val="fr-FR"/>
              </w:rPr>
              <w:t xml:space="preserve"> objecti</w:t>
            </w:r>
            <w:r w:rsidR="00F32E6E">
              <w:rPr>
                <w:rFonts w:ascii="Calibri" w:eastAsia="Calibri" w:hAnsi="Calibri" w:cs="Calibri"/>
                <w:bCs/>
                <w:sz w:val="20"/>
                <w:szCs w:val="20"/>
                <w:bdr w:val="nil"/>
                <w:lang w:val="fr-FR"/>
              </w:rPr>
              <w:t xml:space="preserve">fs de mise en œuvre de l’ITIE. </w:t>
            </w:r>
            <w:r>
              <w:rPr>
                <w:rFonts w:ascii="Calibri" w:eastAsia="Calibri" w:hAnsi="Calibri" w:cs="Calibri"/>
                <w:bCs/>
                <w:sz w:val="20"/>
                <w:szCs w:val="20"/>
                <w:bdr w:val="nil"/>
                <w:lang w:val="fr-FR"/>
              </w:rPr>
              <w:t xml:space="preserve">Nous estimons que le rapport en lui-même, la divulgation de la propriété réelle, les réunions du Conseil de </w:t>
            </w:r>
            <w:r w:rsidR="00F45204">
              <w:rPr>
                <w:rFonts w:ascii="Calibri" w:eastAsia="Calibri" w:hAnsi="Calibri" w:cs="Calibri"/>
                <w:bCs/>
                <w:sz w:val="20"/>
                <w:szCs w:val="20"/>
                <w:bdr w:val="nil"/>
                <w:lang w:val="fr-FR"/>
              </w:rPr>
              <w:t>S</w:t>
            </w:r>
            <w:r>
              <w:rPr>
                <w:rFonts w:ascii="Calibri" w:eastAsia="Calibri" w:hAnsi="Calibri" w:cs="Calibri"/>
                <w:bCs/>
                <w:sz w:val="20"/>
                <w:szCs w:val="20"/>
                <w:bdr w:val="nil"/>
                <w:lang w:val="fr-FR"/>
              </w:rPr>
              <w:t xml:space="preserve">urveillance et la </w:t>
            </w:r>
            <w:r w:rsidR="00F45204">
              <w:rPr>
                <w:rFonts w:ascii="Calibri" w:eastAsia="Calibri" w:hAnsi="Calibri" w:cs="Calibri"/>
                <w:bCs/>
                <w:sz w:val="20"/>
                <w:szCs w:val="20"/>
                <w:bdr w:val="nil"/>
                <w:lang w:val="fr-FR"/>
              </w:rPr>
              <w:t>V</w:t>
            </w:r>
            <w:r>
              <w:rPr>
                <w:rFonts w:ascii="Calibri" w:eastAsia="Calibri" w:hAnsi="Calibri" w:cs="Calibri"/>
                <w:bCs/>
                <w:sz w:val="20"/>
                <w:szCs w:val="20"/>
                <w:bdr w:val="nil"/>
                <w:lang w:val="fr-FR"/>
              </w:rPr>
              <w:t>alidation sont autant de processus qui renforcent la gestion des ressources naturelles et améliorent la transparence et la responsabilité du gouvernement dans la gestion du secteur.</w:t>
            </w:r>
            <w:r>
              <w:rPr>
                <w:rFonts w:ascii="Calibri" w:eastAsia="Calibri" w:hAnsi="Calibri" w:cs="Calibri"/>
                <w:bCs/>
                <w:strike/>
                <w:sz w:val="20"/>
                <w:szCs w:val="20"/>
                <w:bdr w:val="nil"/>
                <w:lang w:val="fr-FR"/>
              </w:rPr>
              <w:t xml:space="preserve">  </w:t>
            </w:r>
          </w:p>
        </w:tc>
        <w:tc>
          <w:tcPr>
            <w:tcW w:w="1701" w:type="dxa"/>
          </w:tcPr>
          <w:p w14:paraId="0387C760" w14:textId="77777777" w:rsidR="00152FF5" w:rsidRPr="00962C19" w:rsidRDefault="00152FF5" w:rsidP="00152FF5">
            <w:pPr>
              <w:autoSpaceDE w:val="0"/>
              <w:autoSpaceDN w:val="0"/>
              <w:adjustRightInd w:val="0"/>
              <w:spacing w:before="120" w:after="120" w:line="220" w:lineRule="exact"/>
              <w:contextualSpacing/>
              <w:rPr>
                <w:sz w:val="20"/>
                <w:szCs w:val="20"/>
                <w:lang w:val="fr-FR"/>
              </w:rPr>
            </w:pPr>
            <w:r>
              <w:rPr>
                <w:rFonts w:ascii="Calibri" w:eastAsia="Calibri" w:hAnsi="Calibri" w:cs="Calibri"/>
                <w:sz w:val="20"/>
                <w:szCs w:val="20"/>
                <w:bdr w:val="nil"/>
                <w:lang w:val="fr-FR"/>
              </w:rPr>
              <w:lastRenderedPageBreak/>
              <w:t>Le Comité doit émettre une recommandation sur l’évaluation du Conseil d’administration de l’</w:t>
            </w:r>
            <w:r w:rsidR="00087D0F">
              <w:rPr>
                <w:rFonts w:ascii="Calibri" w:eastAsia="Calibri" w:hAnsi="Calibri" w:cs="Calibri"/>
                <w:sz w:val="20"/>
                <w:szCs w:val="20"/>
                <w:bdr w:val="nil"/>
                <w:lang w:val="fr-FR"/>
              </w:rPr>
              <w:t>E</w:t>
            </w:r>
            <w:r>
              <w:rPr>
                <w:rFonts w:ascii="Calibri" w:eastAsia="Calibri" w:hAnsi="Calibri" w:cs="Calibri"/>
                <w:sz w:val="20"/>
                <w:szCs w:val="20"/>
                <w:bdr w:val="nil"/>
                <w:lang w:val="fr-FR"/>
              </w:rPr>
              <w:t>xigence 1.5</w:t>
            </w:r>
            <w:r w:rsidR="00962C19">
              <w:rPr>
                <w:rFonts w:ascii="Calibri" w:eastAsia="Calibri" w:hAnsi="Calibri" w:cs="Calibri"/>
                <w:sz w:val="20"/>
                <w:szCs w:val="20"/>
                <w:bdr w:val="nil"/>
                <w:lang w:val="fr-FR"/>
              </w:rPr>
              <w:t>, à savoir si les progrès sont « significatifs » ou « </w:t>
            </w:r>
            <w:r>
              <w:rPr>
                <w:rFonts w:ascii="Calibri" w:eastAsia="Calibri" w:hAnsi="Calibri" w:cs="Calibri"/>
                <w:sz w:val="20"/>
                <w:szCs w:val="20"/>
                <w:bdr w:val="nil"/>
                <w:lang w:val="fr-FR"/>
              </w:rPr>
              <w:t>satisfaisants</w:t>
            </w:r>
            <w:r w:rsidR="00962C19">
              <w:rPr>
                <w:rFonts w:ascii="Calibri" w:eastAsia="Calibri" w:hAnsi="Calibri" w:cs="Calibri"/>
                <w:sz w:val="20"/>
                <w:szCs w:val="20"/>
                <w:bdr w:val="nil"/>
                <w:lang w:val="fr-FR"/>
              </w:rPr>
              <w:t> »</w:t>
            </w:r>
            <w:r>
              <w:rPr>
                <w:rFonts w:ascii="Calibri" w:eastAsia="Calibri" w:hAnsi="Calibri" w:cs="Calibri"/>
                <w:sz w:val="20"/>
                <w:szCs w:val="20"/>
                <w:bdr w:val="nil"/>
                <w:lang w:val="fr-FR"/>
              </w:rPr>
              <w:t xml:space="preserve">. </w:t>
            </w:r>
          </w:p>
          <w:p w14:paraId="0AF8645A" w14:textId="77777777" w:rsidR="00152FF5" w:rsidRPr="00962C19" w:rsidRDefault="00152FF5" w:rsidP="00152FF5">
            <w:pPr>
              <w:spacing w:before="120" w:after="120" w:line="220" w:lineRule="exact"/>
              <w:contextualSpacing/>
              <w:rPr>
                <w:sz w:val="20"/>
                <w:szCs w:val="20"/>
                <w:lang w:val="fr-FR"/>
              </w:rPr>
            </w:pPr>
          </w:p>
          <w:p w14:paraId="762E8631" w14:textId="77777777" w:rsidR="00152FF5" w:rsidRPr="00962C19" w:rsidRDefault="00962C19" w:rsidP="00152FF5">
            <w:pPr>
              <w:spacing w:before="120" w:after="120" w:line="220" w:lineRule="exact"/>
              <w:contextualSpacing/>
              <w:rPr>
                <w:sz w:val="20"/>
                <w:szCs w:val="20"/>
                <w:lang w:val="fr-FR"/>
              </w:rPr>
            </w:pPr>
            <w:r>
              <w:rPr>
                <w:rFonts w:ascii="Calibri" w:eastAsia="Calibri" w:hAnsi="Calibri" w:cs="Calibri"/>
                <w:sz w:val="20"/>
                <w:szCs w:val="20"/>
                <w:bdr w:val="nil"/>
                <w:lang w:val="fr-FR"/>
              </w:rPr>
              <w:lastRenderedPageBreak/>
              <w:t>Si les progrès sont « significatifs »</w:t>
            </w:r>
            <w:r w:rsidR="00152FF5">
              <w:rPr>
                <w:rFonts w:ascii="Calibri" w:eastAsia="Calibri" w:hAnsi="Calibri" w:cs="Calibri"/>
                <w:sz w:val="20"/>
                <w:szCs w:val="20"/>
                <w:bdr w:val="nil"/>
                <w:lang w:val="fr-FR"/>
              </w:rPr>
              <w:t>, le Comité doit préciser quelles dispositions n’ont pas été respectées selon lui et recommander des mesures correctives.</w:t>
            </w:r>
          </w:p>
        </w:tc>
      </w:tr>
      <w:tr w:rsidR="000905FF" w:rsidRPr="00B5300C" w14:paraId="6CADB6C9" w14:textId="77777777" w:rsidTr="00152FF5">
        <w:tc>
          <w:tcPr>
            <w:tcW w:w="2768" w:type="dxa"/>
          </w:tcPr>
          <w:p w14:paraId="122FFA8C" w14:textId="77777777" w:rsidR="00152FF5" w:rsidRPr="00962C19" w:rsidRDefault="00152FF5" w:rsidP="00152FF5">
            <w:pPr>
              <w:autoSpaceDE w:val="0"/>
              <w:autoSpaceDN w:val="0"/>
              <w:adjustRightInd w:val="0"/>
              <w:spacing w:before="120" w:after="120" w:line="220" w:lineRule="exact"/>
              <w:contextualSpacing/>
              <w:rPr>
                <w:rFonts w:cs="MyriadPro-Regular"/>
                <w:sz w:val="20"/>
                <w:szCs w:val="20"/>
                <w:lang w:val="fr-FR"/>
              </w:rPr>
            </w:pPr>
            <w:r>
              <w:rPr>
                <w:rFonts w:ascii="Calibri" w:eastAsia="Calibri" w:hAnsi="Calibri" w:cs="Calibri"/>
                <w:sz w:val="20"/>
                <w:szCs w:val="20"/>
                <w:bdr w:val="nil"/>
                <w:lang w:val="fr-FR"/>
              </w:rPr>
              <w:lastRenderedPageBreak/>
              <w:t>2.4 Contrats</w:t>
            </w:r>
          </w:p>
          <w:p w14:paraId="55AB85E1" w14:textId="77777777" w:rsidR="00152FF5" w:rsidRPr="00962C19" w:rsidRDefault="00152FF5" w:rsidP="00152FF5">
            <w:pPr>
              <w:autoSpaceDE w:val="0"/>
              <w:autoSpaceDN w:val="0"/>
              <w:adjustRightInd w:val="0"/>
              <w:spacing w:before="120" w:after="120" w:line="220" w:lineRule="exact"/>
              <w:contextualSpacing/>
              <w:rPr>
                <w:rFonts w:cs="MyriadPro-Regular"/>
                <w:sz w:val="20"/>
                <w:szCs w:val="20"/>
                <w:lang w:val="fr-FR"/>
              </w:rPr>
            </w:pPr>
            <w:r>
              <w:rPr>
                <w:rFonts w:ascii="Calibri" w:eastAsia="Calibri" w:hAnsi="Calibri" w:cs="Calibri"/>
                <w:sz w:val="20"/>
                <w:szCs w:val="20"/>
                <w:bdr w:val="nil"/>
                <w:lang w:val="fr-FR"/>
              </w:rPr>
              <w:t>a) Les pays mettant en œuvre l’ITIE sont encouragés à divulguer publiquement tous les contrats et licences qui fixent les conditions d’exploitation de pétrole, de gaz et de minéraux.</w:t>
            </w:r>
          </w:p>
          <w:p w14:paraId="303BEB58" w14:textId="77777777" w:rsidR="00152FF5" w:rsidRPr="00962C19" w:rsidRDefault="00152FF5" w:rsidP="00152FF5">
            <w:pPr>
              <w:autoSpaceDE w:val="0"/>
              <w:autoSpaceDN w:val="0"/>
              <w:adjustRightInd w:val="0"/>
              <w:spacing w:before="120" w:after="120" w:line="220" w:lineRule="exact"/>
              <w:contextualSpacing/>
              <w:rPr>
                <w:rFonts w:cs="MyriadPro-Regular"/>
                <w:sz w:val="20"/>
                <w:szCs w:val="20"/>
                <w:lang w:val="fr-FR"/>
              </w:rPr>
            </w:pPr>
            <w:r>
              <w:rPr>
                <w:rFonts w:ascii="Calibri" w:eastAsia="Calibri" w:hAnsi="Calibri" w:cs="Calibri"/>
                <w:sz w:val="20"/>
                <w:szCs w:val="20"/>
                <w:bdr w:val="nil"/>
                <w:lang w:val="fr-FR"/>
              </w:rPr>
              <w:t>b) Il est exigé que le Rapport ITIE documente la politique du gouvernement en matière de divulgation des contrats et licences fixant les conditions de prospection ou d’exploitation de pétrole, de gaz ou de minéraux.  Cela devra inclure les dispositions légales pertinentes, les pratiques concrètes de divulgation et les réformes planifiées ou en cours. Le cas échéant, le Rapport ITIE doit donner un aperçu des contrats et des licences disponibles et mentionner l’endroit où ils sont publiés (ou un lien vers celui-ci).</w:t>
            </w:r>
          </w:p>
          <w:p w14:paraId="05C06A4F" w14:textId="77777777" w:rsidR="00152FF5" w:rsidRPr="00962C19" w:rsidRDefault="00152FF5" w:rsidP="00152FF5">
            <w:pPr>
              <w:autoSpaceDE w:val="0"/>
              <w:autoSpaceDN w:val="0"/>
              <w:adjustRightInd w:val="0"/>
              <w:spacing w:before="120" w:after="120" w:line="220" w:lineRule="exact"/>
              <w:contextualSpacing/>
              <w:rPr>
                <w:rFonts w:cs="MyriadPro-Regular"/>
                <w:sz w:val="20"/>
                <w:szCs w:val="20"/>
                <w:lang w:val="fr-FR"/>
              </w:rPr>
            </w:pPr>
            <w:r>
              <w:rPr>
                <w:rFonts w:ascii="Calibri" w:eastAsia="Calibri" w:hAnsi="Calibri" w:cs="Calibri"/>
                <w:sz w:val="20"/>
                <w:szCs w:val="20"/>
                <w:bdr w:val="nil"/>
                <w:lang w:val="fr-FR"/>
              </w:rPr>
              <w:lastRenderedPageBreak/>
              <w:t>c) Par «</w:t>
            </w:r>
            <w:r w:rsidR="00921573">
              <w:rPr>
                <w:rFonts w:ascii="Calibri" w:eastAsia="Calibri" w:hAnsi="Calibri" w:cs="Calibri"/>
                <w:sz w:val="20"/>
                <w:szCs w:val="20"/>
                <w:bdr w:val="nil"/>
                <w:lang w:val="fr-FR"/>
              </w:rPr>
              <w:t> </w:t>
            </w:r>
            <w:r>
              <w:rPr>
                <w:rFonts w:ascii="Calibri" w:eastAsia="Calibri" w:hAnsi="Calibri" w:cs="Calibri"/>
                <w:sz w:val="20"/>
                <w:szCs w:val="20"/>
                <w:bdr w:val="nil"/>
                <w:lang w:val="fr-FR"/>
              </w:rPr>
              <w:t>contrat</w:t>
            </w:r>
            <w:r w:rsidR="00921573">
              <w:rPr>
                <w:rFonts w:ascii="Calibri" w:eastAsia="Calibri" w:hAnsi="Calibri" w:cs="Calibri"/>
                <w:sz w:val="20"/>
                <w:szCs w:val="20"/>
                <w:bdr w:val="nil"/>
                <w:lang w:val="fr-FR"/>
              </w:rPr>
              <w:t> </w:t>
            </w:r>
            <w:r>
              <w:rPr>
                <w:rFonts w:ascii="Calibri" w:eastAsia="Calibri" w:hAnsi="Calibri" w:cs="Calibri"/>
                <w:sz w:val="20"/>
                <w:szCs w:val="20"/>
                <w:bdr w:val="nil"/>
                <w:lang w:val="fr-FR"/>
              </w:rPr>
              <w:t>» dans la disposition 2.4(a), il faut entendre</w:t>
            </w:r>
            <w:r w:rsidR="00921573">
              <w:rPr>
                <w:rFonts w:ascii="Calibri" w:eastAsia="Calibri" w:hAnsi="Calibri" w:cs="Calibri"/>
                <w:sz w:val="20"/>
                <w:szCs w:val="20"/>
                <w:bdr w:val="nil"/>
                <w:lang w:val="fr-FR"/>
              </w:rPr>
              <w:t> </w:t>
            </w:r>
            <w:r>
              <w:rPr>
                <w:rFonts w:ascii="Calibri" w:eastAsia="Calibri" w:hAnsi="Calibri" w:cs="Calibri"/>
                <w:sz w:val="20"/>
                <w:szCs w:val="20"/>
                <w:bdr w:val="nil"/>
                <w:lang w:val="fr-FR"/>
              </w:rPr>
              <w:t>:</w:t>
            </w:r>
          </w:p>
          <w:p w14:paraId="41BB1C49" w14:textId="77777777" w:rsidR="00152FF5" w:rsidRPr="00962C19" w:rsidRDefault="00152FF5" w:rsidP="00152FF5">
            <w:pPr>
              <w:autoSpaceDE w:val="0"/>
              <w:autoSpaceDN w:val="0"/>
              <w:adjustRightInd w:val="0"/>
              <w:spacing w:before="120" w:after="120" w:line="220" w:lineRule="exact"/>
              <w:contextualSpacing/>
              <w:rPr>
                <w:rFonts w:cs="MyriadPro-Regular"/>
                <w:sz w:val="20"/>
                <w:szCs w:val="20"/>
                <w:lang w:val="fr-FR"/>
              </w:rPr>
            </w:pPr>
            <w:r>
              <w:rPr>
                <w:rFonts w:ascii="Calibri" w:eastAsia="Calibri" w:hAnsi="Calibri" w:cs="Calibri"/>
                <w:sz w:val="20"/>
                <w:szCs w:val="20"/>
                <w:bdr w:val="nil"/>
                <w:lang w:val="fr-FR"/>
              </w:rPr>
              <w:t>i. le texte intégral de tout contrat, licence, concession, accord de partage de production ou autre accord conclu par ou avec le gouvernement et fixant les conditions d’exploitation de ressources pétrolières, gazières et minières.</w:t>
            </w:r>
          </w:p>
          <w:p w14:paraId="4238F037" w14:textId="77777777" w:rsidR="00152FF5" w:rsidRPr="00962C19" w:rsidRDefault="00152FF5" w:rsidP="00152FF5">
            <w:pPr>
              <w:autoSpaceDE w:val="0"/>
              <w:autoSpaceDN w:val="0"/>
              <w:adjustRightInd w:val="0"/>
              <w:spacing w:before="120" w:after="120" w:line="220" w:lineRule="exact"/>
              <w:contextualSpacing/>
              <w:rPr>
                <w:rFonts w:cs="MyriadPro-Regular"/>
                <w:sz w:val="20"/>
                <w:szCs w:val="20"/>
                <w:lang w:val="fr-FR"/>
              </w:rPr>
            </w:pPr>
            <w:r>
              <w:rPr>
                <w:rFonts w:ascii="Calibri" w:eastAsia="Calibri" w:hAnsi="Calibri" w:cs="Calibri"/>
                <w:sz w:val="20"/>
                <w:szCs w:val="20"/>
                <w:bdr w:val="nil"/>
                <w:lang w:val="fr-FR"/>
              </w:rPr>
              <w:t>ii.  Le texte intégral de tout addenda, annexe ou avenant fixant les détails relatifs aux droits d’exploitation mentionnés au point 2.4(c)(i), ou à leur exécution.</w:t>
            </w:r>
          </w:p>
          <w:p w14:paraId="1D6443B3" w14:textId="77777777" w:rsidR="00152FF5" w:rsidRPr="00962C19" w:rsidRDefault="00152FF5" w:rsidP="00152FF5">
            <w:pPr>
              <w:autoSpaceDE w:val="0"/>
              <w:autoSpaceDN w:val="0"/>
              <w:adjustRightInd w:val="0"/>
              <w:spacing w:before="120" w:after="120" w:line="220" w:lineRule="exact"/>
              <w:contextualSpacing/>
              <w:rPr>
                <w:rFonts w:cs="MyriadPro-Regular"/>
                <w:sz w:val="20"/>
                <w:szCs w:val="20"/>
                <w:lang w:val="fr-FR"/>
              </w:rPr>
            </w:pPr>
            <w:r>
              <w:rPr>
                <w:rFonts w:ascii="Calibri" w:eastAsia="Calibri" w:hAnsi="Calibri" w:cs="Calibri"/>
                <w:sz w:val="20"/>
                <w:szCs w:val="20"/>
                <w:bdr w:val="nil"/>
                <w:lang w:val="fr-FR"/>
              </w:rPr>
              <w:t>iii.   le texte intégral de toute modification ou de tout amendement des documents décrits aux points 2.4(c</w:t>
            </w:r>
            <w:r w:rsidR="00C876CE">
              <w:rPr>
                <w:rFonts w:ascii="Calibri" w:eastAsia="Calibri" w:hAnsi="Calibri" w:cs="Calibri"/>
                <w:sz w:val="20"/>
                <w:szCs w:val="20"/>
                <w:bdr w:val="nil"/>
                <w:lang w:val="fr-FR"/>
              </w:rPr>
              <w:t>)</w:t>
            </w:r>
            <w:r>
              <w:rPr>
                <w:rFonts w:ascii="Calibri" w:eastAsia="Calibri" w:hAnsi="Calibri" w:cs="Calibri"/>
                <w:sz w:val="20"/>
                <w:szCs w:val="20"/>
                <w:bdr w:val="nil"/>
                <w:lang w:val="fr-FR"/>
              </w:rPr>
              <w:t>(i) et 2.4(c)(ii).</w:t>
            </w:r>
          </w:p>
          <w:p w14:paraId="2A85FC13" w14:textId="77777777" w:rsidR="00152FF5" w:rsidRPr="00962C19" w:rsidRDefault="00152FF5" w:rsidP="00152FF5">
            <w:pPr>
              <w:autoSpaceDE w:val="0"/>
              <w:autoSpaceDN w:val="0"/>
              <w:adjustRightInd w:val="0"/>
              <w:spacing w:before="120" w:after="120" w:line="220" w:lineRule="exact"/>
              <w:contextualSpacing/>
              <w:rPr>
                <w:rFonts w:cs="MyriadPro-Regular"/>
                <w:sz w:val="20"/>
                <w:szCs w:val="20"/>
                <w:lang w:val="fr-FR"/>
              </w:rPr>
            </w:pPr>
            <w:r>
              <w:rPr>
                <w:rFonts w:ascii="Calibri" w:eastAsia="Calibri" w:hAnsi="Calibri" w:cs="Calibri"/>
                <w:sz w:val="20"/>
                <w:szCs w:val="20"/>
                <w:bdr w:val="nil"/>
                <w:lang w:val="fr-FR"/>
              </w:rPr>
              <w:t>d) Par «</w:t>
            </w:r>
            <w:r w:rsidR="00921573">
              <w:rPr>
                <w:rFonts w:ascii="Calibri" w:eastAsia="Calibri" w:hAnsi="Calibri" w:cs="Calibri"/>
                <w:sz w:val="20"/>
                <w:szCs w:val="20"/>
                <w:bdr w:val="nil"/>
                <w:lang w:val="fr-FR"/>
              </w:rPr>
              <w:t> </w:t>
            </w:r>
            <w:r>
              <w:rPr>
                <w:rFonts w:ascii="Calibri" w:eastAsia="Calibri" w:hAnsi="Calibri" w:cs="Calibri"/>
                <w:sz w:val="20"/>
                <w:szCs w:val="20"/>
                <w:bdr w:val="nil"/>
                <w:lang w:val="fr-FR"/>
              </w:rPr>
              <w:t>licence</w:t>
            </w:r>
            <w:r w:rsidR="00921573">
              <w:rPr>
                <w:rFonts w:ascii="Calibri" w:eastAsia="Calibri" w:hAnsi="Calibri" w:cs="Calibri"/>
                <w:sz w:val="20"/>
                <w:szCs w:val="20"/>
                <w:bdr w:val="nil"/>
                <w:lang w:val="fr-FR"/>
              </w:rPr>
              <w:t> »</w:t>
            </w:r>
            <w:r>
              <w:rPr>
                <w:rFonts w:ascii="Calibri" w:eastAsia="Calibri" w:hAnsi="Calibri" w:cs="Calibri"/>
                <w:sz w:val="20"/>
                <w:szCs w:val="20"/>
                <w:bdr w:val="nil"/>
                <w:lang w:val="fr-FR"/>
              </w:rPr>
              <w:t xml:space="preserve"> dans la disposition 2.4(a), il faut entendre</w:t>
            </w:r>
            <w:r w:rsidR="00921573">
              <w:rPr>
                <w:rFonts w:ascii="Calibri" w:eastAsia="Calibri" w:hAnsi="Calibri" w:cs="Calibri"/>
                <w:sz w:val="20"/>
                <w:szCs w:val="20"/>
                <w:bdr w:val="nil"/>
                <w:lang w:val="fr-FR"/>
              </w:rPr>
              <w:t> </w:t>
            </w:r>
            <w:r>
              <w:rPr>
                <w:rFonts w:ascii="Calibri" w:eastAsia="Calibri" w:hAnsi="Calibri" w:cs="Calibri"/>
                <w:sz w:val="20"/>
                <w:szCs w:val="20"/>
                <w:bdr w:val="nil"/>
                <w:lang w:val="fr-FR"/>
              </w:rPr>
              <w:t>:</w:t>
            </w:r>
          </w:p>
          <w:p w14:paraId="71243AC4" w14:textId="77777777" w:rsidR="00152FF5" w:rsidRPr="00962C19" w:rsidRDefault="00152FF5" w:rsidP="00152FF5">
            <w:pPr>
              <w:autoSpaceDE w:val="0"/>
              <w:autoSpaceDN w:val="0"/>
              <w:adjustRightInd w:val="0"/>
              <w:spacing w:before="120" w:after="120" w:line="220" w:lineRule="exact"/>
              <w:contextualSpacing/>
              <w:rPr>
                <w:rFonts w:cs="MyriadPro-Regular"/>
                <w:sz w:val="20"/>
                <w:szCs w:val="20"/>
                <w:lang w:val="fr-FR"/>
              </w:rPr>
            </w:pPr>
            <w:r>
              <w:rPr>
                <w:rFonts w:ascii="Calibri" w:eastAsia="Calibri" w:hAnsi="Calibri" w:cs="Calibri"/>
                <w:sz w:val="20"/>
                <w:szCs w:val="20"/>
                <w:bdr w:val="nil"/>
                <w:lang w:val="fr-FR"/>
              </w:rPr>
              <w:t>i. Le texte intégral de tout bail, titre, licence ou permis par lequel le gouvernement octroie à une entreprise (ou à plusieurs entreprises), ou à un ou plusieurs individus, les droits afférents à l’exploitation des ressources pétrolières, gazières et/ou minérales.</w:t>
            </w:r>
          </w:p>
          <w:p w14:paraId="15EF778D" w14:textId="77777777" w:rsidR="00152FF5" w:rsidRPr="00962C19" w:rsidRDefault="00152FF5" w:rsidP="00152FF5">
            <w:pPr>
              <w:autoSpaceDE w:val="0"/>
              <w:autoSpaceDN w:val="0"/>
              <w:adjustRightInd w:val="0"/>
              <w:spacing w:before="120" w:after="120" w:line="220" w:lineRule="exact"/>
              <w:contextualSpacing/>
              <w:rPr>
                <w:rFonts w:cs="MyriadPro-Regular"/>
                <w:sz w:val="20"/>
                <w:szCs w:val="20"/>
                <w:lang w:val="fr-FR"/>
              </w:rPr>
            </w:pPr>
            <w:r>
              <w:rPr>
                <w:rFonts w:ascii="Calibri" w:eastAsia="Calibri" w:hAnsi="Calibri" w:cs="Calibri"/>
                <w:sz w:val="20"/>
                <w:szCs w:val="20"/>
                <w:bdr w:val="nil"/>
                <w:lang w:val="fr-FR"/>
              </w:rPr>
              <w:lastRenderedPageBreak/>
              <w:t>ii. Le texte intégral de tout addenda, annexe ou avenant fixant les détails relatifs aux droits d’exploitation mentionnés au point 2.4(d)(i), ou à leur exécution.</w:t>
            </w:r>
          </w:p>
          <w:p w14:paraId="1ECA29ED" w14:textId="77777777" w:rsidR="00152FF5" w:rsidRPr="00962C19" w:rsidRDefault="00152FF5" w:rsidP="00152FF5">
            <w:pPr>
              <w:autoSpaceDE w:val="0"/>
              <w:autoSpaceDN w:val="0"/>
              <w:adjustRightInd w:val="0"/>
              <w:spacing w:before="120" w:after="120" w:line="220" w:lineRule="exact"/>
              <w:contextualSpacing/>
              <w:rPr>
                <w:rFonts w:cs="MyriadPro-Regular"/>
                <w:sz w:val="20"/>
                <w:szCs w:val="20"/>
                <w:lang w:val="fr-FR"/>
              </w:rPr>
            </w:pPr>
            <w:r>
              <w:rPr>
                <w:rFonts w:ascii="Calibri" w:eastAsia="Calibri" w:hAnsi="Calibri" w:cs="Calibri"/>
                <w:sz w:val="20"/>
                <w:szCs w:val="20"/>
                <w:bdr w:val="nil"/>
                <w:lang w:val="fr-FR"/>
              </w:rPr>
              <w:t>ii.  le texte intégral de toute modification ou de tout amendement des documents décrits aux points 2.4(d)(i) et 2.4(d)(ii).</w:t>
            </w:r>
          </w:p>
        </w:tc>
        <w:tc>
          <w:tcPr>
            <w:tcW w:w="2892" w:type="dxa"/>
          </w:tcPr>
          <w:p w14:paraId="4CB72A6F" w14:textId="77777777" w:rsidR="00152FF5" w:rsidRPr="00962C19" w:rsidRDefault="00152FF5" w:rsidP="00F32E6E">
            <w:pPr>
              <w:autoSpaceDE w:val="0"/>
              <w:autoSpaceDN w:val="0"/>
              <w:adjustRightInd w:val="0"/>
              <w:spacing w:before="120" w:after="120" w:line="220" w:lineRule="exact"/>
              <w:contextualSpacing/>
              <w:rPr>
                <w:rFonts w:eastAsia="Calibri"/>
                <w:sz w:val="20"/>
                <w:szCs w:val="20"/>
                <w:lang w:val="fr-FR"/>
              </w:rPr>
            </w:pPr>
            <w:r>
              <w:rPr>
                <w:rFonts w:ascii="Calibri" w:eastAsia="Calibri" w:hAnsi="Calibri" w:cs="Calibri"/>
                <w:sz w:val="20"/>
                <w:szCs w:val="20"/>
                <w:bdr w:val="nil"/>
                <w:lang w:val="fr-FR"/>
              </w:rPr>
              <w:lastRenderedPageBreak/>
              <w:t>L’évaluation initiale du Secrétari</w:t>
            </w:r>
            <w:r w:rsidR="00962C19">
              <w:rPr>
                <w:rFonts w:ascii="Calibri" w:eastAsia="Calibri" w:hAnsi="Calibri" w:cs="Calibri"/>
                <w:sz w:val="20"/>
                <w:szCs w:val="20"/>
                <w:bdr w:val="nil"/>
                <w:lang w:val="fr-FR"/>
              </w:rPr>
              <w:t xml:space="preserve">at international </w:t>
            </w:r>
            <w:r w:rsidR="009D0BAE">
              <w:rPr>
                <w:rFonts w:ascii="Calibri" w:eastAsia="Calibri" w:hAnsi="Calibri" w:cs="Calibri"/>
                <w:sz w:val="20"/>
                <w:szCs w:val="20"/>
                <w:bdr w:val="nil"/>
                <w:lang w:val="fr-FR"/>
              </w:rPr>
              <w:t xml:space="preserve">parvient à la </w:t>
            </w:r>
            <w:r w:rsidR="00962C19">
              <w:rPr>
                <w:rFonts w:ascii="Calibri" w:eastAsia="Calibri" w:hAnsi="Calibri" w:cs="Calibri"/>
                <w:sz w:val="20"/>
                <w:szCs w:val="20"/>
                <w:bdr w:val="nil"/>
                <w:lang w:val="fr-FR"/>
              </w:rPr>
              <w:t>conclu</w:t>
            </w:r>
            <w:r w:rsidR="009D0BAE">
              <w:rPr>
                <w:rFonts w:ascii="Calibri" w:eastAsia="Calibri" w:hAnsi="Calibri" w:cs="Calibri"/>
                <w:sz w:val="20"/>
                <w:szCs w:val="20"/>
                <w:bdr w:val="nil"/>
                <w:lang w:val="fr-FR"/>
              </w:rPr>
              <w:t>sion</w:t>
            </w:r>
            <w:r w:rsidR="00962C19">
              <w:rPr>
                <w:rFonts w:ascii="Calibri" w:eastAsia="Calibri" w:hAnsi="Calibri" w:cs="Calibri"/>
                <w:sz w:val="20"/>
                <w:szCs w:val="20"/>
                <w:bdr w:val="nil"/>
                <w:lang w:val="fr-FR"/>
              </w:rPr>
              <w:t xml:space="preserve"> que</w:t>
            </w:r>
            <w:r w:rsidR="00921573">
              <w:rPr>
                <w:rFonts w:ascii="Calibri" w:eastAsia="Calibri" w:hAnsi="Calibri" w:cs="Calibri"/>
                <w:sz w:val="20"/>
                <w:szCs w:val="20"/>
                <w:bdr w:val="nil"/>
                <w:lang w:val="fr-FR"/>
              </w:rPr>
              <w:t> </w:t>
            </w:r>
            <w:r w:rsidR="00962C19">
              <w:rPr>
                <w:rFonts w:ascii="Calibri" w:eastAsia="Calibri" w:hAnsi="Calibri" w:cs="Calibri"/>
                <w:sz w:val="20"/>
                <w:szCs w:val="20"/>
                <w:bdr w:val="nil"/>
                <w:lang w:val="fr-FR"/>
              </w:rPr>
              <w:t>: « </w:t>
            </w:r>
            <w:r w:rsidR="00F32E6E">
              <w:rPr>
                <w:rFonts w:ascii="Calibri" w:eastAsia="Calibri" w:hAnsi="Calibri" w:cs="Calibri"/>
                <w:sz w:val="20"/>
                <w:szCs w:val="20"/>
                <w:bdr w:val="nil"/>
                <w:lang w:val="fr-FR"/>
              </w:rPr>
              <w:t>b</w:t>
            </w:r>
            <w:r>
              <w:rPr>
                <w:rFonts w:ascii="Calibri" w:eastAsia="Calibri" w:hAnsi="Calibri" w:cs="Calibri"/>
                <w:sz w:val="20"/>
                <w:szCs w:val="20"/>
                <w:bdr w:val="nil"/>
                <w:lang w:val="fr-FR"/>
              </w:rPr>
              <w:t xml:space="preserve">ien que le </w:t>
            </w:r>
            <w:r w:rsidR="009D0BAE">
              <w:rPr>
                <w:rFonts w:ascii="Calibri" w:eastAsia="Calibri" w:hAnsi="Calibri" w:cs="Calibri"/>
                <w:sz w:val="20"/>
                <w:szCs w:val="20"/>
                <w:bdr w:val="nil"/>
                <w:lang w:val="fr-FR"/>
              </w:rPr>
              <w:t>R</w:t>
            </w:r>
            <w:r>
              <w:rPr>
                <w:rFonts w:ascii="Calibri" w:eastAsia="Calibri" w:hAnsi="Calibri" w:cs="Calibri"/>
                <w:sz w:val="20"/>
                <w:szCs w:val="20"/>
                <w:bdr w:val="nil"/>
                <w:lang w:val="fr-FR"/>
              </w:rPr>
              <w:t xml:space="preserve">apport ITIE 2013-14 décrive la pratique concrète sur la transparence des contrats, la politique du gouvernement n’est pas pleinement expliquée et manque de références sur les dispositifs juridiques concernés et d’une analyse sur les réformes en cours. L’évaluation initiale du Secrétariat international est que le Kirghizistan a accompli des progrès </w:t>
            </w:r>
            <w:r>
              <w:rPr>
                <w:rFonts w:ascii="Calibri" w:eastAsia="Calibri" w:hAnsi="Calibri" w:cs="Calibri"/>
                <w:b/>
                <w:bCs/>
                <w:sz w:val="20"/>
                <w:szCs w:val="20"/>
                <w:bdr w:val="nil"/>
                <w:lang w:val="fr-FR"/>
              </w:rPr>
              <w:t>SIGNIFICATIFS</w:t>
            </w:r>
            <w:r>
              <w:rPr>
                <w:rFonts w:ascii="Calibri" w:eastAsia="Calibri" w:hAnsi="Calibri" w:cs="Calibri"/>
                <w:sz w:val="20"/>
                <w:szCs w:val="20"/>
                <w:bdr w:val="nil"/>
                <w:lang w:val="fr-FR"/>
              </w:rPr>
              <w:t xml:space="preserve"> po</w:t>
            </w:r>
            <w:r w:rsidR="00962C19">
              <w:rPr>
                <w:rFonts w:ascii="Calibri" w:eastAsia="Calibri" w:hAnsi="Calibri" w:cs="Calibri"/>
                <w:sz w:val="20"/>
                <w:szCs w:val="20"/>
                <w:bdr w:val="nil"/>
                <w:lang w:val="fr-FR"/>
              </w:rPr>
              <w:t>ur satisfaire à cette exigence. »</w:t>
            </w:r>
            <w:r>
              <w:rPr>
                <w:rFonts w:ascii="Calibri" w:eastAsia="Calibri" w:hAnsi="Calibri" w:cs="Calibri"/>
                <w:sz w:val="20"/>
                <w:szCs w:val="20"/>
                <w:bdr w:val="nil"/>
                <w:lang w:val="fr-FR"/>
              </w:rPr>
              <w:t xml:space="preserve"> (p.</w:t>
            </w:r>
            <w:r w:rsidR="00E601E5">
              <w:rPr>
                <w:rFonts w:ascii="Calibri" w:eastAsia="Calibri" w:hAnsi="Calibri" w:cs="Calibri"/>
                <w:sz w:val="20"/>
                <w:szCs w:val="20"/>
                <w:bdr w:val="nil"/>
                <w:lang w:val="fr-FR"/>
              </w:rPr>
              <w:t> </w:t>
            </w:r>
            <w:r>
              <w:rPr>
                <w:rFonts w:ascii="Calibri" w:eastAsia="Calibri" w:hAnsi="Calibri" w:cs="Calibri"/>
                <w:sz w:val="20"/>
                <w:szCs w:val="20"/>
                <w:bdr w:val="nil"/>
                <w:lang w:val="fr-FR"/>
              </w:rPr>
              <w:t>42) L’évaluation initiale du Secrétariat internat</w:t>
            </w:r>
            <w:r w:rsidR="00962C19">
              <w:rPr>
                <w:rFonts w:ascii="Calibri" w:eastAsia="Calibri" w:hAnsi="Calibri" w:cs="Calibri"/>
                <w:sz w:val="20"/>
                <w:szCs w:val="20"/>
                <w:bdr w:val="nil"/>
                <w:lang w:val="fr-FR"/>
              </w:rPr>
              <w:t xml:space="preserve">ional </w:t>
            </w:r>
            <w:r w:rsidR="009E2351">
              <w:rPr>
                <w:rFonts w:ascii="Calibri" w:eastAsia="Calibri" w:hAnsi="Calibri" w:cs="Calibri"/>
                <w:sz w:val="20"/>
                <w:szCs w:val="20"/>
                <w:bdr w:val="nil"/>
                <w:lang w:val="fr-FR"/>
              </w:rPr>
              <w:t>fait</w:t>
            </w:r>
            <w:r w:rsidR="00962C19">
              <w:rPr>
                <w:rFonts w:ascii="Calibri" w:eastAsia="Calibri" w:hAnsi="Calibri" w:cs="Calibri"/>
                <w:sz w:val="20"/>
                <w:szCs w:val="20"/>
                <w:bdr w:val="nil"/>
                <w:lang w:val="fr-FR"/>
              </w:rPr>
              <w:t xml:space="preserve"> également </w:t>
            </w:r>
            <w:r w:rsidR="009E2351">
              <w:rPr>
                <w:rFonts w:ascii="Calibri" w:eastAsia="Calibri" w:hAnsi="Calibri" w:cs="Calibri"/>
                <w:sz w:val="20"/>
                <w:szCs w:val="20"/>
                <w:bdr w:val="nil"/>
                <w:lang w:val="fr-FR"/>
              </w:rPr>
              <w:t xml:space="preserve">ressortir </w:t>
            </w:r>
            <w:r w:rsidR="00962C19">
              <w:rPr>
                <w:rFonts w:ascii="Calibri" w:eastAsia="Calibri" w:hAnsi="Calibri" w:cs="Calibri"/>
                <w:sz w:val="20"/>
                <w:szCs w:val="20"/>
                <w:bdr w:val="nil"/>
                <w:lang w:val="fr-FR"/>
              </w:rPr>
              <w:t>que</w:t>
            </w:r>
            <w:r w:rsidR="00921573">
              <w:rPr>
                <w:rFonts w:ascii="Calibri" w:eastAsia="Calibri" w:hAnsi="Calibri" w:cs="Calibri"/>
                <w:sz w:val="20"/>
                <w:szCs w:val="20"/>
                <w:bdr w:val="nil"/>
                <w:lang w:val="fr-FR"/>
              </w:rPr>
              <w:t> </w:t>
            </w:r>
            <w:r w:rsidR="00962C19">
              <w:rPr>
                <w:rFonts w:ascii="Calibri" w:eastAsia="Calibri" w:hAnsi="Calibri" w:cs="Calibri"/>
                <w:sz w:val="20"/>
                <w:szCs w:val="20"/>
                <w:bdr w:val="nil"/>
                <w:lang w:val="fr-FR"/>
              </w:rPr>
              <w:t>: « </w:t>
            </w:r>
            <w:r>
              <w:rPr>
                <w:rFonts w:ascii="Calibri" w:eastAsia="Calibri" w:hAnsi="Calibri" w:cs="Calibri"/>
                <w:sz w:val="20"/>
                <w:szCs w:val="20"/>
                <w:bdr w:val="nil"/>
                <w:lang w:val="fr-FR"/>
              </w:rPr>
              <w:t xml:space="preserve">[l]e plan de travail du Conseil de </w:t>
            </w:r>
            <w:r w:rsidR="00E601E5">
              <w:rPr>
                <w:rFonts w:ascii="Calibri" w:eastAsia="Calibri" w:hAnsi="Calibri" w:cs="Calibri"/>
                <w:sz w:val="20"/>
                <w:szCs w:val="20"/>
                <w:bdr w:val="nil"/>
                <w:lang w:val="fr-FR"/>
              </w:rPr>
              <w:t>S</w:t>
            </w:r>
            <w:r>
              <w:rPr>
                <w:rFonts w:ascii="Calibri" w:eastAsia="Calibri" w:hAnsi="Calibri" w:cs="Calibri"/>
                <w:sz w:val="20"/>
                <w:szCs w:val="20"/>
                <w:bdr w:val="nil"/>
                <w:lang w:val="fr-FR"/>
              </w:rPr>
              <w:t>urveillance pour 2016 comprend la divulgation des accords de licence (plan de travail 2016, activité 3.6)</w:t>
            </w:r>
            <w:r w:rsidR="00962C19">
              <w:rPr>
                <w:rFonts w:ascii="Calibri" w:eastAsia="Calibri" w:hAnsi="Calibri" w:cs="Calibri"/>
                <w:sz w:val="20"/>
                <w:szCs w:val="20"/>
                <w:bdr w:val="nil"/>
                <w:lang w:val="fr-FR"/>
              </w:rPr>
              <w:t> »</w:t>
            </w:r>
            <w:r>
              <w:rPr>
                <w:rFonts w:ascii="Calibri" w:eastAsia="Calibri" w:hAnsi="Calibri" w:cs="Calibri"/>
                <w:sz w:val="20"/>
                <w:szCs w:val="20"/>
                <w:bdr w:val="nil"/>
                <w:lang w:val="fr-FR"/>
              </w:rPr>
              <w:t>.</w:t>
            </w:r>
          </w:p>
        </w:tc>
        <w:tc>
          <w:tcPr>
            <w:tcW w:w="2557" w:type="dxa"/>
          </w:tcPr>
          <w:p w14:paraId="29E3CD27" w14:textId="77777777" w:rsidR="00152FF5" w:rsidRPr="00063951" w:rsidRDefault="00152FF5" w:rsidP="00152FF5">
            <w:pPr>
              <w:autoSpaceDE w:val="0"/>
              <w:autoSpaceDN w:val="0"/>
              <w:adjustRightInd w:val="0"/>
              <w:spacing w:before="120" w:after="120" w:line="220" w:lineRule="exact"/>
              <w:contextualSpacing/>
              <w:rPr>
                <w:sz w:val="20"/>
                <w:szCs w:val="20"/>
              </w:rPr>
            </w:pPr>
            <w:r>
              <w:rPr>
                <w:rFonts w:ascii="Calibri" w:eastAsia="Calibri" w:hAnsi="Calibri" w:cs="Calibri"/>
                <w:sz w:val="20"/>
                <w:szCs w:val="20"/>
                <w:bdr w:val="nil"/>
                <w:lang w:val="fr-FR"/>
              </w:rPr>
              <w:t>Aucun.</w:t>
            </w:r>
          </w:p>
        </w:tc>
        <w:tc>
          <w:tcPr>
            <w:tcW w:w="2835" w:type="dxa"/>
          </w:tcPr>
          <w:p w14:paraId="23420911" w14:textId="77777777" w:rsidR="00152FF5" w:rsidRPr="00B5300C" w:rsidRDefault="00152FF5" w:rsidP="00152FF5">
            <w:pPr>
              <w:autoSpaceDE w:val="0"/>
              <w:autoSpaceDN w:val="0"/>
              <w:adjustRightInd w:val="0"/>
              <w:spacing w:before="120" w:after="120" w:line="220" w:lineRule="exact"/>
              <w:contextualSpacing/>
              <w:rPr>
                <w:rFonts w:cstheme="minorHAnsi"/>
                <w:sz w:val="20"/>
                <w:szCs w:val="20"/>
                <w:lang w:val="fr-FR"/>
              </w:rPr>
            </w:pPr>
            <w:r>
              <w:rPr>
                <w:rFonts w:ascii="Calibri" w:eastAsia="Calibri" w:hAnsi="Calibri" w:cs="Calibri"/>
                <w:sz w:val="20"/>
                <w:szCs w:val="20"/>
                <w:bdr w:val="nil"/>
                <w:lang w:val="fr-FR"/>
              </w:rPr>
              <w:t xml:space="preserve">Le Validateur est en désaccord avec l’évaluation du Secrétariat international </w:t>
            </w:r>
            <w:r w:rsidR="00E34603">
              <w:rPr>
                <w:rFonts w:ascii="Calibri" w:eastAsia="Calibri" w:hAnsi="Calibri" w:cs="Calibri"/>
                <w:sz w:val="20"/>
                <w:szCs w:val="20"/>
                <w:bdr w:val="nil"/>
                <w:lang w:val="fr-FR"/>
              </w:rPr>
              <w:t>à l’effet que</w:t>
            </w:r>
            <w:r>
              <w:rPr>
                <w:rFonts w:ascii="Calibri" w:eastAsia="Calibri" w:hAnsi="Calibri" w:cs="Calibri"/>
                <w:sz w:val="20"/>
                <w:szCs w:val="20"/>
                <w:bdr w:val="nil"/>
                <w:lang w:val="fr-FR"/>
              </w:rPr>
              <w:t xml:space="preserve"> le Kirghizistan a accompli des progrès significatifs pour satisfaire à cette exigence, et estime au contraire que le niveau de progrès est </w:t>
            </w:r>
            <w:r>
              <w:rPr>
                <w:rFonts w:ascii="Calibri" w:eastAsia="Calibri" w:hAnsi="Calibri" w:cs="Calibri"/>
                <w:b/>
                <w:bCs/>
                <w:sz w:val="20"/>
                <w:szCs w:val="20"/>
                <w:bdr w:val="nil"/>
                <w:lang w:val="fr-FR"/>
              </w:rPr>
              <w:t>INADÉQUAT</w:t>
            </w:r>
            <w:r w:rsidR="00962C19">
              <w:rPr>
                <w:rFonts w:ascii="Calibri" w:eastAsia="Calibri" w:hAnsi="Calibri" w:cs="Calibri"/>
                <w:sz w:val="20"/>
                <w:szCs w:val="20"/>
                <w:bdr w:val="nil"/>
                <w:lang w:val="fr-FR"/>
              </w:rPr>
              <w:t xml:space="preserve">. Le Validateur </w:t>
            </w:r>
            <w:r w:rsidR="00E34603">
              <w:rPr>
                <w:rFonts w:ascii="Calibri" w:eastAsia="Calibri" w:hAnsi="Calibri" w:cs="Calibri"/>
                <w:sz w:val="20"/>
                <w:szCs w:val="20"/>
                <w:bdr w:val="nil"/>
                <w:lang w:val="fr-FR"/>
              </w:rPr>
              <w:t>fait remarquer</w:t>
            </w:r>
            <w:r w:rsidR="00962C19">
              <w:rPr>
                <w:rFonts w:ascii="Calibri" w:eastAsia="Calibri" w:hAnsi="Calibri" w:cs="Calibri"/>
                <w:sz w:val="20"/>
                <w:szCs w:val="20"/>
                <w:bdr w:val="nil"/>
                <w:lang w:val="fr-FR"/>
              </w:rPr>
              <w:t xml:space="preserve"> que « </w:t>
            </w:r>
            <w:r>
              <w:rPr>
                <w:rFonts w:ascii="Calibri" w:eastAsia="Calibri" w:hAnsi="Calibri" w:cs="Calibri"/>
                <w:sz w:val="20"/>
                <w:szCs w:val="20"/>
                <w:bdr w:val="nil"/>
                <w:lang w:val="fr-FR"/>
              </w:rPr>
              <w:t xml:space="preserve">la politique du gouvernement concernant la divulgation publique des contrats et des licences n’est pas décrite dans le </w:t>
            </w:r>
            <w:r w:rsidR="00DB3121">
              <w:rPr>
                <w:rFonts w:ascii="Calibri" w:eastAsia="Calibri" w:hAnsi="Calibri" w:cs="Calibri"/>
                <w:sz w:val="20"/>
                <w:szCs w:val="20"/>
                <w:bdr w:val="nil"/>
                <w:lang w:val="fr-FR"/>
              </w:rPr>
              <w:t>R</w:t>
            </w:r>
            <w:r>
              <w:rPr>
                <w:rFonts w:ascii="Calibri" w:eastAsia="Calibri" w:hAnsi="Calibri" w:cs="Calibri"/>
                <w:sz w:val="20"/>
                <w:szCs w:val="20"/>
                <w:bdr w:val="nil"/>
                <w:lang w:val="fr-FR"/>
              </w:rPr>
              <w:t xml:space="preserve">apport ITIE 2013–14, et que le rapport manque des références exigées quant aux dispositions légales et d’une analyse sur les réformes en cours. Bien que le rapport confirme que les accords de licence qui énoncent les obligations des détenteurs de licences ne sont pas accessibles au public, nous ne trouvons pas que cette affirmation constitue en elle-même des progrès significatifs </w:t>
            </w:r>
            <w:r w:rsidR="002577EB">
              <w:rPr>
                <w:rFonts w:ascii="Calibri" w:eastAsia="Calibri" w:hAnsi="Calibri" w:cs="Calibri"/>
                <w:sz w:val="20"/>
                <w:szCs w:val="20"/>
                <w:bdr w:val="nil"/>
                <w:lang w:val="fr-FR"/>
              </w:rPr>
              <w:t>par rapport à</w:t>
            </w:r>
            <w:r>
              <w:rPr>
                <w:rFonts w:ascii="Calibri" w:eastAsia="Calibri" w:hAnsi="Calibri" w:cs="Calibri"/>
                <w:sz w:val="20"/>
                <w:szCs w:val="20"/>
                <w:bdr w:val="nil"/>
                <w:lang w:val="fr-FR"/>
              </w:rPr>
              <w:t xml:space="preserve"> l’objectif plus généra</w:t>
            </w:r>
            <w:r w:rsidR="00962C19">
              <w:rPr>
                <w:rFonts w:ascii="Calibri" w:eastAsia="Calibri" w:hAnsi="Calibri" w:cs="Calibri"/>
                <w:sz w:val="20"/>
                <w:szCs w:val="20"/>
                <w:bdr w:val="nil"/>
                <w:lang w:val="fr-FR"/>
              </w:rPr>
              <w:t xml:space="preserve">l de </w:t>
            </w:r>
            <w:r w:rsidR="00962C19">
              <w:rPr>
                <w:rFonts w:ascii="Calibri" w:eastAsia="Calibri" w:hAnsi="Calibri" w:cs="Calibri"/>
                <w:sz w:val="20"/>
                <w:szCs w:val="20"/>
                <w:bdr w:val="nil"/>
                <w:lang w:val="fr-FR"/>
              </w:rPr>
              <w:lastRenderedPageBreak/>
              <w:t>transparence des contrats. »</w:t>
            </w:r>
            <w:r>
              <w:rPr>
                <w:rFonts w:ascii="Calibri" w:eastAsia="Calibri" w:hAnsi="Calibri" w:cs="Calibri"/>
                <w:sz w:val="20"/>
                <w:szCs w:val="20"/>
                <w:bdr w:val="nil"/>
                <w:lang w:val="fr-FR"/>
              </w:rPr>
              <w:t xml:space="preserve"> (p.</w:t>
            </w:r>
            <w:r w:rsidR="002577EB">
              <w:rPr>
                <w:rFonts w:ascii="Calibri" w:eastAsia="Calibri" w:hAnsi="Calibri" w:cs="Calibri"/>
                <w:sz w:val="20"/>
                <w:szCs w:val="20"/>
                <w:bdr w:val="nil"/>
                <w:lang w:val="fr-FR"/>
              </w:rPr>
              <w:t> </w:t>
            </w:r>
            <w:r>
              <w:rPr>
                <w:rFonts w:ascii="Calibri" w:eastAsia="Calibri" w:hAnsi="Calibri" w:cs="Calibri"/>
                <w:sz w:val="20"/>
                <w:szCs w:val="20"/>
                <w:bdr w:val="nil"/>
                <w:lang w:val="fr-FR"/>
              </w:rPr>
              <w:t>5)</w:t>
            </w:r>
          </w:p>
        </w:tc>
        <w:tc>
          <w:tcPr>
            <w:tcW w:w="2410" w:type="dxa"/>
          </w:tcPr>
          <w:p w14:paraId="376297FC" w14:textId="77777777" w:rsidR="00152FF5" w:rsidRPr="00962C19" w:rsidRDefault="00152FF5" w:rsidP="00921573">
            <w:pPr>
              <w:autoSpaceDE w:val="0"/>
              <w:autoSpaceDN w:val="0"/>
              <w:adjustRightInd w:val="0"/>
              <w:spacing w:before="120" w:after="120" w:line="220" w:lineRule="exact"/>
              <w:contextualSpacing/>
              <w:rPr>
                <w:bCs/>
                <w:strike/>
                <w:sz w:val="20"/>
                <w:szCs w:val="20"/>
                <w:lang w:val="fr-FR"/>
              </w:rPr>
            </w:pPr>
            <w:r>
              <w:rPr>
                <w:rFonts w:ascii="Calibri" w:eastAsia="Calibri" w:hAnsi="Calibri" w:cs="Calibri"/>
                <w:bCs/>
                <w:sz w:val="20"/>
                <w:szCs w:val="20"/>
                <w:bdr w:val="nil"/>
                <w:lang w:val="fr-FR"/>
              </w:rPr>
              <w:lastRenderedPageBreak/>
              <w:t xml:space="preserve">Le Conseil de </w:t>
            </w:r>
            <w:r w:rsidR="00F45204">
              <w:rPr>
                <w:rFonts w:ascii="Calibri" w:eastAsia="Calibri" w:hAnsi="Calibri" w:cs="Calibri"/>
                <w:bCs/>
                <w:sz w:val="20"/>
                <w:szCs w:val="20"/>
                <w:bdr w:val="nil"/>
                <w:lang w:val="fr-FR"/>
              </w:rPr>
              <w:t>S</w:t>
            </w:r>
            <w:r>
              <w:rPr>
                <w:rFonts w:ascii="Calibri" w:eastAsia="Calibri" w:hAnsi="Calibri" w:cs="Calibri"/>
                <w:bCs/>
                <w:sz w:val="20"/>
                <w:szCs w:val="20"/>
                <w:bdr w:val="nil"/>
                <w:lang w:val="fr-FR"/>
              </w:rPr>
              <w:t>urveillance est en désaccord avec l’évaluation du Valida</w:t>
            </w:r>
            <w:r w:rsidR="00962C19">
              <w:rPr>
                <w:rFonts w:ascii="Calibri" w:eastAsia="Calibri" w:hAnsi="Calibri" w:cs="Calibri"/>
                <w:bCs/>
                <w:sz w:val="20"/>
                <w:szCs w:val="20"/>
                <w:bdr w:val="nil"/>
                <w:lang w:val="fr-FR"/>
              </w:rPr>
              <w:t xml:space="preserve">teur et </w:t>
            </w:r>
            <w:r w:rsidR="00F45204">
              <w:rPr>
                <w:rFonts w:ascii="Calibri" w:eastAsia="Calibri" w:hAnsi="Calibri" w:cs="Calibri"/>
                <w:bCs/>
                <w:sz w:val="20"/>
                <w:szCs w:val="20"/>
                <w:bdr w:val="nil"/>
                <w:lang w:val="fr-FR"/>
              </w:rPr>
              <w:t>fait ressortir</w:t>
            </w:r>
            <w:r w:rsidR="00962C19">
              <w:rPr>
                <w:rFonts w:ascii="Calibri" w:eastAsia="Calibri" w:hAnsi="Calibri" w:cs="Calibri"/>
                <w:bCs/>
                <w:sz w:val="20"/>
                <w:szCs w:val="20"/>
                <w:bdr w:val="nil"/>
                <w:lang w:val="fr-FR"/>
              </w:rPr>
              <w:t xml:space="preserve"> que « </w:t>
            </w:r>
            <w:r>
              <w:rPr>
                <w:rFonts w:ascii="Calibri" w:eastAsia="Calibri" w:hAnsi="Calibri" w:cs="Calibri"/>
                <w:bCs/>
                <w:sz w:val="20"/>
                <w:szCs w:val="20"/>
                <w:bdr w:val="nil"/>
                <w:lang w:val="fr-FR"/>
              </w:rPr>
              <w:t xml:space="preserve">la politique et les actes juridiques réglementaires sur l’octroi des licences sont décrits de manière exhaustive dans le </w:t>
            </w:r>
            <w:r w:rsidR="00DB3121">
              <w:rPr>
                <w:rFonts w:ascii="Calibri" w:eastAsia="Calibri" w:hAnsi="Calibri" w:cs="Calibri"/>
                <w:bCs/>
                <w:sz w:val="20"/>
                <w:szCs w:val="20"/>
                <w:bdr w:val="nil"/>
                <w:lang w:val="fr-FR"/>
              </w:rPr>
              <w:t>R</w:t>
            </w:r>
            <w:r>
              <w:rPr>
                <w:rFonts w:ascii="Calibri" w:eastAsia="Calibri" w:hAnsi="Calibri" w:cs="Calibri"/>
                <w:bCs/>
                <w:sz w:val="20"/>
                <w:szCs w:val="20"/>
                <w:bdr w:val="nil"/>
                <w:lang w:val="fr-FR"/>
              </w:rPr>
              <w:t>app</w:t>
            </w:r>
            <w:r w:rsidR="00962C19">
              <w:rPr>
                <w:rFonts w:ascii="Calibri" w:eastAsia="Calibri" w:hAnsi="Calibri" w:cs="Calibri"/>
                <w:bCs/>
                <w:sz w:val="20"/>
                <w:szCs w:val="20"/>
                <w:bdr w:val="nil"/>
                <w:lang w:val="fr-FR"/>
              </w:rPr>
              <w:t>ort ITIE 2013-2014 (p.</w:t>
            </w:r>
            <w:r w:rsidR="00F45204">
              <w:rPr>
                <w:rFonts w:ascii="Calibri" w:eastAsia="Calibri" w:hAnsi="Calibri" w:cs="Calibri"/>
                <w:bCs/>
                <w:sz w:val="20"/>
                <w:szCs w:val="20"/>
                <w:bdr w:val="nil"/>
                <w:lang w:val="fr-FR"/>
              </w:rPr>
              <w:t> </w:t>
            </w:r>
            <w:r w:rsidR="00962C19">
              <w:rPr>
                <w:rFonts w:ascii="Calibri" w:eastAsia="Calibri" w:hAnsi="Calibri" w:cs="Calibri"/>
                <w:bCs/>
                <w:sz w:val="20"/>
                <w:szCs w:val="20"/>
                <w:bdr w:val="nil"/>
                <w:lang w:val="fr-FR"/>
              </w:rPr>
              <w:t>120-130). »</w:t>
            </w:r>
            <w:r>
              <w:rPr>
                <w:rFonts w:ascii="Calibri" w:eastAsia="Calibri" w:hAnsi="Calibri" w:cs="Calibri"/>
                <w:bCs/>
                <w:sz w:val="20"/>
                <w:szCs w:val="20"/>
                <w:bdr w:val="nil"/>
                <w:lang w:val="fr-FR"/>
              </w:rPr>
              <w:t xml:space="preserve"> Le Conseil de surveilla</w:t>
            </w:r>
            <w:r w:rsidR="00962C19">
              <w:rPr>
                <w:rFonts w:ascii="Calibri" w:eastAsia="Calibri" w:hAnsi="Calibri" w:cs="Calibri"/>
                <w:bCs/>
                <w:sz w:val="20"/>
                <w:szCs w:val="20"/>
                <w:bdr w:val="nil"/>
                <w:lang w:val="fr-FR"/>
              </w:rPr>
              <w:t xml:space="preserve">nce poursuit son explication </w:t>
            </w:r>
            <w:r w:rsidR="00F45204">
              <w:rPr>
                <w:rFonts w:ascii="Calibri" w:eastAsia="Calibri" w:hAnsi="Calibri" w:cs="Calibri"/>
                <w:bCs/>
                <w:sz w:val="20"/>
                <w:szCs w:val="20"/>
                <w:bdr w:val="nil"/>
                <w:lang w:val="fr-FR"/>
              </w:rPr>
              <w:t>en mentionnant que</w:t>
            </w:r>
            <w:r w:rsidR="00962C19">
              <w:rPr>
                <w:rFonts w:ascii="Calibri" w:eastAsia="Calibri" w:hAnsi="Calibri" w:cs="Calibri"/>
                <w:bCs/>
                <w:sz w:val="20"/>
                <w:szCs w:val="20"/>
                <w:bdr w:val="nil"/>
                <w:lang w:val="fr-FR"/>
              </w:rPr>
              <w:t xml:space="preserve"> « </w:t>
            </w:r>
            <w:r>
              <w:rPr>
                <w:rFonts w:ascii="Calibri" w:eastAsia="Calibri" w:hAnsi="Calibri" w:cs="Calibri"/>
                <w:bCs/>
                <w:sz w:val="20"/>
                <w:szCs w:val="20"/>
                <w:bdr w:val="nil"/>
                <w:lang w:val="fr-FR"/>
              </w:rPr>
              <w:t>le texte et le format des licences s</w:t>
            </w:r>
            <w:r w:rsidR="00AC156C">
              <w:rPr>
                <w:rFonts w:ascii="Calibri" w:eastAsia="Calibri" w:hAnsi="Calibri" w:cs="Calibri"/>
                <w:bCs/>
                <w:sz w:val="20"/>
                <w:szCs w:val="20"/>
                <w:bdr w:val="nil"/>
                <w:lang w:val="fr-FR"/>
              </w:rPr>
              <w:t>on</w:t>
            </w:r>
            <w:r>
              <w:rPr>
                <w:rFonts w:ascii="Calibri" w:eastAsia="Calibri" w:hAnsi="Calibri" w:cs="Calibri"/>
                <w:bCs/>
                <w:sz w:val="20"/>
                <w:szCs w:val="20"/>
                <w:bdr w:val="nil"/>
                <w:lang w:val="fr-FR"/>
              </w:rPr>
              <w:t>t standard [comme décrit dans les annexes] et dans 99</w:t>
            </w:r>
            <w:r w:rsidR="00921573">
              <w:rPr>
                <w:rFonts w:ascii="Calibri" w:eastAsia="Calibri" w:hAnsi="Calibri" w:cs="Calibri"/>
                <w:bCs/>
                <w:sz w:val="20"/>
                <w:szCs w:val="20"/>
                <w:bdr w:val="nil"/>
                <w:lang w:val="fr-FR"/>
              </w:rPr>
              <w:t> </w:t>
            </w:r>
            <w:r>
              <w:rPr>
                <w:rFonts w:ascii="Calibri" w:eastAsia="Calibri" w:hAnsi="Calibri" w:cs="Calibri"/>
                <w:bCs/>
                <w:sz w:val="20"/>
                <w:szCs w:val="20"/>
                <w:bdr w:val="nil"/>
                <w:lang w:val="fr-FR"/>
              </w:rPr>
              <w:t xml:space="preserve">% des cas, le gouvernement du Kirghizistan </w:t>
            </w:r>
            <w:r w:rsidR="005E1D4B">
              <w:rPr>
                <w:rFonts w:ascii="Calibri" w:eastAsia="Calibri" w:hAnsi="Calibri" w:cs="Calibri"/>
                <w:bCs/>
                <w:sz w:val="20"/>
                <w:szCs w:val="20"/>
                <w:bdr w:val="nil"/>
                <w:lang w:val="fr-FR"/>
              </w:rPr>
              <w:t>attribue</w:t>
            </w:r>
            <w:r>
              <w:rPr>
                <w:rFonts w:ascii="Calibri" w:eastAsia="Calibri" w:hAnsi="Calibri" w:cs="Calibri"/>
                <w:bCs/>
                <w:sz w:val="20"/>
                <w:szCs w:val="20"/>
                <w:bdr w:val="nil"/>
                <w:lang w:val="fr-FR"/>
              </w:rPr>
              <w:t xml:space="preserve"> les permis d’exploitation du sous-sol par le biais d’accords de licence conformément à la </w:t>
            </w:r>
            <w:r w:rsidR="00AC156C">
              <w:rPr>
                <w:rFonts w:ascii="Calibri" w:eastAsia="Calibri" w:hAnsi="Calibri" w:cs="Calibri"/>
                <w:bCs/>
                <w:sz w:val="20"/>
                <w:szCs w:val="20"/>
                <w:bdr w:val="nil"/>
                <w:lang w:val="fr-FR"/>
              </w:rPr>
              <w:t>R</w:t>
            </w:r>
            <w:r>
              <w:rPr>
                <w:rFonts w:ascii="Calibri" w:eastAsia="Calibri" w:hAnsi="Calibri" w:cs="Calibri"/>
                <w:bCs/>
                <w:sz w:val="20"/>
                <w:szCs w:val="20"/>
                <w:bdr w:val="nil"/>
                <w:lang w:val="fr-FR"/>
              </w:rPr>
              <w:t xml:space="preserve">églementation sur l’octroi de licences pour l’utilisation du sous-sol (accessible au public sur le site web et présentée </w:t>
            </w:r>
            <w:r>
              <w:rPr>
                <w:rFonts w:ascii="Calibri" w:eastAsia="Calibri" w:hAnsi="Calibri" w:cs="Calibri"/>
                <w:bCs/>
                <w:sz w:val="20"/>
                <w:szCs w:val="20"/>
                <w:bdr w:val="nil"/>
                <w:lang w:val="fr-FR"/>
              </w:rPr>
              <w:lastRenderedPageBreak/>
              <w:t>égalem</w:t>
            </w:r>
            <w:r w:rsidR="00962C19">
              <w:rPr>
                <w:rFonts w:ascii="Calibri" w:eastAsia="Calibri" w:hAnsi="Calibri" w:cs="Calibri"/>
                <w:bCs/>
                <w:sz w:val="20"/>
                <w:szCs w:val="20"/>
                <w:bdr w:val="nil"/>
                <w:lang w:val="fr-FR"/>
              </w:rPr>
              <w:t>ent dans le Rapport 2013-2014). »</w:t>
            </w:r>
            <w:r>
              <w:rPr>
                <w:rFonts w:ascii="Calibri" w:eastAsia="Calibri" w:hAnsi="Calibri" w:cs="Calibri"/>
                <w:bCs/>
                <w:sz w:val="20"/>
                <w:szCs w:val="20"/>
                <w:bdr w:val="nil"/>
                <w:lang w:val="fr-FR"/>
              </w:rPr>
              <w:t xml:space="preserve"> Le Conseil de </w:t>
            </w:r>
            <w:r w:rsidR="00AC156C">
              <w:rPr>
                <w:rFonts w:ascii="Calibri" w:eastAsia="Calibri" w:hAnsi="Calibri" w:cs="Calibri"/>
                <w:bCs/>
                <w:sz w:val="20"/>
                <w:szCs w:val="20"/>
                <w:bdr w:val="nil"/>
                <w:lang w:val="fr-FR"/>
              </w:rPr>
              <w:t>S</w:t>
            </w:r>
            <w:r>
              <w:rPr>
                <w:rFonts w:ascii="Calibri" w:eastAsia="Calibri" w:hAnsi="Calibri" w:cs="Calibri"/>
                <w:bCs/>
                <w:sz w:val="20"/>
                <w:szCs w:val="20"/>
                <w:bdr w:val="nil"/>
                <w:lang w:val="fr-FR"/>
              </w:rPr>
              <w:t xml:space="preserve">urveillance </w:t>
            </w:r>
            <w:r w:rsidR="00AC156C">
              <w:rPr>
                <w:rFonts w:ascii="Calibri" w:eastAsia="Calibri" w:hAnsi="Calibri" w:cs="Calibri"/>
                <w:bCs/>
                <w:sz w:val="20"/>
                <w:szCs w:val="20"/>
                <w:bdr w:val="nil"/>
                <w:lang w:val="fr-FR"/>
              </w:rPr>
              <w:t>fait ressortir</w:t>
            </w:r>
            <w:r>
              <w:rPr>
                <w:rFonts w:ascii="Calibri" w:eastAsia="Calibri" w:hAnsi="Calibri" w:cs="Calibri"/>
                <w:bCs/>
                <w:sz w:val="20"/>
                <w:szCs w:val="20"/>
                <w:bdr w:val="nil"/>
                <w:lang w:val="fr-FR"/>
              </w:rPr>
              <w:t xml:space="preserve"> que le registre ouvert des licences renferme des informations sur les accords de licence </w:t>
            </w:r>
            <w:r w:rsidR="00AC156C">
              <w:rPr>
                <w:rFonts w:ascii="Calibri" w:eastAsia="Calibri" w:hAnsi="Calibri" w:cs="Calibri"/>
                <w:bCs/>
                <w:sz w:val="20"/>
                <w:szCs w:val="20"/>
                <w:bdr w:val="nil"/>
                <w:lang w:val="fr-FR"/>
              </w:rPr>
              <w:t xml:space="preserve">qui sont </w:t>
            </w:r>
            <w:r>
              <w:rPr>
                <w:rFonts w:ascii="Calibri" w:eastAsia="Calibri" w:hAnsi="Calibri" w:cs="Calibri"/>
                <w:bCs/>
                <w:sz w:val="20"/>
                <w:szCs w:val="20"/>
                <w:bdr w:val="nil"/>
                <w:lang w:val="fr-FR"/>
              </w:rPr>
              <w:t>utiles</w:t>
            </w:r>
            <w:r w:rsidR="00CB6FF6">
              <w:rPr>
                <w:rFonts w:ascii="Calibri" w:eastAsia="Calibri" w:hAnsi="Calibri" w:cs="Calibri"/>
                <w:bCs/>
                <w:sz w:val="20"/>
                <w:szCs w:val="20"/>
                <w:bdr w:val="nil"/>
                <w:lang w:val="fr-FR"/>
              </w:rPr>
              <w:t xml:space="preserve"> pour le public. </w:t>
            </w:r>
            <w:r>
              <w:rPr>
                <w:rFonts w:ascii="Calibri" w:eastAsia="Calibri" w:hAnsi="Calibri" w:cs="Calibri"/>
                <w:bCs/>
                <w:sz w:val="20"/>
                <w:szCs w:val="20"/>
                <w:bdr w:val="nil"/>
                <w:lang w:val="fr-FR"/>
              </w:rPr>
              <w:t>En outre, comme indiqué dans le rapport préliminaire, lorsque cela est techniquement réalisable, le</w:t>
            </w:r>
            <w:r w:rsidR="00DC3B85">
              <w:rPr>
                <w:rFonts w:ascii="Calibri" w:eastAsia="Calibri" w:hAnsi="Calibri" w:cs="Calibri"/>
                <w:bCs/>
                <w:sz w:val="20"/>
                <w:szCs w:val="20"/>
                <w:bdr w:val="nil"/>
                <w:lang w:val="fr-FR"/>
              </w:rPr>
              <w:t xml:space="preserve"> </w:t>
            </w:r>
            <w:r>
              <w:rPr>
                <w:rFonts w:ascii="Calibri" w:eastAsia="Calibri" w:hAnsi="Calibri" w:cs="Calibri"/>
                <w:bCs/>
                <w:sz w:val="20"/>
                <w:szCs w:val="20"/>
                <w:bdr w:val="nil"/>
                <w:lang w:val="fr-FR"/>
              </w:rPr>
              <w:t xml:space="preserve">gouvernement estime que la divulgation des licences est possible et </w:t>
            </w:r>
            <w:r w:rsidR="00DC3B85">
              <w:rPr>
                <w:rFonts w:ascii="Calibri" w:eastAsia="Calibri" w:hAnsi="Calibri" w:cs="Calibri"/>
                <w:bCs/>
                <w:sz w:val="20"/>
                <w:szCs w:val="20"/>
                <w:bdr w:val="nil"/>
                <w:lang w:val="fr-FR"/>
              </w:rPr>
              <w:t>qu’</w:t>
            </w:r>
            <w:r>
              <w:rPr>
                <w:rFonts w:ascii="Calibri" w:eastAsia="Calibri" w:hAnsi="Calibri" w:cs="Calibri"/>
                <w:bCs/>
                <w:sz w:val="20"/>
                <w:szCs w:val="20"/>
                <w:bdr w:val="nil"/>
                <w:lang w:val="fr-FR"/>
              </w:rPr>
              <w:t>il n’existe aucun</w:t>
            </w:r>
            <w:r w:rsidR="00962C19">
              <w:rPr>
                <w:rFonts w:ascii="Calibri" w:eastAsia="Calibri" w:hAnsi="Calibri" w:cs="Calibri"/>
                <w:bCs/>
                <w:sz w:val="20"/>
                <w:szCs w:val="20"/>
                <w:bdr w:val="nil"/>
                <w:lang w:val="fr-FR"/>
              </w:rPr>
              <w:t xml:space="preserve"> obstacle juridique en vigueur</w:t>
            </w:r>
            <w:r w:rsidR="00DC3B85">
              <w:rPr>
                <w:rFonts w:ascii="Calibri" w:eastAsia="Calibri" w:hAnsi="Calibri" w:cs="Calibri"/>
                <w:bCs/>
                <w:sz w:val="20"/>
                <w:szCs w:val="20"/>
                <w:bdr w:val="nil"/>
                <w:lang w:val="fr-FR"/>
              </w:rPr>
              <w:t xml:space="preserve"> qui s’y oppose</w:t>
            </w:r>
            <w:r w:rsidR="00962C19">
              <w:rPr>
                <w:rFonts w:ascii="Calibri" w:eastAsia="Calibri" w:hAnsi="Calibri" w:cs="Calibri"/>
                <w:bCs/>
                <w:sz w:val="20"/>
                <w:szCs w:val="20"/>
                <w:bdr w:val="nil"/>
                <w:lang w:val="fr-FR"/>
              </w:rPr>
              <w:t>.</w:t>
            </w:r>
            <w:r>
              <w:rPr>
                <w:rFonts w:ascii="Calibri" w:eastAsia="Calibri" w:hAnsi="Calibri" w:cs="Calibri"/>
                <w:bCs/>
                <w:sz w:val="20"/>
                <w:szCs w:val="20"/>
                <w:bdr w:val="nil"/>
                <w:lang w:val="fr-FR"/>
              </w:rPr>
              <w:t xml:space="preserve"> La divulgation des licences faisait partie du plan de travail 2016 de l’ITIE. </w:t>
            </w:r>
            <w:r>
              <w:rPr>
                <w:rFonts w:ascii="Calibri" w:eastAsia="Calibri" w:hAnsi="Calibri" w:cs="Calibri"/>
                <w:bCs/>
                <w:strike/>
                <w:sz w:val="20"/>
                <w:szCs w:val="20"/>
                <w:bdr w:val="nil"/>
                <w:lang w:val="fr-FR"/>
              </w:rPr>
              <w:t xml:space="preserve"> </w:t>
            </w:r>
          </w:p>
        </w:tc>
        <w:tc>
          <w:tcPr>
            <w:tcW w:w="1701" w:type="dxa"/>
          </w:tcPr>
          <w:p w14:paraId="5C6D6AF9" w14:textId="77777777" w:rsidR="00152FF5" w:rsidRPr="00962C19" w:rsidRDefault="00152FF5" w:rsidP="00962C19">
            <w:pPr>
              <w:autoSpaceDE w:val="0"/>
              <w:autoSpaceDN w:val="0"/>
              <w:adjustRightInd w:val="0"/>
              <w:spacing w:before="120" w:after="120" w:line="220" w:lineRule="exact"/>
              <w:contextualSpacing/>
              <w:rPr>
                <w:sz w:val="20"/>
                <w:szCs w:val="20"/>
                <w:lang w:val="fr-FR"/>
              </w:rPr>
            </w:pPr>
            <w:r>
              <w:rPr>
                <w:rFonts w:ascii="Calibri" w:eastAsia="Calibri" w:hAnsi="Calibri" w:cs="Calibri"/>
                <w:sz w:val="20"/>
                <w:szCs w:val="20"/>
                <w:bdr w:val="nil"/>
                <w:lang w:val="fr-FR"/>
              </w:rPr>
              <w:lastRenderedPageBreak/>
              <w:t>Le Comité doit émettre une recommandation sur l’évaluation du Conseil d’administration de l’</w:t>
            </w:r>
            <w:r w:rsidR="00087D0F">
              <w:rPr>
                <w:rFonts w:ascii="Calibri" w:eastAsia="Calibri" w:hAnsi="Calibri" w:cs="Calibri"/>
                <w:sz w:val="20"/>
                <w:szCs w:val="20"/>
                <w:bdr w:val="nil"/>
                <w:lang w:val="fr-FR"/>
              </w:rPr>
              <w:t>E</w:t>
            </w:r>
            <w:r>
              <w:rPr>
                <w:rFonts w:ascii="Calibri" w:eastAsia="Calibri" w:hAnsi="Calibri" w:cs="Calibri"/>
                <w:sz w:val="20"/>
                <w:szCs w:val="20"/>
                <w:bdr w:val="nil"/>
                <w:lang w:val="fr-FR"/>
              </w:rPr>
              <w:t>xigence 2.4</w:t>
            </w:r>
            <w:r w:rsidR="00962C19">
              <w:rPr>
                <w:rFonts w:ascii="Calibri" w:eastAsia="Calibri" w:hAnsi="Calibri" w:cs="Calibri"/>
                <w:sz w:val="20"/>
                <w:szCs w:val="20"/>
                <w:bdr w:val="nil"/>
                <w:lang w:val="fr-FR"/>
              </w:rPr>
              <w:t>, à savoir si les progrès sont « significatifs »</w:t>
            </w:r>
            <w:r w:rsidR="005B553E">
              <w:rPr>
                <w:rFonts w:ascii="Calibri" w:eastAsia="Calibri" w:hAnsi="Calibri" w:cs="Calibri"/>
                <w:sz w:val="20"/>
                <w:szCs w:val="20"/>
                <w:bdr w:val="nil"/>
                <w:lang w:val="fr-FR"/>
              </w:rPr>
              <w:t xml:space="preserve"> </w:t>
            </w:r>
            <w:r w:rsidR="00962C19">
              <w:rPr>
                <w:rFonts w:ascii="Calibri" w:eastAsia="Calibri" w:hAnsi="Calibri" w:cs="Calibri"/>
                <w:sz w:val="20"/>
                <w:szCs w:val="20"/>
                <w:bdr w:val="nil"/>
                <w:lang w:val="fr-FR"/>
              </w:rPr>
              <w:t>ou « </w:t>
            </w:r>
            <w:r>
              <w:rPr>
                <w:rFonts w:ascii="Calibri" w:eastAsia="Calibri" w:hAnsi="Calibri" w:cs="Calibri"/>
                <w:sz w:val="20"/>
                <w:szCs w:val="20"/>
                <w:bdr w:val="nil"/>
                <w:lang w:val="fr-FR"/>
              </w:rPr>
              <w:t>inadéquats</w:t>
            </w:r>
            <w:r w:rsidR="00962C19">
              <w:rPr>
                <w:rFonts w:ascii="Calibri" w:eastAsia="Calibri" w:hAnsi="Calibri" w:cs="Calibri"/>
                <w:sz w:val="20"/>
                <w:szCs w:val="20"/>
                <w:bdr w:val="nil"/>
                <w:lang w:val="fr-FR"/>
              </w:rPr>
              <w:t> »</w:t>
            </w:r>
            <w:r>
              <w:rPr>
                <w:rFonts w:ascii="Calibri" w:eastAsia="Calibri" w:hAnsi="Calibri" w:cs="Calibri"/>
                <w:sz w:val="20"/>
                <w:szCs w:val="20"/>
                <w:bdr w:val="nil"/>
                <w:lang w:val="fr-FR"/>
              </w:rPr>
              <w:t xml:space="preserve"> et convenir de mesures correctives. </w:t>
            </w:r>
          </w:p>
        </w:tc>
      </w:tr>
      <w:tr w:rsidR="000905FF" w:rsidRPr="00B5300C" w14:paraId="1BCFC231" w14:textId="77777777" w:rsidTr="00152FF5">
        <w:tc>
          <w:tcPr>
            <w:tcW w:w="2768" w:type="dxa"/>
          </w:tcPr>
          <w:p w14:paraId="5F4A1F2D" w14:textId="77777777" w:rsidR="00152FF5" w:rsidRPr="00962C19" w:rsidRDefault="00152FF5" w:rsidP="00152FF5">
            <w:pPr>
              <w:tabs>
                <w:tab w:val="left" w:pos="11624"/>
                <w:tab w:val="left" w:pos="11907"/>
              </w:tabs>
              <w:spacing w:before="120" w:after="120" w:line="220" w:lineRule="exact"/>
              <w:contextualSpacing/>
              <w:rPr>
                <w:sz w:val="20"/>
                <w:szCs w:val="20"/>
                <w:lang w:val="fr-FR"/>
              </w:rPr>
            </w:pPr>
            <w:r>
              <w:rPr>
                <w:rFonts w:ascii="Calibri" w:eastAsia="Calibri" w:hAnsi="Calibri" w:cs="Calibri"/>
                <w:sz w:val="20"/>
                <w:szCs w:val="20"/>
                <w:bdr w:val="nil"/>
                <w:lang w:val="fr-FR"/>
              </w:rPr>
              <w:lastRenderedPageBreak/>
              <w:t>3.2 Production</w:t>
            </w:r>
          </w:p>
          <w:p w14:paraId="399AD964" w14:textId="77777777" w:rsidR="00152FF5" w:rsidRPr="00962C19" w:rsidRDefault="00152FF5" w:rsidP="00152FF5">
            <w:pPr>
              <w:tabs>
                <w:tab w:val="left" w:pos="11624"/>
                <w:tab w:val="left" w:pos="11907"/>
              </w:tabs>
              <w:spacing w:before="120" w:after="120" w:line="220" w:lineRule="exact"/>
              <w:contextualSpacing/>
              <w:rPr>
                <w:sz w:val="20"/>
                <w:szCs w:val="20"/>
                <w:lang w:val="fr-FR"/>
              </w:rPr>
            </w:pPr>
            <w:r>
              <w:rPr>
                <w:rFonts w:ascii="Calibri" w:eastAsia="Calibri" w:hAnsi="Calibri" w:cs="Calibri"/>
                <w:sz w:val="20"/>
                <w:szCs w:val="20"/>
                <w:bdr w:val="nil"/>
                <w:lang w:val="fr-FR"/>
              </w:rPr>
              <w:t xml:space="preserve">Les pays mettant en œuvre l’ITIE doivent divulguer les données de production pour l’exercice fiscal couvert par le </w:t>
            </w:r>
            <w:r w:rsidR="00753081">
              <w:rPr>
                <w:rFonts w:ascii="Calibri" w:eastAsia="Calibri" w:hAnsi="Calibri" w:cs="Calibri"/>
                <w:sz w:val="20"/>
                <w:szCs w:val="20"/>
                <w:bdr w:val="nil"/>
                <w:lang w:val="fr-FR"/>
              </w:rPr>
              <w:t>R</w:t>
            </w:r>
            <w:r>
              <w:rPr>
                <w:rFonts w:ascii="Calibri" w:eastAsia="Calibri" w:hAnsi="Calibri" w:cs="Calibri"/>
                <w:sz w:val="20"/>
                <w:szCs w:val="20"/>
                <w:bdr w:val="nil"/>
                <w:lang w:val="fr-FR"/>
              </w:rPr>
              <w:t xml:space="preserve">apport ITIE, y compris les volumes et la valeur de la production par matière première, et le cas échéant, par État/région. Cela peut inclure les sources des données de production et les informations sur la façon dont les volumes et les valeurs de production divulguées dans le </w:t>
            </w:r>
            <w:r w:rsidR="007479F8">
              <w:rPr>
                <w:rFonts w:ascii="Calibri" w:eastAsia="Calibri" w:hAnsi="Calibri" w:cs="Calibri"/>
                <w:sz w:val="20"/>
                <w:szCs w:val="20"/>
                <w:bdr w:val="nil"/>
                <w:lang w:val="fr-FR"/>
              </w:rPr>
              <w:t>R</w:t>
            </w:r>
            <w:r>
              <w:rPr>
                <w:rFonts w:ascii="Calibri" w:eastAsia="Calibri" w:hAnsi="Calibri" w:cs="Calibri"/>
                <w:sz w:val="20"/>
                <w:szCs w:val="20"/>
                <w:bdr w:val="nil"/>
                <w:lang w:val="fr-FR"/>
              </w:rPr>
              <w:t>apport ITIE ont été calculés.</w:t>
            </w:r>
          </w:p>
        </w:tc>
        <w:tc>
          <w:tcPr>
            <w:tcW w:w="2892" w:type="dxa"/>
          </w:tcPr>
          <w:p w14:paraId="04929538" w14:textId="77777777" w:rsidR="00152FF5" w:rsidRPr="00962C19" w:rsidRDefault="00152FF5" w:rsidP="00152FF5">
            <w:pPr>
              <w:tabs>
                <w:tab w:val="left" w:pos="11624"/>
                <w:tab w:val="left" w:pos="11907"/>
              </w:tabs>
              <w:autoSpaceDE w:val="0"/>
              <w:autoSpaceDN w:val="0"/>
              <w:adjustRightInd w:val="0"/>
              <w:spacing w:before="120" w:after="120" w:line="220" w:lineRule="exact"/>
              <w:contextualSpacing/>
              <w:rPr>
                <w:rFonts w:eastAsia="Calibri"/>
                <w:sz w:val="20"/>
                <w:szCs w:val="20"/>
                <w:lang w:val="fr-FR"/>
              </w:rPr>
            </w:pPr>
            <w:r>
              <w:rPr>
                <w:rFonts w:ascii="Calibri" w:eastAsia="Calibri" w:hAnsi="Calibri" w:cs="Calibri"/>
                <w:sz w:val="20"/>
                <w:szCs w:val="20"/>
                <w:bdr w:val="nil"/>
                <w:lang w:val="fr-FR"/>
              </w:rPr>
              <w:t xml:space="preserve">L’évaluation initiale du Secrétariat international </w:t>
            </w:r>
            <w:r w:rsidR="00F45A47">
              <w:rPr>
                <w:rFonts w:ascii="Calibri" w:eastAsia="Calibri" w:hAnsi="Calibri" w:cs="Calibri"/>
                <w:sz w:val="20"/>
                <w:szCs w:val="20"/>
                <w:bdr w:val="nil"/>
                <w:lang w:val="fr-FR"/>
              </w:rPr>
              <w:t xml:space="preserve">parvient à la </w:t>
            </w:r>
            <w:r>
              <w:rPr>
                <w:rFonts w:ascii="Calibri" w:eastAsia="Calibri" w:hAnsi="Calibri" w:cs="Calibri"/>
                <w:sz w:val="20"/>
                <w:szCs w:val="20"/>
                <w:bdr w:val="nil"/>
                <w:lang w:val="fr-FR"/>
              </w:rPr>
              <w:t>conclu</w:t>
            </w:r>
            <w:r w:rsidR="00F45A47">
              <w:rPr>
                <w:rFonts w:ascii="Calibri" w:eastAsia="Calibri" w:hAnsi="Calibri" w:cs="Calibri"/>
                <w:sz w:val="20"/>
                <w:szCs w:val="20"/>
                <w:bdr w:val="nil"/>
                <w:lang w:val="fr-FR"/>
              </w:rPr>
              <w:t>sion</w:t>
            </w:r>
            <w:r>
              <w:rPr>
                <w:rFonts w:ascii="Calibri" w:eastAsia="Calibri" w:hAnsi="Calibri" w:cs="Calibri"/>
                <w:sz w:val="20"/>
                <w:szCs w:val="20"/>
                <w:bdr w:val="nil"/>
                <w:lang w:val="fr-FR"/>
              </w:rPr>
              <w:t xml:space="preserve"> que</w:t>
            </w:r>
            <w:r w:rsidR="00921573">
              <w:rPr>
                <w:rFonts w:ascii="Calibri" w:eastAsia="Calibri" w:hAnsi="Calibri" w:cs="Calibri"/>
                <w:sz w:val="20"/>
                <w:szCs w:val="20"/>
                <w:bdr w:val="nil"/>
                <w:lang w:val="fr-FR"/>
              </w:rPr>
              <w:t> </w:t>
            </w:r>
            <w:r>
              <w:rPr>
                <w:rFonts w:ascii="Calibri" w:eastAsia="Calibri" w:hAnsi="Calibri" w:cs="Calibri"/>
                <w:sz w:val="20"/>
                <w:szCs w:val="20"/>
                <w:bdr w:val="nil"/>
                <w:lang w:val="fr-FR"/>
              </w:rPr>
              <w:t xml:space="preserve">: </w:t>
            </w:r>
            <w:r w:rsidR="00962C19">
              <w:rPr>
                <w:rFonts w:ascii="Calibri" w:eastAsia="Calibri" w:hAnsi="Calibri" w:cs="Calibri"/>
                <w:sz w:val="20"/>
                <w:szCs w:val="20"/>
                <w:bdr w:val="nil"/>
                <w:lang w:val="fr-FR"/>
              </w:rPr>
              <w:t>« </w:t>
            </w:r>
            <w:r w:rsidR="00F32E6E">
              <w:rPr>
                <w:rFonts w:ascii="Calibri" w:eastAsia="Calibri" w:hAnsi="Calibri" w:cs="Calibri"/>
                <w:sz w:val="20"/>
                <w:szCs w:val="20"/>
                <w:bdr w:val="nil"/>
                <w:lang w:val="fr-FR"/>
              </w:rPr>
              <w:t>l</w:t>
            </w:r>
            <w:r>
              <w:rPr>
                <w:rFonts w:ascii="Calibri" w:eastAsia="Calibri" w:hAnsi="Calibri" w:cs="Calibri"/>
                <w:sz w:val="20"/>
                <w:szCs w:val="20"/>
                <w:bdr w:val="nil"/>
                <w:lang w:val="fr-FR"/>
              </w:rPr>
              <w:t xml:space="preserve">e </w:t>
            </w:r>
            <w:r w:rsidR="00753081">
              <w:rPr>
                <w:rFonts w:ascii="Calibri" w:eastAsia="Calibri" w:hAnsi="Calibri" w:cs="Calibri"/>
                <w:sz w:val="20"/>
                <w:szCs w:val="20"/>
                <w:bdr w:val="nil"/>
                <w:lang w:val="fr-FR"/>
              </w:rPr>
              <w:t>R</w:t>
            </w:r>
            <w:r>
              <w:rPr>
                <w:rFonts w:ascii="Calibri" w:eastAsia="Calibri" w:hAnsi="Calibri" w:cs="Calibri"/>
                <w:sz w:val="20"/>
                <w:szCs w:val="20"/>
                <w:bdr w:val="nil"/>
                <w:lang w:val="fr-FR"/>
              </w:rPr>
              <w:t xml:space="preserve">apport ITIE 2013-14 semble divulguer les volumes de production de manière exhaustive pour toutes les matières premières.  Les volumes de production sont ventilés par matière première mais pas par région de production. Les valeurs de production ne sont pas fournies. L’évaluation initiale du Secrétariat international est que le Kirghizistan a accompli des progrès </w:t>
            </w:r>
            <w:r>
              <w:rPr>
                <w:rFonts w:ascii="Calibri" w:eastAsia="Calibri" w:hAnsi="Calibri" w:cs="Calibri"/>
                <w:b/>
                <w:bCs/>
                <w:sz w:val="20"/>
                <w:szCs w:val="20"/>
                <w:bdr w:val="nil"/>
                <w:lang w:val="fr-FR"/>
              </w:rPr>
              <w:t>SIGNIFICATIFS</w:t>
            </w:r>
            <w:r>
              <w:rPr>
                <w:rFonts w:ascii="Calibri" w:eastAsia="Calibri" w:hAnsi="Calibri" w:cs="Calibri"/>
                <w:sz w:val="20"/>
                <w:szCs w:val="20"/>
                <w:bdr w:val="nil"/>
                <w:lang w:val="fr-FR"/>
              </w:rPr>
              <w:t xml:space="preserve"> pour satisfair</w:t>
            </w:r>
            <w:r w:rsidR="00962C19">
              <w:rPr>
                <w:rFonts w:ascii="Calibri" w:eastAsia="Calibri" w:hAnsi="Calibri" w:cs="Calibri"/>
                <w:sz w:val="20"/>
                <w:szCs w:val="20"/>
                <w:bdr w:val="nil"/>
                <w:lang w:val="fr-FR"/>
              </w:rPr>
              <w:t>e à cette exigence. »</w:t>
            </w:r>
          </w:p>
          <w:p w14:paraId="06732830" w14:textId="77777777" w:rsidR="000905FF" w:rsidRDefault="00152FF5" w:rsidP="00152FF5">
            <w:pPr>
              <w:tabs>
                <w:tab w:val="left" w:pos="11624"/>
                <w:tab w:val="left" w:pos="11907"/>
              </w:tabs>
              <w:autoSpaceDE w:val="0"/>
              <w:autoSpaceDN w:val="0"/>
              <w:adjustRightInd w:val="0"/>
              <w:spacing w:before="120" w:after="120" w:line="220" w:lineRule="exact"/>
              <w:contextualSpacing/>
              <w:rPr>
                <w:rFonts w:ascii="Calibri" w:eastAsia="Calibri" w:hAnsi="Calibri" w:cs="Calibri"/>
                <w:sz w:val="20"/>
                <w:szCs w:val="20"/>
                <w:bdr w:val="nil"/>
                <w:lang w:val="fr-FR"/>
              </w:rPr>
            </w:pPr>
            <w:r>
              <w:rPr>
                <w:rFonts w:ascii="Calibri" w:eastAsia="Calibri" w:hAnsi="Calibri" w:cs="Calibri"/>
                <w:sz w:val="20"/>
                <w:szCs w:val="20"/>
                <w:bdr w:val="nil"/>
                <w:lang w:val="fr-FR"/>
              </w:rPr>
              <w:t>(p.</w:t>
            </w:r>
            <w:r w:rsidR="00F45A47">
              <w:rPr>
                <w:rFonts w:ascii="Calibri" w:eastAsia="Calibri" w:hAnsi="Calibri" w:cs="Calibri"/>
                <w:sz w:val="20"/>
                <w:szCs w:val="20"/>
                <w:bdr w:val="nil"/>
                <w:lang w:val="fr-FR"/>
              </w:rPr>
              <w:t> </w:t>
            </w:r>
            <w:r>
              <w:rPr>
                <w:rFonts w:ascii="Calibri" w:eastAsia="Calibri" w:hAnsi="Calibri" w:cs="Calibri"/>
                <w:sz w:val="20"/>
                <w:szCs w:val="20"/>
                <w:bdr w:val="nil"/>
                <w:lang w:val="fr-FR"/>
              </w:rPr>
              <w:t>49)</w:t>
            </w:r>
          </w:p>
        </w:tc>
        <w:tc>
          <w:tcPr>
            <w:tcW w:w="2557" w:type="dxa"/>
          </w:tcPr>
          <w:p w14:paraId="0AD97EAD" w14:textId="77777777" w:rsidR="00152FF5" w:rsidRPr="00063951" w:rsidRDefault="00152FF5" w:rsidP="00152FF5">
            <w:pPr>
              <w:tabs>
                <w:tab w:val="left" w:pos="11624"/>
                <w:tab w:val="left" w:pos="11907"/>
              </w:tabs>
              <w:spacing w:before="120" w:after="120" w:line="220" w:lineRule="exact"/>
              <w:contextualSpacing/>
              <w:rPr>
                <w:sz w:val="20"/>
                <w:szCs w:val="20"/>
              </w:rPr>
            </w:pPr>
            <w:r>
              <w:rPr>
                <w:rFonts w:ascii="Calibri" w:eastAsia="Calibri" w:hAnsi="Calibri" w:cs="Calibri"/>
                <w:sz w:val="20"/>
                <w:szCs w:val="20"/>
                <w:bdr w:val="nil"/>
                <w:lang w:val="fr-FR"/>
              </w:rPr>
              <w:t>Aucun.</w:t>
            </w:r>
          </w:p>
        </w:tc>
        <w:tc>
          <w:tcPr>
            <w:tcW w:w="2835" w:type="dxa"/>
          </w:tcPr>
          <w:p w14:paraId="54DD6007" w14:textId="77777777" w:rsidR="00152FF5" w:rsidRPr="00962C19" w:rsidRDefault="00152FF5" w:rsidP="00152FF5">
            <w:pPr>
              <w:tabs>
                <w:tab w:val="left" w:pos="5580"/>
                <w:tab w:val="left" w:pos="11624"/>
                <w:tab w:val="left" w:pos="11907"/>
              </w:tabs>
              <w:spacing w:before="120" w:after="120" w:line="220" w:lineRule="exact"/>
              <w:contextualSpacing/>
              <w:rPr>
                <w:rFonts w:eastAsia="Calibri" w:cstheme="minorHAnsi"/>
                <w:sz w:val="20"/>
                <w:szCs w:val="20"/>
                <w:lang w:val="fr-FR" w:bidi="en-US"/>
              </w:rPr>
            </w:pPr>
            <w:r>
              <w:rPr>
                <w:rFonts w:ascii="Calibri" w:eastAsia="Calibri" w:hAnsi="Calibri" w:cs="Calibri"/>
                <w:sz w:val="20"/>
                <w:szCs w:val="20"/>
                <w:bdr w:val="nil"/>
                <w:lang w:val="fr-FR" w:bidi="en-US"/>
              </w:rPr>
              <w:t xml:space="preserve">Le Validateur est en désaccord avec l’évaluation du Secrétariat international et estime au contraire que les progrès du Kirghizistan sont </w:t>
            </w:r>
            <w:r>
              <w:rPr>
                <w:rFonts w:ascii="Calibri" w:eastAsia="Calibri" w:hAnsi="Calibri" w:cs="Calibri"/>
                <w:b/>
                <w:bCs/>
                <w:sz w:val="20"/>
                <w:szCs w:val="20"/>
                <w:bdr w:val="nil"/>
                <w:lang w:val="fr-FR" w:bidi="en-US"/>
              </w:rPr>
              <w:t>INADÉQUATS</w:t>
            </w:r>
            <w:r w:rsidR="00962C19">
              <w:rPr>
                <w:rFonts w:ascii="Calibri" w:eastAsia="Calibri" w:hAnsi="Calibri" w:cs="Calibri"/>
                <w:sz w:val="20"/>
                <w:szCs w:val="20"/>
                <w:bdr w:val="nil"/>
                <w:lang w:val="fr-FR" w:bidi="en-US"/>
              </w:rPr>
              <w:t xml:space="preserve">. Le Validateur </w:t>
            </w:r>
            <w:r w:rsidR="002577EB">
              <w:rPr>
                <w:rFonts w:ascii="Calibri" w:eastAsia="Calibri" w:hAnsi="Calibri" w:cs="Calibri"/>
                <w:sz w:val="20"/>
                <w:szCs w:val="20"/>
                <w:bdr w:val="nil"/>
                <w:lang w:val="fr-FR" w:bidi="en-US"/>
              </w:rPr>
              <w:t>fait ressortir</w:t>
            </w:r>
            <w:r w:rsidR="00962C19">
              <w:rPr>
                <w:rFonts w:ascii="Calibri" w:eastAsia="Calibri" w:hAnsi="Calibri" w:cs="Calibri"/>
                <w:sz w:val="20"/>
                <w:szCs w:val="20"/>
                <w:bdr w:val="nil"/>
                <w:lang w:val="fr-FR" w:bidi="en-US"/>
              </w:rPr>
              <w:t xml:space="preserve"> que « </w:t>
            </w:r>
            <w:r>
              <w:rPr>
                <w:rFonts w:ascii="Calibri" w:eastAsia="Calibri" w:hAnsi="Calibri" w:cs="Calibri"/>
                <w:sz w:val="20"/>
                <w:szCs w:val="20"/>
                <w:bdr w:val="nil"/>
                <w:lang w:val="fr-FR" w:bidi="en-US"/>
              </w:rPr>
              <w:t xml:space="preserve">le </w:t>
            </w:r>
            <w:r w:rsidR="00DB3121">
              <w:rPr>
                <w:rFonts w:ascii="Calibri" w:eastAsia="Calibri" w:hAnsi="Calibri" w:cs="Calibri"/>
                <w:sz w:val="20"/>
                <w:szCs w:val="20"/>
                <w:bdr w:val="nil"/>
                <w:lang w:val="fr-FR" w:bidi="en-US"/>
              </w:rPr>
              <w:t>R</w:t>
            </w:r>
            <w:r>
              <w:rPr>
                <w:rFonts w:ascii="Calibri" w:eastAsia="Calibri" w:hAnsi="Calibri" w:cs="Calibri"/>
                <w:sz w:val="20"/>
                <w:szCs w:val="20"/>
                <w:bdr w:val="nil"/>
                <w:lang w:val="fr-FR" w:bidi="en-US"/>
              </w:rPr>
              <w:t>apport ITIE 2013-14 ne renferme pas de données sur les valeurs de production et que les données relatives au volume de la production figurant dans le rapport ne sont ni comp</w:t>
            </w:r>
            <w:r w:rsidR="00962C19">
              <w:rPr>
                <w:rFonts w:ascii="Calibri" w:eastAsia="Calibri" w:hAnsi="Calibri" w:cs="Calibri"/>
                <w:sz w:val="20"/>
                <w:szCs w:val="20"/>
                <w:bdr w:val="nil"/>
                <w:lang w:val="fr-FR" w:bidi="en-US"/>
              </w:rPr>
              <w:t xml:space="preserve">lètes ni ventilées par région. » </w:t>
            </w:r>
            <w:r>
              <w:rPr>
                <w:rFonts w:ascii="Calibri" w:eastAsia="Calibri" w:hAnsi="Calibri" w:cs="Calibri"/>
                <w:sz w:val="20"/>
                <w:szCs w:val="20"/>
                <w:bdr w:val="nil"/>
                <w:lang w:val="fr-FR" w:bidi="en-US"/>
              </w:rPr>
              <w:t>(p.</w:t>
            </w:r>
            <w:r w:rsidR="007C474B">
              <w:rPr>
                <w:rFonts w:ascii="Calibri" w:eastAsia="Calibri" w:hAnsi="Calibri" w:cs="Calibri"/>
                <w:sz w:val="20"/>
                <w:szCs w:val="20"/>
                <w:bdr w:val="nil"/>
                <w:lang w:val="fr-FR" w:bidi="en-US"/>
              </w:rPr>
              <w:t> </w:t>
            </w:r>
            <w:r>
              <w:rPr>
                <w:rFonts w:ascii="Calibri" w:eastAsia="Calibri" w:hAnsi="Calibri" w:cs="Calibri"/>
                <w:sz w:val="20"/>
                <w:szCs w:val="20"/>
                <w:bdr w:val="nil"/>
                <w:lang w:val="fr-FR" w:bidi="en-US"/>
              </w:rPr>
              <w:t>5)</w:t>
            </w:r>
          </w:p>
        </w:tc>
        <w:tc>
          <w:tcPr>
            <w:tcW w:w="2410" w:type="dxa"/>
          </w:tcPr>
          <w:p w14:paraId="4BB9DAB0" w14:textId="77777777" w:rsidR="00152FF5" w:rsidRPr="00962C19" w:rsidRDefault="00152FF5" w:rsidP="00152FF5">
            <w:pPr>
              <w:tabs>
                <w:tab w:val="left" w:pos="5580"/>
                <w:tab w:val="left" w:pos="11624"/>
                <w:tab w:val="left" w:pos="11907"/>
              </w:tabs>
              <w:spacing w:before="120" w:after="120" w:line="220" w:lineRule="exact"/>
              <w:contextualSpacing/>
              <w:rPr>
                <w:rFonts w:eastAsia="Times New Roman" w:cs="Calibri"/>
                <w:sz w:val="20"/>
                <w:szCs w:val="20"/>
                <w:lang w:val="fr-FR" w:eastAsia="en-AU"/>
              </w:rPr>
            </w:pPr>
            <w:r>
              <w:rPr>
                <w:rFonts w:ascii="Calibri" w:eastAsia="Calibri" w:hAnsi="Calibri" w:cs="Calibri"/>
                <w:sz w:val="20"/>
                <w:szCs w:val="20"/>
                <w:bdr w:val="nil"/>
                <w:lang w:val="fr-FR" w:eastAsia="en-AU"/>
              </w:rPr>
              <w:t>Aucun.</w:t>
            </w:r>
          </w:p>
        </w:tc>
        <w:tc>
          <w:tcPr>
            <w:tcW w:w="1701" w:type="dxa"/>
          </w:tcPr>
          <w:p w14:paraId="34076C3A" w14:textId="77777777" w:rsidR="00152FF5" w:rsidRPr="00962C19" w:rsidRDefault="00152FF5" w:rsidP="00962C19">
            <w:pPr>
              <w:tabs>
                <w:tab w:val="left" w:pos="11624"/>
                <w:tab w:val="left" w:pos="11907"/>
              </w:tabs>
              <w:spacing w:before="120" w:after="120" w:line="220" w:lineRule="exact"/>
              <w:contextualSpacing/>
              <w:rPr>
                <w:sz w:val="20"/>
                <w:szCs w:val="20"/>
                <w:lang w:val="fr-FR"/>
              </w:rPr>
            </w:pPr>
            <w:r>
              <w:rPr>
                <w:rFonts w:ascii="Calibri" w:eastAsia="Calibri" w:hAnsi="Calibri" w:cs="Calibri"/>
                <w:sz w:val="20"/>
                <w:szCs w:val="20"/>
                <w:bdr w:val="nil"/>
                <w:lang w:val="fr-FR"/>
              </w:rPr>
              <w:t>Le Comité doit émettre une recommandation sur l’évaluation du Conseil d’administration de l’</w:t>
            </w:r>
            <w:r w:rsidR="00087D0F">
              <w:rPr>
                <w:rFonts w:ascii="Calibri" w:eastAsia="Calibri" w:hAnsi="Calibri" w:cs="Calibri"/>
                <w:sz w:val="20"/>
                <w:szCs w:val="20"/>
                <w:bdr w:val="nil"/>
                <w:lang w:val="fr-FR"/>
              </w:rPr>
              <w:t>E</w:t>
            </w:r>
            <w:r>
              <w:rPr>
                <w:rFonts w:ascii="Calibri" w:eastAsia="Calibri" w:hAnsi="Calibri" w:cs="Calibri"/>
                <w:sz w:val="20"/>
                <w:szCs w:val="20"/>
                <w:bdr w:val="nil"/>
                <w:lang w:val="fr-FR"/>
              </w:rPr>
              <w:t>xigence 3.2</w:t>
            </w:r>
            <w:r w:rsidR="00962C19">
              <w:rPr>
                <w:rFonts w:ascii="Calibri" w:eastAsia="Calibri" w:hAnsi="Calibri" w:cs="Calibri"/>
                <w:sz w:val="20"/>
                <w:szCs w:val="20"/>
                <w:bdr w:val="nil"/>
                <w:lang w:val="fr-FR"/>
              </w:rPr>
              <w:t>, à savoir si les progrès sont « significatifs » ou « inadéquats »</w:t>
            </w:r>
            <w:r>
              <w:rPr>
                <w:rFonts w:ascii="Calibri" w:eastAsia="Calibri" w:hAnsi="Calibri" w:cs="Calibri"/>
                <w:sz w:val="20"/>
                <w:szCs w:val="20"/>
                <w:bdr w:val="nil"/>
                <w:lang w:val="fr-FR"/>
              </w:rPr>
              <w:t xml:space="preserve"> et convenir de mesures correctives. </w:t>
            </w:r>
          </w:p>
        </w:tc>
      </w:tr>
      <w:tr w:rsidR="000905FF" w:rsidRPr="00B5300C" w14:paraId="198C1B67" w14:textId="77777777" w:rsidTr="00152FF5">
        <w:tc>
          <w:tcPr>
            <w:tcW w:w="2768" w:type="dxa"/>
          </w:tcPr>
          <w:p w14:paraId="0C599278" w14:textId="77777777" w:rsidR="00152FF5" w:rsidRPr="00962C19" w:rsidRDefault="00152FF5" w:rsidP="00152FF5">
            <w:pPr>
              <w:tabs>
                <w:tab w:val="left" w:pos="11624"/>
                <w:tab w:val="left" w:pos="11907"/>
              </w:tabs>
              <w:spacing w:before="120" w:after="120" w:line="220" w:lineRule="exact"/>
              <w:contextualSpacing/>
              <w:rPr>
                <w:sz w:val="20"/>
                <w:szCs w:val="20"/>
                <w:lang w:val="fr-FR"/>
              </w:rPr>
            </w:pPr>
            <w:r>
              <w:rPr>
                <w:rFonts w:ascii="Calibri" w:eastAsia="Calibri" w:hAnsi="Calibri" w:cs="Calibri"/>
                <w:sz w:val="20"/>
                <w:szCs w:val="20"/>
                <w:bdr w:val="nil"/>
                <w:lang w:val="fr-FR"/>
              </w:rPr>
              <w:t>4.1 Divulgation exhaustive des taxes et des revenus</w:t>
            </w:r>
          </w:p>
          <w:p w14:paraId="6354AFB4" w14:textId="77777777" w:rsidR="00152FF5" w:rsidRPr="00962C19" w:rsidRDefault="00152FF5" w:rsidP="00152FF5">
            <w:pPr>
              <w:tabs>
                <w:tab w:val="left" w:pos="11624"/>
                <w:tab w:val="left" w:pos="11907"/>
              </w:tabs>
              <w:autoSpaceDE w:val="0"/>
              <w:autoSpaceDN w:val="0"/>
              <w:adjustRightInd w:val="0"/>
              <w:spacing w:before="120" w:after="120" w:line="220" w:lineRule="exact"/>
              <w:contextualSpacing/>
              <w:rPr>
                <w:rFonts w:cs="MyriadPro-Regular"/>
                <w:sz w:val="20"/>
                <w:szCs w:val="20"/>
                <w:lang w:val="fr-FR"/>
              </w:rPr>
            </w:pPr>
            <w:r>
              <w:rPr>
                <w:rFonts w:ascii="Calibri" w:eastAsia="Calibri" w:hAnsi="Calibri" w:cs="Calibri"/>
                <w:sz w:val="20"/>
                <w:szCs w:val="20"/>
                <w:bdr w:val="nil"/>
                <w:lang w:val="fr-FR"/>
              </w:rPr>
              <w:t xml:space="preserve">a) Préalablement au processus de déclaration, le Groupe multipartite est tenu de convenir des paiements et des revenus qui doivent être </w:t>
            </w:r>
            <w:r>
              <w:rPr>
                <w:rFonts w:ascii="Calibri" w:eastAsia="Calibri" w:hAnsi="Calibri" w:cs="Calibri"/>
                <w:sz w:val="20"/>
                <w:szCs w:val="20"/>
                <w:bdr w:val="nil"/>
                <w:lang w:val="fr-FR"/>
              </w:rPr>
              <w:lastRenderedPageBreak/>
              <w:t xml:space="preserve">considérés comme significatifs, et doivent donc être déclarés, en donnant des définitions et des seuils de matérialité adéquats.  Les paiements et revenus sont considérés comme significatifs si leur omission ou leur déclaration inexacte peut avoir une incidence majeure sur l’exhaustivité du Rapport ITIE final.  Une description de chaque flux de revenus et des définitions et seuils de matérialité qui y sont </w:t>
            </w:r>
            <w:r w:rsidR="00C876CE">
              <w:rPr>
                <w:rFonts w:ascii="Calibri" w:eastAsia="Calibri" w:hAnsi="Calibri" w:cs="Calibri"/>
                <w:sz w:val="20"/>
                <w:szCs w:val="20"/>
                <w:bdr w:val="nil"/>
                <w:lang w:val="fr-FR"/>
              </w:rPr>
              <w:t xml:space="preserve">attachés devra être divulguée. </w:t>
            </w:r>
            <w:r>
              <w:rPr>
                <w:rFonts w:ascii="Calibri" w:eastAsia="Calibri" w:hAnsi="Calibri" w:cs="Calibri"/>
                <w:sz w:val="20"/>
                <w:szCs w:val="20"/>
                <w:bdr w:val="nil"/>
                <w:lang w:val="fr-FR"/>
              </w:rPr>
              <w:t>Pour établir les définitions et seuils de la matérialité, le Groupe multipartite devra évaluer les flux de revenus par</w:t>
            </w:r>
            <w:r w:rsidR="00C876CE">
              <w:rPr>
                <w:rFonts w:ascii="Calibri" w:eastAsia="Calibri" w:hAnsi="Calibri" w:cs="Calibri"/>
                <w:sz w:val="20"/>
                <w:szCs w:val="20"/>
                <w:bdr w:val="nil"/>
                <w:lang w:val="fr-FR"/>
              </w:rPr>
              <w:t xml:space="preserve"> rapport au total des revenus. </w:t>
            </w:r>
            <w:r>
              <w:rPr>
                <w:rFonts w:ascii="Calibri" w:eastAsia="Calibri" w:hAnsi="Calibri" w:cs="Calibri"/>
                <w:sz w:val="20"/>
                <w:szCs w:val="20"/>
                <w:bdr w:val="nil"/>
                <w:lang w:val="fr-FR"/>
              </w:rPr>
              <w:t>Le Groupe multipartite devra documenter les options considérées et les raisons du choix des définitions et des seuils.</w:t>
            </w:r>
          </w:p>
          <w:p w14:paraId="42E56960" w14:textId="77777777" w:rsidR="00152FF5" w:rsidRPr="00962C19" w:rsidRDefault="00152FF5" w:rsidP="00152FF5">
            <w:pPr>
              <w:tabs>
                <w:tab w:val="left" w:pos="11624"/>
                <w:tab w:val="left" w:pos="11907"/>
              </w:tabs>
              <w:autoSpaceDE w:val="0"/>
              <w:autoSpaceDN w:val="0"/>
              <w:adjustRightInd w:val="0"/>
              <w:spacing w:before="120" w:after="120" w:line="220" w:lineRule="exact"/>
              <w:contextualSpacing/>
              <w:rPr>
                <w:rFonts w:cs="MyriadPro-Regular"/>
                <w:sz w:val="20"/>
                <w:szCs w:val="20"/>
                <w:lang w:val="fr-FR"/>
              </w:rPr>
            </w:pPr>
            <w:r>
              <w:rPr>
                <w:rFonts w:ascii="Calibri" w:eastAsia="Calibri" w:hAnsi="Calibri" w:cs="Calibri"/>
                <w:sz w:val="20"/>
                <w:szCs w:val="20"/>
                <w:bdr w:val="nil"/>
                <w:lang w:val="fr-FR"/>
              </w:rPr>
              <w:t>b) Les flux de revenus suivants devront être inclus</w:t>
            </w:r>
            <w:r w:rsidR="00921573">
              <w:rPr>
                <w:rFonts w:ascii="Calibri" w:eastAsia="Calibri" w:hAnsi="Calibri" w:cs="Calibri"/>
                <w:sz w:val="20"/>
                <w:szCs w:val="20"/>
                <w:bdr w:val="nil"/>
                <w:lang w:val="fr-FR"/>
              </w:rPr>
              <w:t> </w:t>
            </w:r>
            <w:r>
              <w:rPr>
                <w:rFonts w:ascii="Calibri" w:eastAsia="Calibri" w:hAnsi="Calibri" w:cs="Calibri"/>
                <w:sz w:val="20"/>
                <w:szCs w:val="20"/>
                <w:bdr w:val="nil"/>
                <w:lang w:val="fr-FR"/>
              </w:rPr>
              <w:t>:</w:t>
            </w:r>
          </w:p>
          <w:p w14:paraId="760871AC" w14:textId="77777777" w:rsidR="00152FF5" w:rsidRPr="00962C19" w:rsidRDefault="00152FF5" w:rsidP="00152FF5">
            <w:pPr>
              <w:tabs>
                <w:tab w:val="left" w:pos="11624"/>
                <w:tab w:val="left" w:pos="11907"/>
              </w:tabs>
              <w:autoSpaceDE w:val="0"/>
              <w:autoSpaceDN w:val="0"/>
              <w:adjustRightInd w:val="0"/>
              <w:spacing w:before="120" w:after="120" w:line="220" w:lineRule="exact"/>
              <w:contextualSpacing/>
              <w:rPr>
                <w:rFonts w:cs="MyriadPro-Regular"/>
                <w:sz w:val="20"/>
                <w:szCs w:val="20"/>
                <w:lang w:val="fr-FR"/>
              </w:rPr>
            </w:pPr>
            <w:r>
              <w:rPr>
                <w:rFonts w:ascii="Calibri" w:eastAsia="Calibri" w:hAnsi="Calibri" w:cs="Calibri"/>
                <w:sz w:val="20"/>
                <w:szCs w:val="20"/>
                <w:bdr w:val="nil"/>
                <w:lang w:val="fr-FR"/>
              </w:rPr>
              <w:t xml:space="preserve">i. part de la production </w:t>
            </w:r>
            <w:r w:rsidR="00CF1291">
              <w:rPr>
                <w:rFonts w:ascii="Calibri" w:eastAsia="Calibri" w:hAnsi="Calibri" w:cs="Calibri"/>
                <w:sz w:val="20"/>
                <w:szCs w:val="20"/>
                <w:bdr w:val="nil"/>
                <w:lang w:val="fr-FR"/>
              </w:rPr>
              <w:t>revenant au</w:t>
            </w:r>
            <w:r>
              <w:rPr>
                <w:rFonts w:ascii="Calibri" w:eastAsia="Calibri" w:hAnsi="Calibri" w:cs="Calibri"/>
                <w:sz w:val="20"/>
                <w:szCs w:val="20"/>
                <w:bdr w:val="nil"/>
                <w:lang w:val="fr-FR"/>
              </w:rPr>
              <w:t xml:space="preserve"> gouvernement hôte (tel que </w:t>
            </w:r>
            <w:r w:rsidR="00FA1A21">
              <w:rPr>
                <w:rFonts w:ascii="Calibri" w:eastAsia="Calibri" w:hAnsi="Calibri" w:cs="Calibri"/>
                <w:sz w:val="20"/>
                <w:szCs w:val="20"/>
                <w:bdr w:val="nil"/>
                <w:lang w:val="fr-FR"/>
              </w:rPr>
              <w:t xml:space="preserve">les </w:t>
            </w:r>
            <w:r>
              <w:rPr>
                <w:rFonts w:ascii="Calibri" w:eastAsia="Calibri" w:hAnsi="Calibri" w:cs="Calibri"/>
                <w:sz w:val="20"/>
                <w:szCs w:val="20"/>
                <w:bdr w:val="nil"/>
                <w:lang w:val="fr-FR"/>
              </w:rPr>
              <w:t xml:space="preserve">bénéfices </w:t>
            </w:r>
            <w:r w:rsidR="00FA1A21">
              <w:rPr>
                <w:rFonts w:ascii="Calibri" w:eastAsia="Calibri" w:hAnsi="Calibri" w:cs="Calibri"/>
                <w:sz w:val="20"/>
                <w:szCs w:val="20"/>
                <w:bdr w:val="nil"/>
                <w:lang w:val="fr-FR"/>
              </w:rPr>
              <w:t>sous forme de part</w:t>
            </w:r>
            <w:r w:rsidR="00CF1291">
              <w:rPr>
                <w:rFonts w:ascii="Calibri" w:eastAsia="Calibri" w:hAnsi="Calibri" w:cs="Calibri"/>
                <w:sz w:val="20"/>
                <w:szCs w:val="20"/>
                <w:bdr w:val="nil"/>
                <w:lang w:val="fr-FR"/>
              </w:rPr>
              <w:t>s</w:t>
            </w:r>
            <w:r w:rsidR="00FA1A21">
              <w:rPr>
                <w:rFonts w:ascii="Calibri" w:eastAsia="Calibri" w:hAnsi="Calibri" w:cs="Calibri"/>
                <w:sz w:val="20"/>
                <w:szCs w:val="20"/>
                <w:bdr w:val="nil"/>
                <w:lang w:val="fr-FR"/>
              </w:rPr>
              <w:t xml:space="preserve"> de </w:t>
            </w:r>
            <w:r>
              <w:rPr>
                <w:rFonts w:ascii="Calibri" w:eastAsia="Calibri" w:hAnsi="Calibri" w:cs="Calibri"/>
                <w:sz w:val="20"/>
                <w:szCs w:val="20"/>
                <w:bdr w:val="nil"/>
                <w:lang w:val="fr-FR"/>
              </w:rPr>
              <w:t>pro</w:t>
            </w:r>
            <w:r w:rsidR="00FA1A21">
              <w:rPr>
                <w:rFonts w:ascii="Calibri" w:eastAsia="Calibri" w:hAnsi="Calibri" w:cs="Calibri"/>
                <w:sz w:val="20"/>
                <w:szCs w:val="20"/>
                <w:bdr w:val="nil"/>
                <w:lang w:val="fr-FR"/>
              </w:rPr>
              <w:t>duction</w:t>
            </w:r>
            <w:r>
              <w:rPr>
                <w:rFonts w:ascii="Calibri" w:eastAsia="Calibri" w:hAnsi="Calibri" w:cs="Calibri"/>
                <w:sz w:val="20"/>
                <w:szCs w:val="20"/>
                <w:bdr w:val="nil"/>
                <w:lang w:val="fr-FR"/>
              </w:rPr>
              <w:t>)</w:t>
            </w:r>
          </w:p>
          <w:p w14:paraId="3CFDBF9B" w14:textId="77777777" w:rsidR="00152FF5" w:rsidRPr="00962C19" w:rsidRDefault="00152FF5" w:rsidP="00152FF5">
            <w:pPr>
              <w:tabs>
                <w:tab w:val="left" w:pos="11624"/>
                <w:tab w:val="left" w:pos="11907"/>
              </w:tabs>
              <w:autoSpaceDE w:val="0"/>
              <w:autoSpaceDN w:val="0"/>
              <w:adjustRightInd w:val="0"/>
              <w:spacing w:before="120" w:after="120" w:line="220" w:lineRule="exact"/>
              <w:contextualSpacing/>
              <w:rPr>
                <w:rFonts w:cs="MyriadPro-Regular"/>
                <w:sz w:val="20"/>
                <w:szCs w:val="20"/>
                <w:lang w:val="fr-FR"/>
              </w:rPr>
            </w:pPr>
            <w:r>
              <w:rPr>
                <w:rFonts w:ascii="Calibri" w:eastAsia="Calibri" w:hAnsi="Calibri" w:cs="Calibri"/>
                <w:sz w:val="20"/>
                <w:szCs w:val="20"/>
                <w:bdr w:val="nil"/>
                <w:lang w:val="fr-FR"/>
              </w:rPr>
              <w:t xml:space="preserve">ii. part de la production </w:t>
            </w:r>
            <w:r w:rsidR="00CF1291">
              <w:rPr>
                <w:rFonts w:ascii="Calibri" w:eastAsia="Calibri" w:hAnsi="Calibri" w:cs="Calibri"/>
                <w:sz w:val="20"/>
                <w:szCs w:val="20"/>
                <w:bdr w:val="nil"/>
                <w:lang w:val="fr-FR"/>
              </w:rPr>
              <w:t>revenant à</w:t>
            </w:r>
            <w:r>
              <w:rPr>
                <w:rFonts w:ascii="Calibri" w:eastAsia="Calibri" w:hAnsi="Calibri" w:cs="Calibri"/>
                <w:sz w:val="20"/>
                <w:szCs w:val="20"/>
                <w:bdr w:val="nil"/>
                <w:lang w:val="fr-FR"/>
              </w:rPr>
              <w:t xml:space="preserve"> l’entreprise d’État </w:t>
            </w:r>
          </w:p>
          <w:p w14:paraId="6DAC7B57" w14:textId="77777777" w:rsidR="00152FF5" w:rsidRPr="00962C19" w:rsidRDefault="00152FF5" w:rsidP="00152FF5">
            <w:pPr>
              <w:tabs>
                <w:tab w:val="left" w:pos="11624"/>
                <w:tab w:val="left" w:pos="11907"/>
              </w:tabs>
              <w:autoSpaceDE w:val="0"/>
              <w:autoSpaceDN w:val="0"/>
              <w:adjustRightInd w:val="0"/>
              <w:spacing w:before="120" w:after="120" w:line="220" w:lineRule="exact"/>
              <w:contextualSpacing/>
              <w:rPr>
                <w:rFonts w:cs="MyriadPro-Regular"/>
                <w:sz w:val="20"/>
                <w:szCs w:val="20"/>
                <w:lang w:val="fr-FR"/>
              </w:rPr>
            </w:pPr>
            <w:r>
              <w:rPr>
                <w:rFonts w:ascii="Calibri" w:eastAsia="Calibri" w:hAnsi="Calibri" w:cs="Calibri"/>
                <w:sz w:val="20"/>
                <w:szCs w:val="20"/>
                <w:bdr w:val="nil"/>
                <w:lang w:val="fr-FR"/>
              </w:rPr>
              <w:t>iii. les taxes sur les bénéfices</w:t>
            </w:r>
          </w:p>
          <w:p w14:paraId="0D04B73D" w14:textId="77777777" w:rsidR="00152FF5" w:rsidRPr="00962C19" w:rsidRDefault="00152FF5" w:rsidP="00152FF5">
            <w:pPr>
              <w:tabs>
                <w:tab w:val="left" w:pos="11624"/>
                <w:tab w:val="left" w:pos="11907"/>
              </w:tabs>
              <w:autoSpaceDE w:val="0"/>
              <w:autoSpaceDN w:val="0"/>
              <w:adjustRightInd w:val="0"/>
              <w:spacing w:before="120" w:after="120" w:line="220" w:lineRule="exact"/>
              <w:contextualSpacing/>
              <w:rPr>
                <w:rFonts w:cs="MyriadPro-Regular"/>
                <w:sz w:val="20"/>
                <w:szCs w:val="20"/>
                <w:lang w:val="fr-FR"/>
              </w:rPr>
            </w:pPr>
            <w:r>
              <w:rPr>
                <w:rFonts w:ascii="Calibri" w:eastAsia="Calibri" w:hAnsi="Calibri" w:cs="Calibri"/>
                <w:sz w:val="20"/>
                <w:szCs w:val="20"/>
                <w:bdr w:val="nil"/>
                <w:lang w:val="fr-FR"/>
              </w:rPr>
              <w:t xml:space="preserve">iv. les redevances </w:t>
            </w:r>
          </w:p>
          <w:p w14:paraId="08F651BE" w14:textId="77777777" w:rsidR="00152FF5" w:rsidRPr="00962C19" w:rsidRDefault="00152FF5" w:rsidP="00152FF5">
            <w:pPr>
              <w:tabs>
                <w:tab w:val="left" w:pos="11624"/>
                <w:tab w:val="left" w:pos="11907"/>
              </w:tabs>
              <w:autoSpaceDE w:val="0"/>
              <w:autoSpaceDN w:val="0"/>
              <w:adjustRightInd w:val="0"/>
              <w:spacing w:before="120" w:after="120" w:line="220" w:lineRule="exact"/>
              <w:contextualSpacing/>
              <w:rPr>
                <w:rFonts w:cs="MyriadPro-Regular"/>
                <w:sz w:val="20"/>
                <w:szCs w:val="20"/>
                <w:lang w:val="fr-FR"/>
              </w:rPr>
            </w:pPr>
            <w:r>
              <w:rPr>
                <w:rFonts w:ascii="Calibri" w:eastAsia="Calibri" w:hAnsi="Calibri" w:cs="Calibri"/>
                <w:sz w:val="20"/>
                <w:szCs w:val="20"/>
                <w:bdr w:val="nil"/>
                <w:lang w:val="fr-FR"/>
              </w:rPr>
              <w:t>v. les dividendes</w:t>
            </w:r>
          </w:p>
          <w:p w14:paraId="6CAA8A70" w14:textId="77777777" w:rsidR="00152FF5" w:rsidRPr="00962C19" w:rsidRDefault="00152FF5" w:rsidP="00152FF5">
            <w:pPr>
              <w:tabs>
                <w:tab w:val="left" w:pos="11624"/>
                <w:tab w:val="left" w:pos="11907"/>
              </w:tabs>
              <w:autoSpaceDE w:val="0"/>
              <w:autoSpaceDN w:val="0"/>
              <w:adjustRightInd w:val="0"/>
              <w:spacing w:before="120" w:after="120" w:line="220" w:lineRule="exact"/>
              <w:contextualSpacing/>
              <w:rPr>
                <w:rFonts w:cs="MyriadPro-Regular"/>
                <w:sz w:val="20"/>
                <w:szCs w:val="20"/>
                <w:lang w:val="fr-FR"/>
              </w:rPr>
            </w:pPr>
            <w:r>
              <w:rPr>
                <w:rFonts w:ascii="Calibri" w:eastAsia="Calibri" w:hAnsi="Calibri" w:cs="Calibri"/>
                <w:sz w:val="20"/>
                <w:szCs w:val="20"/>
                <w:bdr w:val="nil"/>
                <w:lang w:val="fr-FR"/>
              </w:rPr>
              <w:lastRenderedPageBreak/>
              <w:t>vi. les primes (par exemple primes de signature, de découverte, ou de production)</w:t>
            </w:r>
          </w:p>
          <w:p w14:paraId="658DCF2A" w14:textId="77777777" w:rsidR="00152FF5" w:rsidRPr="00962C19" w:rsidRDefault="00152FF5" w:rsidP="00152FF5">
            <w:pPr>
              <w:tabs>
                <w:tab w:val="left" w:pos="11624"/>
                <w:tab w:val="left" w:pos="11907"/>
              </w:tabs>
              <w:autoSpaceDE w:val="0"/>
              <w:autoSpaceDN w:val="0"/>
              <w:adjustRightInd w:val="0"/>
              <w:spacing w:before="120" w:after="120" w:line="220" w:lineRule="exact"/>
              <w:contextualSpacing/>
              <w:rPr>
                <w:rFonts w:cs="MyriadPro-Regular"/>
                <w:sz w:val="20"/>
                <w:szCs w:val="20"/>
                <w:lang w:val="fr-FR"/>
              </w:rPr>
            </w:pPr>
            <w:r>
              <w:rPr>
                <w:rFonts w:ascii="Calibri" w:eastAsia="Calibri" w:hAnsi="Calibri" w:cs="Calibri"/>
                <w:sz w:val="20"/>
                <w:szCs w:val="20"/>
                <w:bdr w:val="nil"/>
                <w:lang w:val="fr-FR"/>
              </w:rPr>
              <w:t xml:space="preserve">vii. les droits et frais de licence, frais de location, frais d’entrée et autres contreparties pour les licences </w:t>
            </w:r>
          </w:p>
          <w:p w14:paraId="0C516E6E" w14:textId="77777777" w:rsidR="00152FF5" w:rsidRPr="00962C19" w:rsidRDefault="00152FF5" w:rsidP="00152FF5">
            <w:pPr>
              <w:tabs>
                <w:tab w:val="left" w:pos="11624"/>
                <w:tab w:val="left" w:pos="11907"/>
              </w:tabs>
              <w:autoSpaceDE w:val="0"/>
              <w:autoSpaceDN w:val="0"/>
              <w:adjustRightInd w:val="0"/>
              <w:spacing w:before="120" w:after="120" w:line="220" w:lineRule="exact"/>
              <w:contextualSpacing/>
              <w:rPr>
                <w:rFonts w:cs="MyriadPro-Regular"/>
                <w:sz w:val="20"/>
                <w:szCs w:val="20"/>
                <w:lang w:val="fr-FR"/>
              </w:rPr>
            </w:pPr>
            <w:r>
              <w:rPr>
                <w:rFonts w:ascii="Calibri" w:eastAsia="Calibri" w:hAnsi="Calibri" w:cs="Calibri"/>
                <w:sz w:val="20"/>
                <w:szCs w:val="20"/>
                <w:bdr w:val="nil"/>
                <w:lang w:val="fr-FR"/>
              </w:rPr>
              <w:t xml:space="preserve">et/ou les concessions </w:t>
            </w:r>
          </w:p>
          <w:p w14:paraId="2B062237" w14:textId="77777777" w:rsidR="00152FF5" w:rsidRPr="00962C19" w:rsidRDefault="00152FF5" w:rsidP="00152FF5">
            <w:pPr>
              <w:tabs>
                <w:tab w:val="left" w:pos="11624"/>
                <w:tab w:val="left" w:pos="11907"/>
              </w:tabs>
              <w:autoSpaceDE w:val="0"/>
              <w:autoSpaceDN w:val="0"/>
              <w:adjustRightInd w:val="0"/>
              <w:spacing w:before="120" w:after="120" w:line="220" w:lineRule="exact"/>
              <w:contextualSpacing/>
              <w:rPr>
                <w:rFonts w:cs="MyriadPro-Regular"/>
                <w:sz w:val="20"/>
                <w:szCs w:val="20"/>
                <w:lang w:val="fr-FR"/>
              </w:rPr>
            </w:pPr>
            <w:r>
              <w:rPr>
                <w:rFonts w:ascii="Calibri" w:eastAsia="Calibri" w:hAnsi="Calibri" w:cs="Calibri"/>
                <w:sz w:val="20"/>
                <w:szCs w:val="20"/>
                <w:bdr w:val="nil"/>
                <w:lang w:val="fr-FR"/>
              </w:rPr>
              <w:t xml:space="preserve">viii. tout autre paiement ou avantage significatif reçu par l’État </w:t>
            </w:r>
          </w:p>
          <w:p w14:paraId="255B70EC" w14:textId="77777777" w:rsidR="00152FF5" w:rsidRPr="00962C19" w:rsidRDefault="00152FF5" w:rsidP="00152FF5">
            <w:pPr>
              <w:tabs>
                <w:tab w:val="left" w:pos="11624"/>
                <w:tab w:val="left" w:pos="11907"/>
              </w:tabs>
              <w:autoSpaceDE w:val="0"/>
              <w:autoSpaceDN w:val="0"/>
              <w:adjustRightInd w:val="0"/>
              <w:spacing w:before="120" w:after="120" w:line="220" w:lineRule="exact"/>
              <w:contextualSpacing/>
              <w:rPr>
                <w:rFonts w:cs="MyriadPro-Regular"/>
                <w:sz w:val="20"/>
                <w:szCs w:val="20"/>
                <w:lang w:val="fr-FR"/>
              </w:rPr>
            </w:pPr>
            <w:r>
              <w:rPr>
                <w:rFonts w:ascii="Calibri" w:eastAsia="Calibri" w:hAnsi="Calibri" w:cs="Calibri"/>
                <w:sz w:val="20"/>
                <w:szCs w:val="20"/>
                <w:bdr w:val="nil"/>
                <w:lang w:val="fr-FR"/>
              </w:rPr>
              <w:t>Un flux de revenus ou un avantage ne pourra être exclu que dans les cas où il n’est pas applicable ou dans ceux où le Groupe multipartite convient que son omission n’aura aucune incidence significative sur l’exhaustivité du Rapport ITIE.</w:t>
            </w:r>
          </w:p>
          <w:p w14:paraId="4007D883" w14:textId="77777777" w:rsidR="00152FF5" w:rsidRPr="00962C19" w:rsidRDefault="00152FF5" w:rsidP="00152FF5">
            <w:pPr>
              <w:tabs>
                <w:tab w:val="left" w:pos="11624"/>
                <w:tab w:val="left" w:pos="11907"/>
              </w:tabs>
              <w:autoSpaceDE w:val="0"/>
              <w:autoSpaceDN w:val="0"/>
              <w:adjustRightInd w:val="0"/>
              <w:spacing w:before="120" w:after="120" w:line="220" w:lineRule="exact"/>
              <w:contextualSpacing/>
              <w:rPr>
                <w:rFonts w:cs="MyriadPro-Regular"/>
                <w:sz w:val="20"/>
                <w:szCs w:val="20"/>
                <w:lang w:val="fr-FR"/>
              </w:rPr>
            </w:pPr>
            <w:r>
              <w:rPr>
                <w:rFonts w:ascii="Calibri" w:eastAsia="Calibri" w:hAnsi="Calibri" w:cs="Calibri"/>
                <w:sz w:val="20"/>
                <w:szCs w:val="20"/>
                <w:bdr w:val="nil"/>
                <w:lang w:val="fr-FR"/>
              </w:rPr>
              <w:t>c) Les pays mettant en œuvre l’ITIE doivent inclure une réconciliation exhaustive des revenus gouvernementaux et des paiements des entreprises, y compris des paiements reçus par les entreprises d’État ou effectués par celles-ci, dans le respect du périmètre convenu.  Toutes les entreprises versant des paiements significatifs au gouvernement sont tenues de divulguer intégralement ces paiements, con</w:t>
            </w:r>
            <w:r w:rsidR="005E1D4B">
              <w:rPr>
                <w:rFonts w:ascii="Calibri" w:eastAsia="Calibri" w:hAnsi="Calibri" w:cs="Calibri"/>
                <w:sz w:val="20"/>
                <w:szCs w:val="20"/>
                <w:bdr w:val="nil"/>
                <w:lang w:val="fr-FR"/>
              </w:rPr>
              <w:t>formément au périmètre convenu.</w:t>
            </w:r>
            <w:r>
              <w:rPr>
                <w:rFonts w:ascii="Calibri" w:eastAsia="Calibri" w:hAnsi="Calibri" w:cs="Calibri"/>
                <w:sz w:val="20"/>
                <w:szCs w:val="20"/>
                <w:bdr w:val="nil"/>
                <w:lang w:val="fr-FR"/>
              </w:rPr>
              <w:t xml:space="preserve"> Une entité ne pourra être dispensée de </w:t>
            </w:r>
            <w:r>
              <w:rPr>
                <w:rFonts w:ascii="Calibri" w:eastAsia="Calibri" w:hAnsi="Calibri" w:cs="Calibri"/>
                <w:sz w:val="20"/>
                <w:szCs w:val="20"/>
                <w:bdr w:val="nil"/>
                <w:lang w:val="fr-FR"/>
              </w:rPr>
              <w:lastRenderedPageBreak/>
              <w:t xml:space="preserve">déclaration que s’il peut être démontré que ses paiements et revenus ne sont pas significatifs.  Toutes les entités de l’État percevant des revenus significatifs sont tenues de divulguer intégralement ces revenus, conformément au périmètre convenu. </w:t>
            </w:r>
          </w:p>
          <w:p w14:paraId="0809FE13" w14:textId="77777777" w:rsidR="00152FF5" w:rsidRPr="00962C19" w:rsidRDefault="00152FF5" w:rsidP="00152FF5">
            <w:pPr>
              <w:tabs>
                <w:tab w:val="left" w:pos="11624"/>
                <w:tab w:val="left" w:pos="11907"/>
              </w:tabs>
              <w:autoSpaceDE w:val="0"/>
              <w:autoSpaceDN w:val="0"/>
              <w:adjustRightInd w:val="0"/>
              <w:spacing w:before="120" w:after="120" w:line="220" w:lineRule="exact"/>
              <w:contextualSpacing/>
              <w:rPr>
                <w:rFonts w:cs="MyriadPro-Regular"/>
                <w:sz w:val="20"/>
                <w:szCs w:val="20"/>
                <w:lang w:val="fr-FR"/>
              </w:rPr>
            </w:pPr>
            <w:r>
              <w:rPr>
                <w:rFonts w:ascii="Calibri" w:eastAsia="Calibri" w:hAnsi="Calibri" w:cs="Calibri"/>
                <w:sz w:val="20"/>
                <w:szCs w:val="20"/>
                <w:bdr w:val="nil"/>
                <w:lang w:val="fr-FR"/>
              </w:rPr>
              <w:t xml:space="preserve">d) Sauf en cas d’obstacles pratiques importants, le gouvernement est en outre tenu de fournir des informations sous forme agrégée sur le montant total des revenus provenant de chaque flux financier et économique convenu dans le périmètre d’application des rapports ITIE, y compris sur les revenus inférieurs aux seuils de matérialité convenus.  Si ces données ne sont pas disponibles, l’Administrateur </w:t>
            </w:r>
            <w:r w:rsidR="00072F71">
              <w:rPr>
                <w:rFonts w:ascii="Calibri" w:eastAsia="Calibri" w:hAnsi="Calibri" w:cs="Calibri"/>
                <w:sz w:val="20"/>
                <w:szCs w:val="20"/>
                <w:bdr w:val="nil"/>
                <w:lang w:val="fr-FR"/>
              </w:rPr>
              <w:t>I</w:t>
            </w:r>
            <w:r>
              <w:rPr>
                <w:rFonts w:ascii="Calibri" w:eastAsia="Calibri" w:hAnsi="Calibri" w:cs="Calibri"/>
                <w:sz w:val="20"/>
                <w:szCs w:val="20"/>
                <w:bdr w:val="nil"/>
                <w:lang w:val="fr-FR"/>
              </w:rPr>
              <w:t>ndépendant devra exploiter toutes les données et estimations pertinentes en provenance d’autres sources, afin de donner une image complète des revenus totaux du gouvernement.</w:t>
            </w:r>
          </w:p>
        </w:tc>
        <w:tc>
          <w:tcPr>
            <w:tcW w:w="2892" w:type="dxa"/>
          </w:tcPr>
          <w:p w14:paraId="0264C246" w14:textId="77777777" w:rsidR="00152FF5" w:rsidRPr="00F32E6E" w:rsidRDefault="00152FF5" w:rsidP="005E1D4B">
            <w:pPr>
              <w:tabs>
                <w:tab w:val="left" w:pos="11624"/>
                <w:tab w:val="left" w:pos="11907"/>
              </w:tabs>
              <w:spacing w:before="120" w:after="120" w:line="220" w:lineRule="exact"/>
              <w:contextualSpacing/>
              <w:rPr>
                <w:rFonts w:eastAsia="Calibri"/>
                <w:sz w:val="20"/>
                <w:szCs w:val="20"/>
                <w:lang w:val="fr-FR"/>
              </w:rPr>
            </w:pPr>
            <w:r>
              <w:rPr>
                <w:rFonts w:ascii="Calibri" w:eastAsia="Calibri" w:hAnsi="Calibri" w:cs="Calibri"/>
                <w:sz w:val="20"/>
                <w:szCs w:val="20"/>
                <w:bdr w:val="nil"/>
                <w:lang w:val="fr-FR"/>
              </w:rPr>
              <w:lastRenderedPageBreak/>
              <w:t>L’évaluation du Secrétari</w:t>
            </w:r>
            <w:r w:rsidR="00962C19">
              <w:rPr>
                <w:rFonts w:ascii="Calibri" w:eastAsia="Calibri" w:hAnsi="Calibri" w:cs="Calibri"/>
                <w:sz w:val="20"/>
                <w:szCs w:val="20"/>
                <w:bdr w:val="nil"/>
                <w:lang w:val="fr-FR"/>
              </w:rPr>
              <w:t xml:space="preserve">at international </w:t>
            </w:r>
            <w:r w:rsidR="000F4C1B">
              <w:rPr>
                <w:rFonts w:ascii="Calibri" w:eastAsia="Calibri" w:hAnsi="Calibri" w:cs="Calibri"/>
                <w:sz w:val="20"/>
                <w:szCs w:val="20"/>
                <w:bdr w:val="nil"/>
                <w:lang w:val="fr-FR"/>
              </w:rPr>
              <w:t xml:space="preserve">parvient à la </w:t>
            </w:r>
            <w:r w:rsidR="00962C19">
              <w:rPr>
                <w:rFonts w:ascii="Calibri" w:eastAsia="Calibri" w:hAnsi="Calibri" w:cs="Calibri"/>
                <w:sz w:val="20"/>
                <w:szCs w:val="20"/>
                <w:bdr w:val="nil"/>
                <w:lang w:val="fr-FR"/>
              </w:rPr>
              <w:t>conclu</w:t>
            </w:r>
            <w:r w:rsidR="000F4C1B">
              <w:rPr>
                <w:rFonts w:ascii="Calibri" w:eastAsia="Calibri" w:hAnsi="Calibri" w:cs="Calibri"/>
                <w:sz w:val="20"/>
                <w:szCs w:val="20"/>
                <w:bdr w:val="nil"/>
                <w:lang w:val="fr-FR"/>
              </w:rPr>
              <w:t>sion</w:t>
            </w:r>
            <w:r w:rsidR="00962C19">
              <w:rPr>
                <w:rFonts w:ascii="Calibri" w:eastAsia="Calibri" w:hAnsi="Calibri" w:cs="Calibri"/>
                <w:sz w:val="20"/>
                <w:szCs w:val="20"/>
                <w:bdr w:val="nil"/>
                <w:lang w:val="fr-FR"/>
              </w:rPr>
              <w:t xml:space="preserve"> que</w:t>
            </w:r>
            <w:r w:rsidR="00921573">
              <w:rPr>
                <w:rFonts w:ascii="Calibri" w:eastAsia="Calibri" w:hAnsi="Calibri" w:cs="Calibri"/>
                <w:sz w:val="20"/>
                <w:szCs w:val="20"/>
                <w:bdr w:val="nil"/>
                <w:lang w:val="fr-FR"/>
              </w:rPr>
              <w:t> </w:t>
            </w:r>
            <w:r w:rsidR="00962C19">
              <w:rPr>
                <w:rFonts w:ascii="Calibri" w:eastAsia="Calibri" w:hAnsi="Calibri" w:cs="Calibri"/>
                <w:sz w:val="20"/>
                <w:szCs w:val="20"/>
                <w:bdr w:val="nil"/>
                <w:lang w:val="fr-FR"/>
              </w:rPr>
              <w:t>: « c</w:t>
            </w:r>
            <w:r>
              <w:rPr>
                <w:rFonts w:ascii="Calibri" w:eastAsia="Calibri" w:hAnsi="Calibri" w:cs="Calibri"/>
                <w:sz w:val="20"/>
                <w:szCs w:val="20"/>
                <w:bdr w:val="nil"/>
                <w:lang w:val="fr-FR"/>
              </w:rPr>
              <w:t>onformément à l’</w:t>
            </w:r>
            <w:r w:rsidR="000F4C1B">
              <w:rPr>
                <w:rFonts w:ascii="Calibri" w:eastAsia="Calibri" w:hAnsi="Calibri" w:cs="Calibri"/>
                <w:sz w:val="20"/>
                <w:szCs w:val="20"/>
                <w:bdr w:val="nil"/>
                <w:lang w:val="fr-FR"/>
              </w:rPr>
              <w:t>E</w:t>
            </w:r>
            <w:r>
              <w:rPr>
                <w:rFonts w:ascii="Calibri" w:eastAsia="Calibri" w:hAnsi="Calibri" w:cs="Calibri"/>
                <w:sz w:val="20"/>
                <w:szCs w:val="20"/>
                <w:bdr w:val="nil"/>
                <w:lang w:val="fr-FR"/>
              </w:rPr>
              <w:t xml:space="preserve">xigence 4.1, le Conseil de </w:t>
            </w:r>
            <w:r w:rsidR="000F4C1B">
              <w:rPr>
                <w:rFonts w:ascii="Calibri" w:eastAsia="Calibri" w:hAnsi="Calibri" w:cs="Calibri"/>
                <w:sz w:val="20"/>
                <w:szCs w:val="20"/>
                <w:bdr w:val="nil"/>
                <w:lang w:val="fr-FR"/>
              </w:rPr>
              <w:t>S</w:t>
            </w:r>
            <w:r>
              <w:rPr>
                <w:rFonts w:ascii="Calibri" w:eastAsia="Calibri" w:hAnsi="Calibri" w:cs="Calibri"/>
                <w:sz w:val="20"/>
                <w:szCs w:val="20"/>
                <w:bdr w:val="nil"/>
                <w:lang w:val="fr-FR"/>
              </w:rPr>
              <w:t xml:space="preserve">urveillance a convenu d’une liste de flux de revenus significatifs. Certains </w:t>
            </w:r>
            <w:r>
              <w:rPr>
                <w:rFonts w:ascii="Calibri" w:eastAsia="Calibri" w:hAnsi="Calibri" w:cs="Calibri"/>
                <w:sz w:val="20"/>
                <w:szCs w:val="20"/>
                <w:bdr w:val="nil"/>
                <w:lang w:val="fr-FR"/>
              </w:rPr>
              <w:lastRenderedPageBreak/>
              <w:t xml:space="preserve">d’entre eux, mais pas tous, sont décrits dans le </w:t>
            </w:r>
            <w:r w:rsidR="00753081">
              <w:rPr>
                <w:rFonts w:ascii="Calibri" w:eastAsia="Calibri" w:hAnsi="Calibri" w:cs="Calibri"/>
                <w:sz w:val="20"/>
                <w:szCs w:val="20"/>
                <w:bdr w:val="nil"/>
                <w:lang w:val="fr-FR"/>
              </w:rPr>
              <w:t>R</w:t>
            </w:r>
            <w:r>
              <w:rPr>
                <w:rFonts w:ascii="Calibri" w:eastAsia="Calibri" w:hAnsi="Calibri" w:cs="Calibri"/>
                <w:sz w:val="20"/>
                <w:szCs w:val="20"/>
                <w:bdr w:val="nil"/>
                <w:lang w:val="fr-FR"/>
              </w:rPr>
              <w:t xml:space="preserve">apport ITIE. Le Conseil de </w:t>
            </w:r>
            <w:r w:rsidR="000F4C1B">
              <w:rPr>
                <w:rFonts w:ascii="Calibri" w:eastAsia="Calibri" w:hAnsi="Calibri" w:cs="Calibri"/>
                <w:sz w:val="20"/>
                <w:szCs w:val="20"/>
                <w:bdr w:val="nil"/>
                <w:lang w:val="fr-FR"/>
              </w:rPr>
              <w:t>S</w:t>
            </w:r>
            <w:r>
              <w:rPr>
                <w:rFonts w:ascii="Calibri" w:eastAsia="Calibri" w:hAnsi="Calibri" w:cs="Calibri"/>
                <w:sz w:val="20"/>
                <w:szCs w:val="20"/>
                <w:bdr w:val="nil"/>
                <w:lang w:val="fr-FR"/>
              </w:rPr>
              <w:t xml:space="preserve">urveillance a également convenu de seuils de déclaration pour les entreprises et identifié </w:t>
            </w:r>
            <w:r w:rsidR="000F4C1B">
              <w:rPr>
                <w:rFonts w:ascii="Calibri" w:eastAsia="Calibri" w:hAnsi="Calibri" w:cs="Calibri"/>
                <w:sz w:val="20"/>
                <w:szCs w:val="20"/>
                <w:bdr w:val="nil"/>
                <w:lang w:val="fr-FR"/>
              </w:rPr>
              <w:t>l</w:t>
            </w:r>
            <w:r>
              <w:rPr>
                <w:rFonts w:ascii="Calibri" w:eastAsia="Calibri" w:hAnsi="Calibri" w:cs="Calibri"/>
                <w:sz w:val="20"/>
                <w:szCs w:val="20"/>
                <w:bdr w:val="nil"/>
                <w:lang w:val="fr-FR"/>
              </w:rPr>
              <w:t xml:space="preserve">es entités déclarantes. </w:t>
            </w:r>
            <w:r w:rsidR="000F4C1B">
              <w:rPr>
                <w:rFonts w:ascii="Calibri" w:eastAsia="Calibri" w:hAnsi="Calibri" w:cs="Calibri"/>
                <w:sz w:val="20"/>
                <w:szCs w:val="20"/>
                <w:bdr w:val="nil"/>
                <w:lang w:val="fr-FR"/>
              </w:rPr>
              <w:t>Bien que</w:t>
            </w:r>
            <w:r>
              <w:rPr>
                <w:rFonts w:ascii="Calibri" w:eastAsia="Calibri" w:hAnsi="Calibri" w:cs="Calibri"/>
                <w:sz w:val="20"/>
                <w:szCs w:val="20"/>
                <w:bdr w:val="nil"/>
                <w:lang w:val="fr-FR"/>
              </w:rPr>
              <w:t xml:space="preserve"> l’Administrateur </w:t>
            </w:r>
            <w:r w:rsidR="000F4C1B">
              <w:rPr>
                <w:rFonts w:ascii="Calibri" w:eastAsia="Calibri" w:hAnsi="Calibri" w:cs="Calibri"/>
                <w:sz w:val="20"/>
                <w:szCs w:val="20"/>
                <w:bdr w:val="nil"/>
                <w:lang w:val="fr-FR"/>
              </w:rPr>
              <w:t>I</w:t>
            </w:r>
            <w:r>
              <w:rPr>
                <w:rFonts w:ascii="Calibri" w:eastAsia="Calibri" w:hAnsi="Calibri" w:cs="Calibri"/>
                <w:sz w:val="20"/>
                <w:szCs w:val="20"/>
                <w:bdr w:val="nil"/>
                <w:lang w:val="fr-FR"/>
              </w:rPr>
              <w:t>ndépendant n’a</w:t>
            </w:r>
            <w:r w:rsidR="0069728A">
              <w:rPr>
                <w:rFonts w:ascii="Calibri" w:eastAsia="Calibri" w:hAnsi="Calibri" w:cs="Calibri"/>
                <w:sz w:val="20"/>
                <w:szCs w:val="20"/>
                <w:bdr w:val="nil"/>
                <w:lang w:val="fr-FR"/>
              </w:rPr>
              <w:t>it</w:t>
            </w:r>
            <w:r>
              <w:rPr>
                <w:rFonts w:ascii="Calibri" w:eastAsia="Calibri" w:hAnsi="Calibri" w:cs="Calibri"/>
                <w:sz w:val="20"/>
                <w:szCs w:val="20"/>
                <w:bdr w:val="nil"/>
                <w:lang w:val="fr-FR"/>
              </w:rPr>
              <w:t xml:space="preserve"> pas été consulté sur les modèles, ni l’Administrateur </w:t>
            </w:r>
            <w:r w:rsidR="0069728A">
              <w:rPr>
                <w:rFonts w:ascii="Calibri" w:eastAsia="Calibri" w:hAnsi="Calibri" w:cs="Calibri"/>
                <w:sz w:val="20"/>
                <w:szCs w:val="20"/>
                <w:bdr w:val="nil"/>
                <w:lang w:val="fr-FR"/>
              </w:rPr>
              <w:t>I</w:t>
            </w:r>
            <w:r>
              <w:rPr>
                <w:rFonts w:ascii="Calibri" w:eastAsia="Calibri" w:hAnsi="Calibri" w:cs="Calibri"/>
                <w:sz w:val="20"/>
                <w:szCs w:val="20"/>
                <w:bdr w:val="nil"/>
                <w:lang w:val="fr-FR"/>
              </w:rPr>
              <w:t>ndépendant ni les parties prenantes n’ont exprimé d’inquiétudes sur les revenus couverts par le modèle.</w:t>
            </w:r>
            <w:r>
              <w:rPr>
                <w:rFonts w:ascii="Calibri" w:eastAsia="Calibri" w:hAnsi="Calibri" w:cs="Calibri"/>
                <w:strike/>
                <w:sz w:val="20"/>
                <w:szCs w:val="20"/>
                <w:bdr w:val="nil"/>
                <w:lang w:val="fr-FR"/>
              </w:rPr>
              <w:t xml:space="preserve"> </w:t>
            </w:r>
            <w:r>
              <w:rPr>
                <w:rFonts w:ascii="Calibri" w:eastAsia="Calibri" w:hAnsi="Calibri" w:cs="Calibri"/>
                <w:sz w:val="20"/>
                <w:szCs w:val="20"/>
                <w:bdr w:val="nil"/>
                <w:lang w:val="fr-FR"/>
              </w:rPr>
              <w:t xml:space="preserve">Certaines entités et entreprises de l’État n’ont pas soumis leur déclaration. Le gouvernement n’a pas divulgué la totalité de ses revenus. Toutefois, d’après les consultations menées auprès de l’Administrateur </w:t>
            </w:r>
            <w:r w:rsidR="0069728A">
              <w:rPr>
                <w:rFonts w:ascii="Calibri" w:eastAsia="Calibri" w:hAnsi="Calibri" w:cs="Calibri"/>
                <w:sz w:val="20"/>
                <w:szCs w:val="20"/>
                <w:bdr w:val="nil"/>
                <w:lang w:val="fr-FR"/>
              </w:rPr>
              <w:t>I</w:t>
            </w:r>
            <w:r>
              <w:rPr>
                <w:rFonts w:ascii="Calibri" w:eastAsia="Calibri" w:hAnsi="Calibri" w:cs="Calibri"/>
                <w:sz w:val="20"/>
                <w:szCs w:val="20"/>
                <w:bdr w:val="nil"/>
                <w:lang w:val="fr-FR"/>
              </w:rPr>
              <w:t xml:space="preserve">ndépendant, ces omissions semblent porter sur des recettes </w:t>
            </w:r>
            <w:r w:rsidR="005E1D4B">
              <w:rPr>
                <w:rFonts w:ascii="Calibri" w:eastAsia="Calibri" w:hAnsi="Calibri" w:cs="Calibri"/>
                <w:sz w:val="20"/>
                <w:szCs w:val="20"/>
                <w:bdr w:val="nil"/>
                <w:lang w:val="fr-FR"/>
              </w:rPr>
              <w:t>non significatives</w:t>
            </w:r>
            <w:r>
              <w:rPr>
                <w:rFonts w:ascii="Calibri" w:eastAsia="Calibri" w:hAnsi="Calibri" w:cs="Calibri"/>
                <w:sz w:val="20"/>
                <w:szCs w:val="20"/>
                <w:bdr w:val="nil"/>
                <w:lang w:val="fr-FR"/>
              </w:rPr>
              <w:t xml:space="preserve"> et les paiements versés par les entreprises sont accessibles en ligne sur le portail </w:t>
            </w:r>
            <w:hyperlink r:id="rId17" w:history="1">
              <w:r>
                <w:rPr>
                  <w:rFonts w:ascii="Calibri" w:eastAsia="Calibri" w:hAnsi="Calibri" w:cs="Calibri"/>
                  <w:color w:val="0000FF"/>
                  <w:sz w:val="20"/>
                  <w:szCs w:val="20"/>
                  <w:u w:val="single"/>
                  <w:bdr w:val="nil"/>
                  <w:lang w:val="fr-FR"/>
                </w:rPr>
                <w:t>www.budget.okmot.kg</w:t>
              </w:r>
            </w:hyperlink>
            <w:r w:rsidR="00F32E6E">
              <w:rPr>
                <w:rFonts w:ascii="Calibri" w:eastAsia="Calibri" w:hAnsi="Calibri" w:cs="Calibri"/>
                <w:sz w:val="20"/>
                <w:szCs w:val="20"/>
                <w:bdr w:val="nil"/>
                <w:lang w:val="fr-FR"/>
              </w:rPr>
              <w:t xml:space="preserve">. </w:t>
            </w:r>
            <w:r>
              <w:rPr>
                <w:rFonts w:ascii="Calibri" w:eastAsia="Calibri" w:hAnsi="Calibri" w:cs="Calibri"/>
                <w:sz w:val="20"/>
                <w:szCs w:val="20"/>
                <w:bdr w:val="nil"/>
                <w:lang w:val="fr-FR"/>
              </w:rPr>
              <w:t xml:space="preserve">Par conséquent, l’évaluation du Secrétariat international est que le Kirghizistan a accompli des progrès </w:t>
            </w:r>
            <w:r>
              <w:rPr>
                <w:rFonts w:ascii="Calibri" w:eastAsia="Calibri" w:hAnsi="Calibri" w:cs="Calibri"/>
                <w:b/>
                <w:bCs/>
                <w:sz w:val="20"/>
                <w:szCs w:val="20"/>
                <w:bdr w:val="nil"/>
                <w:lang w:val="fr-FR"/>
              </w:rPr>
              <w:t>SATISFAISANTS</w:t>
            </w:r>
            <w:r>
              <w:rPr>
                <w:rFonts w:ascii="Calibri" w:eastAsia="Calibri" w:hAnsi="Calibri" w:cs="Calibri"/>
                <w:sz w:val="20"/>
                <w:szCs w:val="20"/>
                <w:bdr w:val="nil"/>
                <w:lang w:val="fr-FR"/>
              </w:rPr>
              <w:t xml:space="preserve"> pour satisfaire à cette exigence. (p.</w:t>
            </w:r>
            <w:r w:rsidR="0069728A">
              <w:rPr>
                <w:rFonts w:ascii="Calibri" w:eastAsia="Calibri" w:hAnsi="Calibri" w:cs="Calibri"/>
                <w:sz w:val="20"/>
                <w:szCs w:val="20"/>
                <w:bdr w:val="nil"/>
                <w:lang w:val="fr-FR"/>
              </w:rPr>
              <w:t> </w:t>
            </w:r>
            <w:r>
              <w:rPr>
                <w:rFonts w:ascii="Calibri" w:eastAsia="Calibri" w:hAnsi="Calibri" w:cs="Calibri"/>
                <w:sz w:val="20"/>
                <w:szCs w:val="20"/>
                <w:bdr w:val="nil"/>
                <w:lang w:val="fr-FR"/>
              </w:rPr>
              <w:t>53)</w:t>
            </w:r>
          </w:p>
        </w:tc>
        <w:tc>
          <w:tcPr>
            <w:tcW w:w="2557" w:type="dxa"/>
          </w:tcPr>
          <w:p w14:paraId="6E7DA0B6" w14:textId="77777777" w:rsidR="00152FF5" w:rsidRPr="00063951" w:rsidRDefault="00152FF5" w:rsidP="00152FF5">
            <w:pPr>
              <w:tabs>
                <w:tab w:val="left" w:pos="11624"/>
                <w:tab w:val="left" w:pos="11907"/>
              </w:tabs>
              <w:spacing w:before="120" w:after="120" w:line="220" w:lineRule="exact"/>
              <w:contextualSpacing/>
              <w:rPr>
                <w:sz w:val="20"/>
                <w:szCs w:val="20"/>
              </w:rPr>
            </w:pPr>
            <w:r>
              <w:rPr>
                <w:rFonts w:ascii="Calibri" w:eastAsia="Calibri" w:hAnsi="Calibri" w:cs="Calibri"/>
                <w:sz w:val="20"/>
                <w:szCs w:val="20"/>
                <w:bdr w:val="nil"/>
                <w:lang w:val="fr-FR"/>
              </w:rPr>
              <w:lastRenderedPageBreak/>
              <w:t>Aucun.</w:t>
            </w:r>
          </w:p>
        </w:tc>
        <w:tc>
          <w:tcPr>
            <w:tcW w:w="2835" w:type="dxa"/>
          </w:tcPr>
          <w:p w14:paraId="648B698B" w14:textId="77777777" w:rsidR="00152FF5" w:rsidRPr="00962C19" w:rsidRDefault="00152FF5" w:rsidP="00152FF5">
            <w:pPr>
              <w:tabs>
                <w:tab w:val="left" w:pos="5580"/>
                <w:tab w:val="left" w:pos="11624"/>
                <w:tab w:val="left" w:pos="11907"/>
              </w:tabs>
              <w:spacing w:before="120" w:after="120" w:line="220" w:lineRule="exact"/>
              <w:contextualSpacing/>
              <w:rPr>
                <w:rFonts w:eastAsia="Calibri" w:cstheme="minorHAnsi"/>
                <w:sz w:val="20"/>
                <w:szCs w:val="20"/>
                <w:lang w:val="fr-FR" w:bidi="en-US"/>
              </w:rPr>
            </w:pPr>
            <w:r>
              <w:rPr>
                <w:rFonts w:ascii="Calibri" w:eastAsia="Calibri" w:hAnsi="Calibri" w:cs="Calibri"/>
                <w:sz w:val="20"/>
                <w:szCs w:val="20"/>
                <w:bdr w:val="nil"/>
                <w:lang w:val="fr-FR" w:bidi="en-US"/>
              </w:rPr>
              <w:t xml:space="preserve">Le Validateur est en désaccord avec l’évaluation du Secrétariat international et estime que le Kirghizistan a accompli des progrès </w:t>
            </w:r>
            <w:r>
              <w:rPr>
                <w:rFonts w:ascii="Calibri" w:eastAsia="Calibri" w:hAnsi="Calibri" w:cs="Calibri"/>
                <w:b/>
                <w:bCs/>
                <w:sz w:val="20"/>
                <w:szCs w:val="20"/>
                <w:bdr w:val="nil"/>
                <w:lang w:val="fr-FR" w:bidi="en-US"/>
              </w:rPr>
              <w:t>SIGNIFICATIFS</w:t>
            </w:r>
            <w:r w:rsidR="00962C19">
              <w:rPr>
                <w:rFonts w:ascii="Calibri" w:eastAsia="Calibri" w:hAnsi="Calibri" w:cs="Calibri"/>
                <w:sz w:val="20"/>
                <w:szCs w:val="20"/>
                <w:bdr w:val="nil"/>
                <w:lang w:val="fr-FR" w:bidi="en-US"/>
              </w:rPr>
              <w:t>. Le Validateur constate que « </w:t>
            </w:r>
            <w:r>
              <w:rPr>
                <w:rFonts w:ascii="Calibri" w:eastAsia="Calibri" w:hAnsi="Calibri" w:cs="Calibri"/>
                <w:sz w:val="20"/>
                <w:szCs w:val="20"/>
                <w:bdr w:val="nil"/>
                <w:lang w:val="fr-FR" w:bidi="en-US"/>
              </w:rPr>
              <w:t xml:space="preserve">selon l’évaluation initiale du </w:t>
            </w:r>
            <w:r>
              <w:rPr>
                <w:rFonts w:ascii="Calibri" w:eastAsia="Calibri" w:hAnsi="Calibri" w:cs="Calibri"/>
                <w:sz w:val="20"/>
                <w:szCs w:val="20"/>
                <w:bdr w:val="nil"/>
                <w:lang w:val="fr-FR" w:bidi="en-US"/>
              </w:rPr>
              <w:lastRenderedPageBreak/>
              <w:t xml:space="preserve">Secrétariat international, le Conseil de </w:t>
            </w:r>
            <w:r w:rsidR="007C474B">
              <w:rPr>
                <w:rFonts w:ascii="Calibri" w:eastAsia="Calibri" w:hAnsi="Calibri" w:cs="Calibri"/>
                <w:sz w:val="20"/>
                <w:szCs w:val="20"/>
                <w:bdr w:val="nil"/>
                <w:lang w:val="fr-FR" w:bidi="en-US"/>
              </w:rPr>
              <w:t>S</w:t>
            </w:r>
            <w:r>
              <w:rPr>
                <w:rFonts w:ascii="Calibri" w:eastAsia="Calibri" w:hAnsi="Calibri" w:cs="Calibri"/>
                <w:sz w:val="20"/>
                <w:szCs w:val="20"/>
                <w:bdr w:val="nil"/>
                <w:lang w:val="fr-FR" w:bidi="en-US"/>
              </w:rPr>
              <w:t>urveillance n’a pas documenté les options considérées ni les raisons de son choix concernant les définitions de la matérialité et des seuils de déclaration</w:t>
            </w:r>
            <w:r w:rsidR="00921573">
              <w:rPr>
                <w:rFonts w:ascii="Calibri" w:eastAsia="Calibri" w:hAnsi="Calibri" w:cs="Calibri"/>
                <w:sz w:val="20"/>
                <w:szCs w:val="20"/>
                <w:bdr w:val="nil"/>
                <w:lang w:val="fr-FR" w:bidi="en-US"/>
              </w:rPr>
              <w:t> </w:t>
            </w:r>
            <w:r>
              <w:rPr>
                <w:rFonts w:ascii="Calibri" w:eastAsia="Calibri" w:hAnsi="Calibri" w:cs="Calibri"/>
                <w:sz w:val="20"/>
                <w:szCs w:val="20"/>
                <w:bdr w:val="nil"/>
                <w:lang w:val="fr-FR" w:bidi="en-US"/>
              </w:rPr>
              <w:t xml:space="preserve">; en outre, le </w:t>
            </w:r>
            <w:r w:rsidR="00DB3121">
              <w:rPr>
                <w:rFonts w:ascii="Calibri" w:eastAsia="Calibri" w:hAnsi="Calibri" w:cs="Calibri"/>
                <w:sz w:val="20"/>
                <w:szCs w:val="20"/>
                <w:bdr w:val="nil"/>
                <w:lang w:val="fr-FR" w:bidi="en-US"/>
              </w:rPr>
              <w:t>R</w:t>
            </w:r>
            <w:r>
              <w:rPr>
                <w:rFonts w:ascii="Calibri" w:eastAsia="Calibri" w:hAnsi="Calibri" w:cs="Calibri"/>
                <w:sz w:val="20"/>
                <w:szCs w:val="20"/>
                <w:bdr w:val="nil"/>
                <w:lang w:val="fr-FR" w:bidi="en-US"/>
              </w:rPr>
              <w:t xml:space="preserve">apport ITIE 2013–14 ne contient pas de description de chaque paiement/flux de revenus ni ne divulgue la totalité des revenus perçus (significatifs et </w:t>
            </w:r>
            <w:r w:rsidR="005E1D4B">
              <w:rPr>
                <w:rFonts w:ascii="Calibri" w:eastAsia="Calibri" w:hAnsi="Calibri" w:cs="Calibri"/>
                <w:sz w:val="20"/>
                <w:szCs w:val="20"/>
                <w:bdr w:val="nil"/>
                <w:lang w:val="fr-FR" w:bidi="en-US"/>
              </w:rPr>
              <w:t>non significatifs</w:t>
            </w:r>
            <w:r>
              <w:rPr>
                <w:rFonts w:ascii="Calibri" w:eastAsia="Calibri" w:hAnsi="Calibri" w:cs="Calibri"/>
                <w:sz w:val="20"/>
                <w:szCs w:val="20"/>
                <w:bdr w:val="nil"/>
                <w:lang w:val="fr-FR" w:bidi="en-US"/>
              </w:rPr>
              <w:t>) pour chacun des paiem</w:t>
            </w:r>
            <w:r w:rsidR="00962C19">
              <w:rPr>
                <w:rFonts w:ascii="Calibri" w:eastAsia="Calibri" w:hAnsi="Calibri" w:cs="Calibri"/>
                <w:sz w:val="20"/>
                <w:szCs w:val="20"/>
                <w:bdr w:val="nil"/>
                <w:lang w:val="fr-FR" w:bidi="en-US"/>
              </w:rPr>
              <w:t xml:space="preserve">ents/flux de revenus convenus. </w:t>
            </w:r>
            <w:r>
              <w:rPr>
                <w:rFonts w:ascii="Calibri" w:eastAsia="Calibri" w:hAnsi="Calibri" w:cs="Calibri"/>
                <w:sz w:val="20"/>
                <w:szCs w:val="20"/>
                <w:bdr w:val="nil"/>
                <w:lang w:val="fr-FR" w:bidi="en-US"/>
              </w:rPr>
              <w:t>Les questions relatives à la déclaration des transactions des entreprises d’État, qui conformément à la disposition 4.1 doivent être inclu</w:t>
            </w:r>
            <w:r w:rsidR="00921573">
              <w:rPr>
                <w:rFonts w:ascii="Calibri" w:eastAsia="Calibri" w:hAnsi="Calibri" w:cs="Calibri"/>
                <w:sz w:val="20"/>
                <w:szCs w:val="20"/>
                <w:bdr w:val="nil"/>
                <w:lang w:val="fr-FR" w:bidi="en-US"/>
              </w:rPr>
              <w:t>se</w:t>
            </w:r>
            <w:r>
              <w:rPr>
                <w:rFonts w:ascii="Calibri" w:eastAsia="Calibri" w:hAnsi="Calibri" w:cs="Calibri"/>
                <w:sz w:val="20"/>
                <w:szCs w:val="20"/>
                <w:bdr w:val="nil"/>
                <w:lang w:val="fr-FR" w:bidi="en-US"/>
              </w:rPr>
              <w:t>s dans la réconciliation exhaustive, sont abordées dans l’évaluation initiale du Secrétariat international de la disposition 4.5. (p.</w:t>
            </w:r>
            <w:r w:rsidR="00EF4377">
              <w:rPr>
                <w:rFonts w:ascii="Calibri" w:eastAsia="Calibri" w:hAnsi="Calibri" w:cs="Calibri"/>
                <w:sz w:val="20"/>
                <w:szCs w:val="20"/>
                <w:bdr w:val="nil"/>
                <w:lang w:val="fr-FR" w:bidi="en-US"/>
              </w:rPr>
              <w:t> </w:t>
            </w:r>
            <w:r>
              <w:rPr>
                <w:rFonts w:ascii="Calibri" w:eastAsia="Calibri" w:hAnsi="Calibri" w:cs="Calibri"/>
                <w:sz w:val="20"/>
                <w:szCs w:val="20"/>
                <w:bdr w:val="nil"/>
                <w:lang w:val="fr-FR" w:bidi="en-US"/>
              </w:rPr>
              <w:t>5).</w:t>
            </w:r>
          </w:p>
          <w:p w14:paraId="535CDAFA" w14:textId="77777777" w:rsidR="00152FF5" w:rsidRPr="00962C19" w:rsidRDefault="00152FF5" w:rsidP="00152FF5">
            <w:pPr>
              <w:tabs>
                <w:tab w:val="left" w:pos="5580"/>
                <w:tab w:val="left" w:pos="11624"/>
                <w:tab w:val="left" w:pos="11907"/>
              </w:tabs>
              <w:spacing w:before="120" w:after="120" w:line="220" w:lineRule="exact"/>
              <w:contextualSpacing/>
              <w:rPr>
                <w:rFonts w:cstheme="minorHAnsi"/>
                <w:b/>
                <w:sz w:val="20"/>
                <w:szCs w:val="20"/>
                <w:lang w:val="fr-FR"/>
              </w:rPr>
            </w:pPr>
          </w:p>
        </w:tc>
        <w:tc>
          <w:tcPr>
            <w:tcW w:w="2410" w:type="dxa"/>
          </w:tcPr>
          <w:p w14:paraId="2C498EB9" w14:textId="77777777" w:rsidR="00152FF5" w:rsidRPr="00962C19" w:rsidRDefault="00152FF5" w:rsidP="00152FF5">
            <w:pPr>
              <w:tabs>
                <w:tab w:val="left" w:pos="11624"/>
                <w:tab w:val="left" w:pos="11907"/>
              </w:tabs>
              <w:spacing w:before="120" w:after="120" w:line="220" w:lineRule="exact"/>
              <w:contextualSpacing/>
              <w:rPr>
                <w:bCs/>
                <w:sz w:val="20"/>
                <w:szCs w:val="20"/>
                <w:lang w:val="fr-FR"/>
              </w:rPr>
            </w:pPr>
            <w:r>
              <w:rPr>
                <w:rFonts w:ascii="Calibri" w:eastAsia="Calibri" w:hAnsi="Calibri" w:cs="Calibri"/>
                <w:bCs/>
                <w:sz w:val="20"/>
                <w:szCs w:val="20"/>
                <w:bdr w:val="nil"/>
                <w:lang w:val="fr-FR"/>
              </w:rPr>
              <w:lastRenderedPageBreak/>
              <w:t xml:space="preserve">Les membres du Conseil de </w:t>
            </w:r>
            <w:r w:rsidR="00DC3B85">
              <w:rPr>
                <w:rFonts w:ascii="Calibri" w:eastAsia="Calibri" w:hAnsi="Calibri" w:cs="Calibri"/>
                <w:bCs/>
                <w:sz w:val="20"/>
                <w:szCs w:val="20"/>
                <w:bdr w:val="nil"/>
                <w:lang w:val="fr-FR"/>
              </w:rPr>
              <w:t>S</w:t>
            </w:r>
            <w:r>
              <w:rPr>
                <w:rFonts w:ascii="Calibri" w:eastAsia="Calibri" w:hAnsi="Calibri" w:cs="Calibri"/>
                <w:bCs/>
                <w:sz w:val="20"/>
                <w:szCs w:val="20"/>
                <w:bdr w:val="nil"/>
                <w:lang w:val="fr-FR"/>
              </w:rPr>
              <w:t xml:space="preserve">urveillance sont en désaccord avec le Validateur et renvoient au procès-verbal de leur réunion du 9 décembre 2014 qui documente la </w:t>
            </w:r>
            <w:r>
              <w:rPr>
                <w:rFonts w:ascii="Calibri" w:eastAsia="Calibri" w:hAnsi="Calibri" w:cs="Calibri"/>
                <w:bCs/>
                <w:sz w:val="20"/>
                <w:szCs w:val="20"/>
                <w:bdr w:val="nil"/>
                <w:lang w:val="fr-FR"/>
              </w:rPr>
              <w:lastRenderedPageBreak/>
              <w:t xml:space="preserve">discussion ayant mené à la définition d’un seuil </w:t>
            </w:r>
            <w:r w:rsidR="00DC3B85">
              <w:rPr>
                <w:rFonts w:ascii="Calibri" w:eastAsia="Calibri" w:hAnsi="Calibri" w:cs="Calibri"/>
                <w:bCs/>
                <w:sz w:val="20"/>
                <w:szCs w:val="20"/>
                <w:bdr w:val="nil"/>
                <w:lang w:val="fr-FR"/>
              </w:rPr>
              <w:t>d</w:t>
            </w:r>
            <w:r>
              <w:rPr>
                <w:rFonts w:ascii="Calibri" w:eastAsia="Calibri" w:hAnsi="Calibri" w:cs="Calibri"/>
                <w:bCs/>
                <w:sz w:val="20"/>
                <w:szCs w:val="20"/>
                <w:bdr w:val="nil"/>
                <w:lang w:val="fr-FR"/>
              </w:rPr>
              <w:t>e</w:t>
            </w:r>
            <w:r w:rsidR="00DC3B85">
              <w:rPr>
                <w:rFonts w:ascii="Calibri" w:eastAsia="Calibri" w:hAnsi="Calibri" w:cs="Calibri"/>
                <w:bCs/>
                <w:sz w:val="20"/>
                <w:szCs w:val="20"/>
                <w:bdr w:val="nil"/>
                <w:lang w:val="fr-FR"/>
              </w:rPr>
              <w:t xml:space="preserve"> matérialité</w:t>
            </w:r>
            <w:r>
              <w:rPr>
                <w:rFonts w:ascii="Calibri" w:eastAsia="Calibri" w:hAnsi="Calibri" w:cs="Calibri"/>
                <w:bCs/>
                <w:sz w:val="20"/>
                <w:szCs w:val="20"/>
                <w:bdr w:val="nil"/>
                <w:lang w:val="fr-FR"/>
              </w:rPr>
              <w:t xml:space="preserve">. Ils renvoient également aux documents listés dans le </w:t>
            </w:r>
            <w:r w:rsidR="00962C19">
              <w:rPr>
                <w:rFonts w:ascii="Calibri" w:eastAsia="Calibri" w:hAnsi="Calibri" w:cs="Calibri"/>
                <w:bCs/>
                <w:sz w:val="20"/>
                <w:szCs w:val="20"/>
                <w:bdr w:val="nil"/>
                <w:lang w:val="fr-FR"/>
              </w:rPr>
              <w:t>rapport d</w:t>
            </w:r>
            <w:r>
              <w:rPr>
                <w:rFonts w:ascii="Calibri" w:eastAsia="Calibri" w:hAnsi="Calibri" w:cs="Calibri"/>
                <w:bCs/>
                <w:sz w:val="20"/>
                <w:szCs w:val="20"/>
                <w:bdr w:val="nil"/>
                <w:lang w:val="fr-FR"/>
              </w:rPr>
              <w:t>’</w:t>
            </w:r>
            <w:r w:rsidR="00962C19">
              <w:rPr>
                <w:rFonts w:ascii="Calibri" w:eastAsia="Calibri" w:hAnsi="Calibri" w:cs="Calibri"/>
                <w:bCs/>
                <w:sz w:val="20"/>
                <w:szCs w:val="20"/>
                <w:bdr w:val="nil"/>
                <w:lang w:val="fr-FR"/>
              </w:rPr>
              <w:t>évaluation initiale. « </w:t>
            </w:r>
            <w:r w:rsidR="001B4851">
              <w:rPr>
                <w:rFonts w:ascii="Calibri" w:eastAsia="Calibri" w:hAnsi="Calibri" w:cs="Calibri"/>
                <w:bCs/>
                <w:sz w:val="20"/>
                <w:szCs w:val="20"/>
                <w:bdr w:val="nil"/>
                <w:lang w:val="fr-FR"/>
              </w:rPr>
              <w:t>Pour ce qui concerne</w:t>
            </w:r>
            <w:r>
              <w:rPr>
                <w:rFonts w:ascii="Calibri" w:eastAsia="Calibri" w:hAnsi="Calibri" w:cs="Calibri"/>
                <w:bCs/>
                <w:sz w:val="20"/>
                <w:szCs w:val="20"/>
                <w:bdr w:val="nil"/>
                <w:lang w:val="fr-FR"/>
              </w:rPr>
              <w:t xml:space="preserve"> les informations contenues dans le rapport d’évaluation initiale, nous estimons que le Conseil de </w:t>
            </w:r>
            <w:r w:rsidR="001B4851">
              <w:rPr>
                <w:rFonts w:ascii="Calibri" w:eastAsia="Calibri" w:hAnsi="Calibri" w:cs="Calibri"/>
                <w:bCs/>
                <w:sz w:val="20"/>
                <w:szCs w:val="20"/>
                <w:bdr w:val="nil"/>
                <w:lang w:val="fr-FR"/>
              </w:rPr>
              <w:t>S</w:t>
            </w:r>
            <w:r>
              <w:rPr>
                <w:rFonts w:ascii="Calibri" w:eastAsia="Calibri" w:hAnsi="Calibri" w:cs="Calibri"/>
                <w:bCs/>
                <w:sz w:val="20"/>
                <w:szCs w:val="20"/>
                <w:bdr w:val="nil"/>
                <w:lang w:val="fr-FR"/>
              </w:rPr>
              <w:t>urveillance a suffisamment de raisons justifiant l’utilisation de seuils de</w:t>
            </w:r>
            <w:r w:rsidR="001B4851">
              <w:rPr>
                <w:rFonts w:ascii="Calibri" w:eastAsia="Calibri" w:hAnsi="Calibri" w:cs="Calibri"/>
                <w:bCs/>
                <w:sz w:val="20"/>
                <w:szCs w:val="20"/>
                <w:bdr w:val="nil"/>
                <w:lang w:val="fr-FR"/>
              </w:rPr>
              <w:t xml:space="preserve"> matérialité</w:t>
            </w:r>
            <w:r>
              <w:rPr>
                <w:rFonts w:ascii="Calibri" w:eastAsia="Calibri" w:hAnsi="Calibri" w:cs="Calibri"/>
                <w:bCs/>
                <w:sz w:val="20"/>
                <w:szCs w:val="20"/>
                <w:bdr w:val="nil"/>
                <w:lang w:val="fr-FR"/>
              </w:rPr>
              <w:t xml:space="preserve"> (</w:t>
            </w:r>
            <w:r w:rsidR="001B4851">
              <w:rPr>
                <w:rFonts w:ascii="Calibri" w:eastAsia="Calibri" w:hAnsi="Calibri" w:cs="Calibri"/>
                <w:bCs/>
                <w:sz w:val="20"/>
                <w:szCs w:val="20"/>
                <w:bdr w:val="nil"/>
                <w:lang w:val="fr-FR"/>
              </w:rPr>
              <w:t>R</w:t>
            </w:r>
            <w:r>
              <w:rPr>
                <w:rFonts w:ascii="Calibri" w:eastAsia="Calibri" w:hAnsi="Calibri" w:cs="Calibri"/>
                <w:bCs/>
                <w:sz w:val="20"/>
                <w:szCs w:val="20"/>
                <w:bdr w:val="nil"/>
                <w:lang w:val="fr-FR"/>
              </w:rPr>
              <w:t>ésolution du gouvernement, procès-verbal de la réunion du Conseil</w:t>
            </w:r>
            <w:r w:rsidR="00962C19">
              <w:rPr>
                <w:rFonts w:ascii="Calibri" w:eastAsia="Calibri" w:hAnsi="Calibri" w:cs="Calibri"/>
                <w:bCs/>
                <w:sz w:val="20"/>
                <w:szCs w:val="20"/>
                <w:bdr w:val="nil"/>
                <w:lang w:val="fr-FR"/>
              </w:rPr>
              <w:t xml:space="preserve"> de </w:t>
            </w:r>
            <w:r w:rsidR="001B4851">
              <w:rPr>
                <w:rFonts w:ascii="Calibri" w:eastAsia="Calibri" w:hAnsi="Calibri" w:cs="Calibri"/>
                <w:bCs/>
                <w:sz w:val="20"/>
                <w:szCs w:val="20"/>
                <w:bdr w:val="nil"/>
                <w:lang w:val="fr-FR"/>
              </w:rPr>
              <w:t>S</w:t>
            </w:r>
            <w:r w:rsidR="00962C19">
              <w:rPr>
                <w:rFonts w:ascii="Calibri" w:eastAsia="Calibri" w:hAnsi="Calibri" w:cs="Calibri"/>
                <w:bCs/>
                <w:sz w:val="20"/>
                <w:szCs w:val="20"/>
                <w:bdr w:val="nil"/>
                <w:lang w:val="fr-FR"/>
              </w:rPr>
              <w:t>urveillance n°</w:t>
            </w:r>
            <w:r w:rsidR="00F36882">
              <w:rPr>
                <w:rFonts w:ascii="Calibri" w:eastAsia="Calibri" w:hAnsi="Calibri" w:cs="Calibri"/>
                <w:bCs/>
                <w:sz w:val="20"/>
                <w:szCs w:val="20"/>
                <w:bdr w:val="nil"/>
                <w:lang w:val="fr-FR"/>
              </w:rPr>
              <w:t> </w:t>
            </w:r>
            <w:r w:rsidR="00962C19">
              <w:rPr>
                <w:rFonts w:ascii="Calibri" w:eastAsia="Calibri" w:hAnsi="Calibri" w:cs="Calibri"/>
                <w:bCs/>
                <w:sz w:val="20"/>
                <w:szCs w:val="20"/>
                <w:bdr w:val="nil"/>
                <w:lang w:val="fr-FR"/>
              </w:rPr>
              <w:t>14, 21). Le « </w:t>
            </w:r>
            <w:r>
              <w:rPr>
                <w:rFonts w:ascii="Calibri" w:eastAsia="Calibri" w:hAnsi="Calibri" w:cs="Calibri"/>
                <w:bCs/>
                <w:sz w:val="20"/>
                <w:szCs w:val="20"/>
                <w:bdr w:val="nil"/>
                <w:lang w:val="fr-FR"/>
              </w:rPr>
              <w:t>critère</w:t>
            </w:r>
            <w:r w:rsidR="00962C19">
              <w:rPr>
                <w:rFonts w:ascii="Calibri" w:eastAsia="Calibri" w:hAnsi="Calibri" w:cs="Calibri"/>
                <w:bCs/>
                <w:sz w:val="20"/>
                <w:szCs w:val="20"/>
                <w:bdr w:val="nil"/>
                <w:lang w:val="fr-FR"/>
              </w:rPr>
              <w:t> »</w:t>
            </w:r>
            <w:r>
              <w:rPr>
                <w:rFonts w:ascii="Calibri" w:eastAsia="Calibri" w:hAnsi="Calibri" w:cs="Calibri"/>
                <w:bCs/>
                <w:sz w:val="20"/>
                <w:szCs w:val="20"/>
                <w:bdr w:val="nil"/>
                <w:lang w:val="fr-FR"/>
              </w:rPr>
              <w:t xml:space="preserve"> auquel le rapport d’évaluation initiale fait référence ne figure pas dans les </w:t>
            </w:r>
            <w:r w:rsidR="00D13685">
              <w:rPr>
                <w:rFonts w:ascii="Calibri" w:eastAsia="Calibri" w:hAnsi="Calibri" w:cs="Calibri"/>
                <w:bCs/>
                <w:sz w:val="20"/>
                <w:szCs w:val="20"/>
                <w:bdr w:val="nil"/>
                <w:lang w:val="fr-FR"/>
              </w:rPr>
              <w:t>E</w:t>
            </w:r>
            <w:r>
              <w:rPr>
                <w:rFonts w:ascii="Calibri" w:eastAsia="Calibri" w:hAnsi="Calibri" w:cs="Calibri"/>
                <w:bCs/>
                <w:sz w:val="20"/>
                <w:szCs w:val="20"/>
                <w:bdr w:val="nil"/>
                <w:lang w:val="fr-FR"/>
              </w:rPr>
              <w:t>xigences de l’ITIE.</w:t>
            </w:r>
            <w:r w:rsidR="00962C19">
              <w:rPr>
                <w:rFonts w:ascii="Calibri" w:eastAsia="Calibri" w:hAnsi="Calibri" w:cs="Calibri"/>
                <w:bCs/>
                <w:sz w:val="20"/>
                <w:szCs w:val="20"/>
                <w:bdr w:val="nil"/>
                <w:lang w:val="fr-FR"/>
              </w:rPr>
              <w:t> »</w:t>
            </w:r>
          </w:p>
          <w:p w14:paraId="1CF52A3F" w14:textId="77777777" w:rsidR="00152FF5" w:rsidRPr="00962C19" w:rsidRDefault="00152FF5" w:rsidP="00152FF5">
            <w:pPr>
              <w:tabs>
                <w:tab w:val="left" w:pos="11624"/>
                <w:tab w:val="left" w:pos="11907"/>
              </w:tabs>
              <w:spacing w:before="120" w:after="120" w:line="220" w:lineRule="exact"/>
              <w:contextualSpacing/>
              <w:rPr>
                <w:bCs/>
                <w:sz w:val="20"/>
                <w:szCs w:val="20"/>
                <w:lang w:val="fr-FR"/>
              </w:rPr>
            </w:pPr>
            <w:r>
              <w:rPr>
                <w:rFonts w:ascii="Calibri" w:eastAsia="Calibri" w:hAnsi="Calibri" w:cs="Calibri"/>
                <w:bCs/>
                <w:sz w:val="20"/>
                <w:szCs w:val="20"/>
                <w:bdr w:val="nil"/>
                <w:lang w:val="fr-FR"/>
              </w:rPr>
              <w:t xml:space="preserve">L’Administrateur </w:t>
            </w:r>
            <w:r w:rsidR="003C7CF5">
              <w:rPr>
                <w:rFonts w:ascii="Calibri" w:eastAsia="Calibri" w:hAnsi="Calibri" w:cs="Calibri"/>
                <w:bCs/>
                <w:sz w:val="20"/>
                <w:szCs w:val="20"/>
                <w:bdr w:val="nil"/>
                <w:lang w:val="fr-FR"/>
              </w:rPr>
              <w:t>I</w:t>
            </w:r>
            <w:r>
              <w:rPr>
                <w:rFonts w:ascii="Calibri" w:eastAsia="Calibri" w:hAnsi="Calibri" w:cs="Calibri"/>
                <w:bCs/>
                <w:sz w:val="20"/>
                <w:szCs w:val="20"/>
                <w:bdr w:val="nil"/>
                <w:lang w:val="fr-FR"/>
              </w:rPr>
              <w:t xml:space="preserve">ndépendant impliqué dans la publication du </w:t>
            </w:r>
            <w:r w:rsidR="003C7CF5">
              <w:rPr>
                <w:rFonts w:ascii="Calibri" w:eastAsia="Calibri" w:hAnsi="Calibri" w:cs="Calibri"/>
                <w:bCs/>
                <w:sz w:val="20"/>
                <w:szCs w:val="20"/>
                <w:bdr w:val="nil"/>
                <w:lang w:val="fr-FR"/>
              </w:rPr>
              <w:t>R</w:t>
            </w:r>
            <w:r>
              <w:rPr>
                <w:rFonts w:ascii="Calibri" w:eastAsia="Calibri" w:hAnsi="Calibri" w:cs="Calibri"/>
                <w:bCs/>
                <w:sz w:val="20"/>
                <w:szCs w:val="20"/>
                <w:bdr w:val="nil"/>
                <w:lang w:val="fr-FR"/>
              </w:rPr>
              <w:t xml:space="preserve">apport 2013-2014 était également en désaccord avec le Validateur, </w:t>
            </w:r>
            <w:r w:rsidR="003C7CF5">
              <w:rPr>
                <w:rFonts w:ascii="Calibri" w:eastAsia="Calibri" w:hAnsi="Calibri" w:cs="Calibri"/>
                <w:bCs/>
                <w:sz w:val="20"/>
                <w:szCs w:val="20"/>
                <w:bdr w:val="nil"/>
                <w:lang w:val="fr-FR"/>
              </w:rPr>
              <w:t>en faisant ressortir</w:t>
            </w:r>
            <w:r>
              <w:rPr>
                <w:rFonts w:ascii="Calibri" w:eastAsia="Calibri" w:hAnsi="Calibri" w:cs="Calibri"/>
                <w:bCs/>
                <w:sz w:val="20"/>
                <w:szCs w:val="20"/>
                <w:bdr w:val="nil"/>
                <w:lang w:val="fr-FR"/>
              </w:rPr>
              <w:t xml:space="preserve"> que le rapport explique pourquoi un certain nombre d’entreprises n’ont pas fait leur déclaration. </w:t>
            </w:r>
            <w:r w:rsidR="00962C19">
              <w:rPr>
                <w:rFonts w:ascii="Calibri" w:eastAsia="Calibri" w:hAnsi="Calibri" w:cs="Calibri"/>
                <w:bCs/>
                <w:sz w:val="20"/>
                <w:szCs w:val="20"/>
                <w:bdr w:val="nil"/>
                <w:lang w:val="fr-FR"/>
              </w:rPr>
              <w:t xml:space="preserve">Le </w:t>
            </w:r>
            <w:r w:rsidR="00962C19">
              <w:rPr>
                <w:rFonts w:ascii="Calibri" w:eastAsia="Calibri" w:hAnsi="Calibri" w:cs="Calibri"/>
                <w:bCs/>
                <w:sz w:val="20"/>
                <w:szCs w:val="20"/>
                <w:bdr w:val="nil"/>
                <w:lang w:val="fr-FR"/>
              </w:rPr>
              <w:lastRenderedPageBreak/>
              <w:t>rapport affirme que</w:t>
            </w:r>
            <w:r w:rsidR="00921573">
              <w:rPr>
                <w:rFonts w:ascii="Calibri" w:eastAsia="Calibri" w:hAnsi="Calibri" w:cs="Calibri"/>
                <w:bCs/>
                <w:sz w:val="20"/>
                <w:szCs w:val="20"/>
                <w:bdr w:val="nil"/>
                <w:lang w:val="fr-FR"/>
              </w:rPr>
              <w:t> </w:t>
            </w:r>
            <w:r w:rsidR="00962C19">
              <w:rPr>
                <w:rFonts w:ascii="Calibri" w:eastAsia="Calibri" w:hAnsi="Calibri" w:cs="Calibri"/>
                <w:bCs/>
                <w:sz w:val="20"/>
                <w:szCs w:val="20"/>
                <w:bdr w:val="nil"/>
                <w:lang w:val="fr-FR"/>
              </w:rPr>
              <w:t>: « </w:t>
            </w:r>
            <w:r>
              <w:rPr>
                <w:rFonts w:ascii="Calibri" w:eastAsia="Calibri" w:hAnsi="Calibri" w:cs="Calibri"/>
                <w:bCs/>
                <w:sz w:val="20"/>
                <w:szCs w:val="20"/>
                <w:bdr w:val="nil"/>
                <w:lang w:val="fr-FR"/>
              </w:rPr>
              <w:t>89 entreprises ont</w:t>
            </w:r>
            <w:r w:rsidR="00962C19">
              <w:rPr>
                <w:rFonts w:ascii="Calibri" w:eastAsia="Calibri" w:hAnsi="Calibri" w:cs="Calibri"/>
                <w:bCs/>
                <w:sz w:val="20"/>
                <w:szCs w:val="20"/>
                <w:bdr w:val="nil"/>
                <w:lang w:val="fr-FR"/>
              </w:rPr>
              <w:t xml:space="preserve"> soumis leurs données pour 2014 » et </w:t>
            </w:r>
            <w:r w:rsidR="003C7CF5">
              <w:rPr>
                <w:rFonts w:ascii="Calibri" w:eastAsia="Calibri" w:hAnsi="Calibri" w:cs="Calibri"/>
                <w:bCs/>
                <w:sz w:val="20"/>
                <w:szCs w:val="20"/>
                <w:bdr w:val="nil"/>
                <w:lang w:val="fr-FR"/>
              </w:rPr>
              <w:t xml:space="preserve">fait </w:t>
            </w:r>
            <w:r w:rsidR="00962C19">
              <w:rPr>
                <w:rFonts w:ascii="Calibri" w:eastAsia="Calibri" w:hAnsi="Calibri" w:cs="Calibri"/>
                <w:bCs/>
                <w:sz w:val="20"/>
                <w:szCs w:val="20"/>
                <w:bdr w:val="nil"/>
                <w:lang w:val="fr-FR"/>
              </w:rPr>
              <w:t>remarque</w:t>
            </w:r>
            <w:r w:rsidR="003C7CF5">
              <w:rPr>
                <w:rFonts w:ascii="Calibri" w:eastAsia="Calibri" w:hAnsi="Calibri" w:cs="Calibri"/>
                <w:bCs/>
                <w:sz w:val="20"/>
                <w:szCs w:val="20"/>
                <w:bdr w:val="nil"/>
                <w:lang w:val="fr-FR"/>
              </w:rPr>
              <w:t>r</w:t>
            </w:r>
            <w:r w:rsidR="00962C19">
              <w:rPr>
                <w:rFonts w:ascii="Calibri" w:eastAsia="Calibri" w:hAnsi="Calibri" w:cs="Calibri"/>
                <w:bCs/>
                <w:sz w:val="20"/>
                <w:szCs w:val="20"/>
                <w:bdr w:val="nil"/>
                <w:lang w:val="fr-FR"/>
              </w:rPr>
              <w:t xml:space="preserve"> que « (</w:t>
            </w:r>
            <w:r>
              <w:rPr>
                <w:rFonts w:ascii="Calibri" w:eastAsia="Calibri" w:hAnsi="Calibri" w:cs="Calibri"/>
                <w:bCs/>
                <w:sz w:val="20"/>
                <w:szCs w:val="20"/>
                <w:bdr w:val="nil"/>
                <w:lang w:val="fr-FR"/>
              </w:rPr>
              <w:t>...</w:t>
            </w:r>
            <w:r w:rsidR="00962C19">
              <w:rPr>
                <w:rFonts w:ascii="Calibri" w:eastAsia="Calibri" w:hAnsi="Calibri" w:cs="Calibri"/>
                <w:bCs/>
                <w:sz w:val="20"/>
                <w:szCs w:val="20"/>
                <w:bdr w:val="nil"/>
                <w:lang w:val="fr-FR"/>
              </w:rPr>
              <w:t>)</w:t>
            </w:r>
            <w:r>
              <w:rPr>
                <w:rFonts w:ascii="Calibri" w:eastAsia="Calibri" w:hAnsi="Calibri" w:cs="Calibri"/>
                <w:bCs/>
                <w:sz w:val="20"/>
                <w:szCs w:val="20"/>
                <w:bdr w:val="nil"/>
                <w:lang w:val="fr-FR"/>
              </w:rPr>
              <w:t xml:space="preserve"> ce</w:t>
            </w:r>
            <w:r w:rsidR="00D84870">
              <w:rPr>
                <w:rFonts w:ascii="Calibri" w:eastAsia="Calibri" w:hAnsi="Calibri" w:cs="Calibri"/>
                <w:bCs/>
                <w:sz w:val="20"/>
                <w:szCs w:val="20"/>
                <w:bdr w:val="nil"/>
                <w:lang w:val="fr-FR"/>
              </w:rPr>
              <w:t xml:space="preserve"> nombre comprend</w:t>
            </w:r>
            <w:r>
              <w:rPr>
                <w:rFonts w:ascii="Calibri" w:eastAsia="Calibri" w:hAnsi="Calibri" w:cs="Calibri"/>
                <w:bCs/>
                <w:sz w:val="20"/>
                <w:szCs w:val="20"/>
                <w:bdr w:val="nil"/>
                <w:lang w:val="fr-FR"/>
              </w:rPr>
              <w:t xml:space="preserve"> néanmoins l’ensemble des principau</w:t>
            </w:r>
            <w:r w:rsidR="00962C19">
              <w:rPr>
                <w:rFonts w:ascii="Calibri" w:eastAsia="Calibri" w:hAnsi="Calibri" w:cs="Calibri"/>
                <w:bCs/>
                <w:sz w:val="20"/>
                <w:szCs w:val="20"/>
                <w:bdr w:val="nil"/>
                <w:lang w:val="fr-FR"/>
              </w:rPr>
              <w:t>x contribuables du Kirghizistan</w:t>
            </w:r>
            <w:r>
              <w:rPr>
                <w:rFonts w:ascii="Calibri" w:eastAsia="Calibri" w:hAnsi="Calibri" w:cs="Calibri"/>
                <w:bCs/>
                <w:sz w:val="20"/>
                <w:szCs w:val="20"/>
                <w:bdr w:val="nil"/>
                <w:lang w:val="fr-FR"/>
              </w:rPr>
              <w:t>.</w:t>
            </w:r>
            <w:r w:rsidR="00962C19">
              <w:rPr>
                <w:rFonts w:ascii="Calibri" w:eastAsia="Calibri" w:hAnsi="Calibri" w:cs="Calibri"/>
                <w:bCs/>
                <w:sz w:val="20"/>
                <w:szCs w:val="20"/>
                <w:bdr w:val="nil"/>
                <w:lang w:val="fr-FR"/>
              </w:rPr>
              <w:t> »</w:t>
            </w:r>
          </w:p>
        </w:tc>
        <w:tc>
          <w:tcPr>
            <w:tcW w:w="1701" w:type="dxa"/>
          </w:tcPr>
          <w:p w14:paraId="046280F7" w14:textId="77777777" w:rsidR="00152FF5" w:rsidRPr="00962C19" w:rsidRDefault="00152FF5" w:rsidP="00152FF5">
            <w:pPr>
              <w:autoSpaceDE w:val="0"/>
              <w:autoSpaceDN w:val="0"/>
              <w:adjustRightInd w:val="0"/>
              <w:spacing w:before="120" w:after="120" w:line="220" w:lineRule="exact"/>
              <w:contextualSpacing/>
              <w:rPr>
                <w:sz w:val="20"/>
                <w:szCs w:val="20"/>
                <w:lang w:val="fr-FR"/>
              </w:rPr>
            </w:pPr>
            <w:r>
              <w:rPr>
                <w:rFonts w:ascii="Calibri" w:eastAsia="Calibri" w:hAnsi="Calibri" w:cs="Calibri"/>
                <w:sz w:val="20"/>
                <w:szCs w:val="20"/>
                <w:bdr w:val="nil"/>
                <w:lang w:val="fr-FR"/>
              </w:rPr>
              <w:lastRenderedPageBreak/>
              <w:t>Le Comité doit émettre une recommandation sur l’évaluation du Conseil d’administration de l’</w:t>
            </w:r>
            <w:r w:rsidR="00D13685">
              <w:rPr>
                <w:rFonts w:ascii="Calibri" w:eastAsia="Calibri" w:hAnsi="Calibri" w:cs="Calibri"/>
                <w:sz w:val="20"/>
                <w:szCs w:val="20"/>
                <w:bdr w:val="nil"/>
                <w:lang w:val="fr-FR"/>
              </w:rPr>
              <w:t>E</w:t>
            </w:r>
            <w:r>
              <w:rPr>
                <w:rFonts w:ascii="Calibri" w:eastAsia="Calibri" w:hAnsi="Calibri" w:cs="Calibri"/>
                <w:sz w:val="20"/>
                <w:szCs w:val="20"/>
                <w:bdr w:val="nil"/>
                <w:lang w:val="fr-FR"/>
              </w:rPr>
              <w:t>xigence 4.1</w:t>
            </w:r>
            <w:r w:rsidR="00962C19">
              <w:rPr>
                <w:rFonts w:ascii="Calibri" w:eastAsia="Calibri" w:hAnsi="Calibri" w:cs="Calibri"/>
                <w:sz w:val="20"/>
                <w:szCs w:val="20"/>
                <w:bdr w:val="nil"/>
                <w:lang w:val="fr-FR"/>
              </w:rPr>
              <w:t xml:space="preserve">, </w:t>
            </w:r>
            <w:r w:rsidR="00962C19">
              <w:rPr>
                <w:rFonts w:ascii="Calibri" w:eastAsia="Calibri" w:hAnsi="Calibri" w:cs="Calibri"/>
                <w:sz w:val="20"/>
                <w:szCs w:val="20"/>
                <w:bdr w:val="nil"/>
                <w:lang w:val="fr-FR"/>
              </w:rPr>
              <w:lastRenderedPageBreak/>
              <w:t>à savoir si les progrès sont « significatifs » ou « </w:t>
            </w:r>
            <w:r>
              <w:rPr>
                <w:rFonts w:ascii="Calibri" w:eastAsia="Calibri" w:hAnsi="Calibri" w:cs="Calibri"/>
                <w:sz w:val="20"/>
                <w:szCs w:val="20"/>
                <w:bdr w:val="nil"/>
                <w:lang w:val="fr-FR"/>
              </w:rPr>
              <w:t>satisfaisants</w:t>
            </w:r>
            <w:r w:rsidR="00962C19">
              <w:rPr>
                <w:rFonts w:ascii="Calibri" w:eastAsia="Calibri" w:hAnsi="Calibri" w:cs="Calibri"/>
                <w:sz w:val="20"/>
                <w:szCs w:val="20"/>
                <w:bdr w:val="nil"/>
                <w:lang w:val="fr-FR"/>
              </w:rPr>
              <w:t> »</w:t>
            </w:r>
            <w:r>
              <w:rPr>
                <w:rFonts w:ascii="Calibri" w:eastAsia="Calibri" w:hAnsi="Calibri" w:cs="Calibri"/>
                <w:sz w:val="20"/>
                <w:szCs w:val="20"/>
                <w:bdr w:val="nil"/>
                <w:lang w:val="fr-FR"/>
              </w:rPr>
              <w:t xml:space="preserve">.  </w:t>
            </w:r>
          </w:p>
          <w:p w14:paraId="51FA418C" w14:textId="77777777" w:rsidR="00152FF5" w:rsidRPr="00962C19" w:rsidRDefault="00152FF5" w:rsidP="00152FF5">
            <w:pPr>
              <w:spacing w:before="120" w:after="120" w:line="220" w:lineRule="exact"/>
              <w:contextualSpacing/>
              <w:rPr>
                <w:sz w:val="20"/>
                <w:szCs w:val="20"/>
                <w:lang w:val="fr-FR"/>
              </w:rPr>
            </w:pPr>
          </w:p>
          <w:p w14:paraId="08B16C15" w14:textId="77777777" w:rsidR="00152FF5" w:rsidRPr="00962C19" w:rsidRDefault="00152FF5" w:rsidP="00962C19">
            <w:pPr>
              <w:tabs>
                <w:tab w:val="left" w:pos="11624"/>
                <w:tab w:val="left" w:pos="11907"/>
              </w:tabs>
              <w:spacing w:before="120" w:after="120" w:line="220" w:lineRule="exact"/>
              <w:contextualSpacing/>
              <w:rPr>
                <w:sz w:val="20"/>
                <w:szCs w:val="20"/>
                <w:lang w:val="fr-FR"/>
              </w:rPr>
            </w:pPr>
            <w:r>
              <w:rPr>
                <w:rFonts w:ascii="Calibri" w:eastAsia="Calibri" w:hAnsi="Calibri" w:cs="Calibri"/>
                <w:sz w:val="20"/>
                <w:szCs w:val="20"/>
                <w:bdr w:val="nil"/>
                <w:lang w:val="fr-FR"/>
              </w:rPr>
              <w:t>Si</w:t>
            </w:r>
            <w:r w:rsidR="00962C19">
              <w:rPr>
                <w:rFonts w:ascii="Calibri" w:eastAsia="Calibri" w:hAnsi="Calibri" w:cs="Calibri"/>
                <w:sz w:val="20"/>
                <w:szCs w:val="20"/>
                <w:bdr w:val="nil"/>
                <w:lang w:val="fr-FR"/>
              </w:rPr>
              <w:t xml:space="preserve"> les progrès sont « </w:t>
            </w:r>
            <w:r>
              <w:rPr>
                <w:rFonts w:ascii="Calibri" w:eastAsia="Calibri" w:hAnsi="Calibri" w:cs="Calibri"/>
                <w:sz w:val="20"/>
                <w:szCs w:val="20"/>
                <w:bdr w:val="nil"/>
                <w:lang w:val="fr-FR"/>
              </w:rPr>
              <w:t>significatifs</w:t>
            </w:r>
            <w:r w:rsidR="00962C19">
              <w:rPr>
                <w:rFonts w:ascii="Calibri" w:eastAsia="Calibri" w:hAnsi="Calibri" w:cs="Calibri"/>
                <w:sz w:val="20"/>
                <w:szCs w:val="20"/>
                <w:bdr w:val="nil"/>
                <w:lang w:val="fr-FR"/>
              </w:rPr>
              <w:t> »</w:t>
            </w:r>
            <w:r>
              <w:rPr>
                <w:rFonts w:ascii="Calibri" w:eastAsia="Calibri" w:hAnsi="Calibri" w:cs="Calibri"/>
                <w:sz w:val="20"/>
                <w:szCs w:val="20"/>
                <w:bdr w:val="nil"/>
                <w:lang w:val="fr-FR"/>
              </w:rPr>
              <w:t>, le Comité doit préciser quelles dispositions n’ont pas été respectées selon lui et recommander des mesures correctives.</w:t>
            </w:r>
          </w:p>
        </w:tc>
      </w:tr>
      <w:tr w:rsidR="000905FF" w:rsidRPr="00B5300C" w14:paraId="3C72DFE7" w14:textId="77777777" w:rsidTr="00152FF5">
        <w:tc>
          <w:tcPr>
            <w:tcW w:w="2768" w:type="dxa"/>
          </w:tcPr>
          <w:p w14:paraId="2F03F39E" w14:textId="77777777" w:rsidR="00152FF5" w:rsidRPr="00962C19" w:rsidRDefault="00152FF5" w:rsidP="00152FF5">
            <w:pPr>
              <w:tabs>
                <w:tab w:val="left" w:pos="11624"/>
                <w:tab w:val="left" w:pos="11907"/>
              </w:tabs>
              <w:spacing w:before="120" w:after="120" w:line="220" w:lineRule="exact"/>
              <w:contextualSpacing/>
              <w:rPr>
                <w:sz w:val="20"/>
                <w:szCs w:val="20"/>
                <w:lang w:val="fr-FR"/>
              </w:rPr>
            </w:pPr>
            <w:r>
              <w:rPr>
                <w:rFonts w:ascii="Calibri" w:eastAsia="Calibri" w:hAnsi="Calibri" w:cs="Calibri"/>
                <w:sz w:val="20"/>
                <w:szCs w:val="20"/>
                <w:bdr w:val="nil"/>
                <w:lang w:val="fr-FR"/>
              </w:rPr>
              <w:lastRenderedPageBreak/>
              <w:t>4.7 Niveau de désagrégation</w:t>
            </w:r>
          </w:p>
          <w:p w14:paraId="45A5CCE4" w14:textId="77777777" w:rsidR="00152FF5" w:rsidRPr="00962C19" w:rsidRDefault="00152FF5" w:rsidP="00152FF5">
            <w:pPr>
              <w:tabs>
                <w:tab w:val="left" w:pos="11624"/>
                <w:tab w:val="left" w:pos="11907"/>
              </w:tabs>
              <w:spacing w:before="120" w:after="120" w:line="220" w:lineRule="exact"/>
              <w:contextualSpacing/>
              <w:rPr>
                <w:sz w:val="20"/>
                <w:szCs w:val="20"/>
                <w:lang w:val="fr-FR"/>
              </w:rPr>
            </w:pPr>
            <w:r>
              <w:rPr>
                <w:rFonts w:ascii="Calibri" w:eastAsia="Calibri" w:hAnsi="Calibri" w:cs="Calibri"/>
                <w:sz w:val="20"/>
                <w:szCs w:val="20"/>
                <w:bdr w:val="nil"/>
                <w:lang w:val="fr-FR"/>
              </w:rPr>
              <w:t xml:space="preserve">Le Groupe multipartite est tenu de convenir du niveau de désagrégation à appliquer aux données qui seront publiées.  Il </w:t>
            </w:r>
            <w:r>
              <w:rPr>
                <w:rFonts w:ascii="Calibri" w:eastAsia="Calibri" w:hAnsi="Calibri" w:cs="Calibri"/>
                <w:sz w:val="20"/>
                <w:szCs w:val="20"/>
                <w:bdr w:val="nil"/>
                <w:lang w:val="fr-FR"/>
              </w:rPr>
              <w:lastRenderedPageBreak/>
              <w:t>est exigé que les données ITIE soient présentées par entreprise individuelle, par entité de l’État et par source de revenus.  Une déclaration par projet est requise, pour autant qu</w:t>
            </w:r>
            <w:r w:rsidR="00104B8A">
              <w:rPr>
                <w:rFonts w:ascii="Calibri" w:eastAsia="Calibri" w:hAnsi="Calibri" w:cs="Calibri"/>
                <w:sz w:val="20"/>
                <w:szCs w:val="20"/>
                <w:bdr w:val="nil"/>
                <w:lang w:val="fr-FR"/>
              </w:rPr>
              <w:t>’</w:t>
            </w:r>
            <w:r>
              <w:rPr>
                <w:rFonts w:ascii="Calibri" w:eastAsia="Calibri" w:hAnsi="Calibri" w:cs="Calibri"/>
                <w:sz w:val="20"/>
                <w:szCs w:val="20"/>
                <w:bdr w:val="nil"/>
                <w:lang w:val="fr-FR"/>
              </w:rPr>
              <w:t>e</w:t>
            </w:r>
            <w:r w:rsidR="00104B8A">
              <w:rPr>
                <w:rFonts w:ascii="Calibri" w:eastAsia="Calibri" w:hAnsi="Calibri" w:cs="Calibri"/>
                <w:sz w:val="20"/>
                <w:szCs w:val="20"/>
                <w:bdr w:val="nil"/>
                <w:lang w:val="fr-FR"/>
              </w:rPr>
              <w:t>ll</w:t>
            </w:r>
            <w:r>
              <w:rPr>
                <w:rFonts w:ascii="Calibri" w:eastAsia="Calibri" w:hAnsi="Calibri" w:cs="Calibri"/>
                <w:sz w:val="20"/>
                <w:szCs w:val="20"/>
                <w:bdr w:val="nil"/>
                <w:lang w:val="fr-FR"/>
              </w:rPr>
              <w:t>e soit conforme aux normes reconnues de la Securities and Exchange Commission des États-Unis (SEC – Commission américaine des opérations boursières) et aux futures exigences de l’Union européenne.</w:t>
            </w:r>
          </w:p>
        </w:tc>
        <w:tc>
          <w:tcPr>
            <w:tcW w:w="2892" w:type="dxa"/>
          </w:tcPr>
          <w:p w14:paraId="04B20E2A" w14:textId="77777777" w:rsidR="00152FF5" w:rsidRPr="00962C19" w:rsidRDefault="00152FF5" w:rsidP="00152FF5">
            <w:pPr>
              <w:tabs>
                <w:tab w:val="left" w:pos="11624"/>
                <w:tab w:val="left" w:pos="11907"/>
              </w:tabs>
              <w:autoSpaceDE w:val="0"/>
              <w:autoSpaceDN w:val="0"/>
              <w:adjustRightInd w:val="0"/>
              <w:spacing w:before="120" w:after="120" w:line="220" w:lineRule="exact"/>
              <w:contextualSpacing/>
              <w:rPr>
                <w:rFonts w:eastAsia="Calibri"/>
                <w:sz w:val="20"/>
                <w:szCs w:val="20"/>
                <w:lang w:val="fr-FR"/>
              </w:rPr>
            </w:pPr>
            <w:r>
              <w:rPr>
                <w:rFonts w:ascii="Calibri" w:eastAsia="Calibri" w:hAnsi="Calibri" w:cs="Calibri"/>
                <w:sz w:val="20"/>
                <w:szCs w:val="20"/>
                <w:bdr w:val="nil"/>
                <w:lang w:val="fr-FR"/>
              </w:rPr>
              <w:lastRenderedPageBreak/>
              <w:t>L’évaluation initiale du Secrétaria</w:t>
            </w:r>
            <w:r w:rsidR="00962C19">
              <w:rPr>
                <w:rFonts w:ascii="Calibri" w:eastAsia="Calibri" w:hAnsi="Calibri" w:cs="Calibri"/>
                <w:sz w:val="20"/>
                <w:szCs w:val="20"/>
                <w:bdr w:val="nil"/>
                <w:lang w:val="fr-FR"/>
              </w:rPr>
              <w:t xml:space="preserve">t international </w:t>
            </w:r>
            <w:r w:rsidR="0069728A">
              <w:rPr>
                <w:rFonts w:ascii="Calibri" w:eastAsia="Calibri" w:hAnsi="Calibri" w:cs="Calibri"/>
                <w:sz w:val="20"/>
                <w:szCs w:val="20"/>
                <w:bdr w:val="nil"/>
                <w:lang w:val="fr-FR"/>
              </w:rPr>
              <w:t xml:space="preserve">parvient à la </w:t>
            </w:r>
            <w:r w:rsidR="00962C19">
              <w:rPr>
                <w:rFonts w:ascii="Calibri" w:eastAsia="Calibri" w:hAnsi="Calibri" w:cs="Calibri"/>
                <w:sz w:val="20"/>
                <w:szCs w:val="20"/>
                <w:bdr w:val="nil"/>
                <w:lang w:val="fr-FR"/>
              </w:rPr>
              <w:t>conclu</w:t>
            </w:r>
            <w:r w:rsidR="0069728A">
              <w:rPr>
                <w:rFonts w:ascii="Calibri" w:eastAsia="Calibri" w:hAnsi="Calibri" w:cs="Calibri"/>
                <w:sz w:val="20"/>
                <w:szCs w:val="20"/>
                <w:bdr w:val="nil"/>
                <w:lang w:val="fr-FR"/>
              </w:rPr>
              <w:t>sion</w:t>
            </w:r>
            <w:r w:rsidR="00962C19">
              <w:rPr>
                <w:rFonts w:ascii="Calibri" w:eastAsia="Calibri" w:hAnsi="Calibri" w:cs="Calibri"/>
                <w:sz w:val="20"/>
                <w:szCs w:val="20"/>
                <w:bdr w:val="nil"/>
                <w:lang w:val="fr-FR"/>
              </w:rPr>
              <w:t xml:space="preserve"> que</w:t>
            </w:r>
            <w:r w:rsidR="00921573">
              <w:rPr>
                <w:rFonts w:ascii="Calibri" w:eastAsia="Calibri" w:hAnsi="Calibri" w:cs="Calibri"/>
                <w:sz w:val="20"/>
                <w:szCs w:val="20"/>
                <w:bdr w:val="nil"/>
                <w:lang w:val="fr-FR"/>
              </w:rPr>
              <w:t> </w:t>
            </w:r>
            <w:r w:rsidR="00962C19">
              <w:rPr>
                <w:rFonts w:ascii="Calibri" w:eastAsia="Calibri" w:hAnsi="Calibri" w:cs="Calibri"/>
                <w:sz w:val="20"/>
                <w:szCs w:val="20"/>
                <w:bdr w:val="nil"/>
                <w:lang w:val="fr-FR"/>
              </w:rPr>
              <w:t>: « l</w:t>
            </w:r>
            <w:r>
              <w:rPr>
                <w:rFonts w:ascii="Calibri" w:eastAsia="Calibri" w:hAnsi="Calibri" w:cs="Calibri"/>
                <w:sz w:val="20"/>
                <w:szCs w:val="20"/>
                <w:bdr w:val="nil"/>
                <w:lang w:val="fr-FR"/>
              </w:rPr>
              <w:t xml:space="preserve">es données du </w:t>
            </w:r>
            <w:r w:rsidR="009E2351">
              <w:rPr>
                <w:rFonts w:ascii="Calibri" w:eastAsia="Calibri" w:hAnsi="Calibri" w:cs="Calibri"/>
                <w:sz w:val="20"/>
                <w:szCs w:val="20"/>
                <w:bdr w:val="nil"/>
                <w:lang w:val="fr-FR"/>
              </w:rPr>
              <w:t>R</w:t>
            </w:r>
            <w:r>
              <w:rPr>
                <w:rFonts w:ascii="Calibri" w:eastAsia="Calibri" w:hAnsi="Calibri" w:cs="Calibri"/>
                <w:sz w:val="20"/>
                <w:szCs w:val="20"/>
                <w:bdr w:val="nil"/>
                <w:lang w:val="fr-FR"/>
              </w:rPr>
              <w:t xml:space="preserve">apport ITIE 2013-2014 sont ventilées selon les </w:t>
            </w:r>
            <w:r>
              <w:rPr>
                <w:rFonts w:ascii="Calibri" w:eastAsia="Calibri" w:hAnsi="Calibri" w:cs="Calibri"/>
                <w:sz w:val="20"/>
                <w:szCs w:val="20"/>
                <w:bdr w:val="nil"/>
                <w:lang w:val="fr-FR"/>
              </w:rPr>
              <w:lastRenderedPageBreak/>
              <w:t>niveaux requis par la Norme ITIE, c’</w:t>
            </w:r>
            <w:r w:rsidR="00962C19">
              <w:rPr>
                <w:rFonts w:ascii="Calibri" w:eastAsia="Calibri" w:hAnsi="Calibri" w:cs="Calibri"/>
                <w:sz w:val="20"/>
                <w:szCs w:val="20"/>
                <w:bdr w:val="nil"/>
                <w:lang w:val="fr-FR"/>
              </w:rPr>
              <w:t>est-à-dire par flux de revenus</w:t>
            </w:r>
            <w:r>
              <w:rPr>
                <w:rFonts w:ascii="Calibri" w:eastAsia="Calibri" w:hAnsi="Calibri" w:cs="Calibri"/>
                <w:sz w:val="20"/>
                <w:szCs w:val="20"/>
                <w:bdr w:val="nil"/>
                <w:lang w:val="fr-FR"/>
              </w:rPr>
              <w:t xml:space="preserve">, entreprise individuelle et entité de l’État. L’évaluation initiale du Secrétariat international est que le Kirghizistan a accompli des progrès </w:t>
            </w:r>
            <w:r>
              <w:rPr>
                <w:rFonts w:ascii="Calibri" w:eastAsia="Calibri" w:hAnsi="Calibri" w:cs="Calibri"/>
                <w:b/>
                <w:bCs/>
                <w:sz w:val="20"/>
                <w:szCs w:val="20"/>
                <w:bdr w:val="nil"/>
                <w:lang w:val="fr-FR"/>
              </w:rPr>
              <w:t>SATISFAISANTS</w:t>
            </w:r>
            <w:r>
              <w:rPr>
                <w:rFonts w:ascii="Calibri" w:eastAsia="Calibri" w:hAnsi="Calibri" w:cs="Calibri"/>
                <w:sz w:val="20"/>
                <w:szCs w:val="20"/>
                <w:bdr w:val="nil"/>
                <w:lang w:val="fr-FR"/>
              </w:rPr>
              <w:t xml:space="preserve"> po</w:t>
            </w:r>
            <w:r w:rsidR="00962C19">
              <w:rPr>
                <w:rFonts w:ascii="Calibri" w:eastAsia="Calibri" w:hAnsi="Calibri" w:cs="Calibri"/>
                <w:sz w:val="20"/>
                <w:szCs w:val="20"/>
                <w:bdr w:val="nil"/>
                <w:lang w:val="fr-FR"/>
              </w:rPr>
              <w:t>ur satisfaire à cette exigence. »</w:t>
            </w:r>
          </w:p>
          <w:p w14:paraId="3DD611BD" w14:textId="77777777" w:rsidR="000905FF" w:rsidRDefault="00152FF5" w:rsidP="00F865F6">
            <w:pPr>
              <w:tabs>
                <w:tab w:val="left" w:pos="11624"/>
                <w:tab w:val="left" w:pos="11907"/>
              </w:tabs>
              <w:autoSpaceDE w:val="0"/>
              <w:autoSpaceDN w:val="0"/>
              <w:adjustRightInd w:val="0"/>
              <w:spacing w:before="120" w:after="120" w:line="220" w:lineRule="exact"/>
              <w:contextualSpacing/>
              <w:rPr>
                <w:rFonts w:ascii="Calibri" w:eastAsia="Calibri" w:hAnsi="Calibri" w:cs="Calibri"/>
                <w:sz w:val="20"/>
                <w:szCs w:val="20"/>
                <w:bdr w:val="nil"/>
                <w:lang w:val="fr-FR"/>
              </w:rPr>
            </w:pPr>
            <w:r>
              <w:rPr>
                <w:rFonts w:ascii="Calibri" w:eastAsia="Calibri" w:hAnsi="Calibri" w:cs="Calibri"/>
                <w:sz w:val="20"/>
                <w:szCs w:val="20"/>
                <w:bdr w:val="nil"/>
                <w:lang w:val="fr-FR"/>
              </w:rPr>
              <w:t xml:space="preserve"> (p.</w:t>
            </w:r>
            <w:r w:rsidR="009E2351">
              <w:rPr>
                <w:rFonts w:ascii="Calibri" w:eastAsia="Calibri" w:hAnsi="Calibri" w:cs="Calibri"/>
                <w:sz w:val="20"/>
                <w:szCs w:val="20"/>
                <w:bdr w:val="nil"/>
                <w:lang w:val="fr-FR"/>
              </w:rPr>
              <w:t> </w:t>
            </w:r>
            <w:r>
              <w:rPr>
                <w:rFonts w:ascii="Calibri" w:eastAsia="Calibri" w:hAnsi="Calibri" w:cs="Calibri"/>
                <w:sz w:val="20"/>
                <w:szCs w:val="20"/>
                <w:bdr w:val="nil"/>
                <w:lang w:val="fr-FR"/>
              </w:rPr>
              <w:t>57) En outre, l’évaluation initiale du Secrétaria</w:t>
            </w:r>
            <w:r w:rsidR="00F865F6">
              <w:rPr>
                <w:rFonts w:ascii="Calibri" w:eastAsia="Calibri" w:hAnsi="Calibri" w:cs="Calibri"/>
                <w:sz w:val="20"/>
                <w:szCs w:val="20"/>
                <w:bdr w:val="nil"/>
                <w:lang w:val="fr-FR"/>
              </w:rPr>
              <w:t xml:space="preserve">t international </w:t>
            </w:r>
            <w:r w:rsidR="009E2351">
              <w:rPr>
                <w:rFonts w:ascii="Calibri" w:eastAsia="Calibri" w:hAnsi="Calibri" w:cs="Calibri"/>
                <w:sz w:val="20"/>
                <w:szCs w:val="20"/>
                <w:bdr w:val="nil"/>
                <w:lang w:val="fr-FR"/>
              </w:rPr>
              <w:t>fait ressortir</w:t>
            </w:r>
            <w:r w:rsidR="00F865F6">
              <w:rPr>
                <w:rFonts w:ascii="Calibri" w:eastAsia="Calibri" w:hAnsi="Calibri" w:cs="Calibri"/>
                <w:sz w:val="20"/>
                <w:szCs w:val="20"/>
                <w:bdr w:val="nil"/>
                <w:lang w:val="fr-FR"/>
              </w:rPr>
              <w:t xml:space="preserve"> que</w:t>
            </w:r>
            <w:r w:rsidR="00921573">
              <w:rPr>
                <w:rFonts w:ascii="Calibri" w:eastAsia="Calibri" w:hAnsi="Calibri" w:cs="Calibri"/>
                <w:sz w:val="20"/>
                <w:szCs w:val="20"/>
                <w:bdr w:val="nil"/>
                <w:lang w:val="fr-FR"/>
              </w:rPr>
              <w:t> </w:t>
            </w:r>
            <w:r w:rsidR="00F865F6">
              <w:rPr>
                <w:rFonts w:ascii="Calibri" w:eastAsia="Calibri" w:hAnsi="Calibri" w:cs="Calibri"/>
                <w:sz w:val="20"/>
                <w:szCs w:val="20"/>
                <w:bdr w:val="nil"/>
                <w:lang w:val="fr-FR"/>
              </w:rPr>
              <w:t>: « </w:t>
            </w:r>
            <w:r>
              <w:rPr>
                <w:rFonts w:ascii="Calibri" w:eastAsia="Calibri" w:hAnsi="Calibri" w:cs="Calibri"/>
                <w:sz w:val="20"/>
                <w:szCs w:val="20"/>
                <w:bdr w:val="nil"/>
                <w:lang w:val="fr-FR"/>
              </w:rPr>
              <w:t>27 des 44 entités de l’État ont soumis des formulaires de déclaration en 2014 (p.</w:t>
            </w:r>
            <w:r w:rsidR="009E2351">
              <w:rPr>
                <w:rFonts w:ascii="Calibri" w:eastAsia="Calibri" w:hAnsi="Calibri" w:cs="Calibri"/>
                <w:sz w:val="20"/>
                <w:szCs w:val="20"/>
                <w:bdr w:val="nil"/>
                <w:lang w:val="fr-FR"/>
              </w:rPr>
              <w:t> </w:t>
            </w:r>
            <w:r>
              <w:rPr>
                <w:rFonts w:ascii="Calibri" w:eastAsia="Calibri" w:hAnsi="Calibri" w:cs="Calibri"/>
                <w:sz w:val="20"/>
                <w:szCs w:val="20"/>
                <w:bdr w:val="nil"/>
                <w:lang w:val="fr-FR"/>
              </w:rPr>
              <w:t>128). Deux agences gouvernementales centrales n’ont pas soumis leur déclaration</w:t>
            </w:r>
            <w:r w:rsidR="00921573">
              <w:rPr>
                <w:rFonts w:ascii="Calibri" w:eastAsia="Calibri" w:hAnsi="Calibri" w:cs="Calibri"/>
                <w:sz w:val="20"/>
                <w:szCs w:val="20"/>
                <w:bdr w:val="nil"/>
                <w:lang w:val="fr-FR"/>
              </w:rPr>
              <w:t> </w:t>
            </w:r>
            <w:r>
              <w:rPr>
                <w:rFonts w:ascii="Calibri" w:eastAsia="Calibri" w:hAnsi="Calibri" w:cs="Calibri"/>
                <w:sz w:val="20"/>
                <w:szCs w:val="20"/>
                <w:bdr w:val="nil"/>
                <w:lang w:val="fr-FR"/>
              </w:rPr>
              <w:t>: l’Autorité nationale d’enregistrement et le Fonds de gestion des biens publics (p.</w:t>
            </w:r>
            <w:r w:rsidR="00AD47BF">
              <w:rPr>
                <w:rFonts w:ascii="Calibri" w:eastAsia="Calibri" w:hAnsi="Calibri" w:cs="Calibri"/>
                <w:sz w:val="20"/>
                <w:szCs w:val="20"/>
                <w:bdr w:val="nil"/>
                <w:lang w:val="fr-FR"/>
              </w:rPr>
              <w:t> </w:t>
            </w:r>
            <w:r>
              <w:rPr>
                <w:rFonts w:ascii="Calibri" w:eastAsia="Calibri" w:hAnsi="Calibri" w:cs="Calibri"/>
                <w:sz w:val="20"/>
                <w:szCs w:val="20"/>
                <w:bdr w:val="nil"/>
                <w:lang w:val="fr-FR"/>
              </w:rPr>
              <w:t>128). Cependant, le rapport confirme que le premier n’a perçu aucun revenu en 2014 et que les revenus perçus par le second étaient en fait inclus dans les rapports du Fonds social de l’État (p.</w:t>
            </w:r>
            <w:r w:rsidR="00AD47BF">
              <w:rPr>
                <w:rFonts w:ascii="Calibri" w:eastAsia="Calibri" w:hAnsi="Calibri" w:cs="Calibri"/>
                <w:sz w:val="20"/>
                <w:szCs w:val="20"/>
                <w:bdr w:val="nil"/>
                <w:lang w:val="fr-FR"/>
              </w:rPr>
              <w:t> </w:t>
            </w:r>
            <w:r>
              <w:rPr>
                <w:rFonts w:ascii="Calibri" w:eastAsia="Calibri" w:hAnsi="Calibri" w:cs="Calibri"/>
                <w:sz w:val="20"/>
                <w:szCs w:val="20"/>
                <w:bdr w:val="nil"/>
                <w:lang w:val="fr-FR"/>
              </w:rPr>
              <w:t xml:space="preserve">128). Les 15 entités restantes n’ayant pas soumis leur déclaration étaient des administrations locales. [...] Le rapport n’estime pas la matérialité des revenus omis perçus par les administrations locales n’ayant pas soumis leur déclaration, mais les administrations locales ne prélèvent que les impôts fonciers </w:t>
            </w:r>
            <w:r>
              <w:rPr>
                <w:rFonts w:ascii="Calibri" w:eastAsia="Calibri" w:hAnsi="Calibri" w:cs="Calibri"/>
                <w:sz w:val="20"/>
                <w:szCs w:val="20"/>
                <w:bdr w:val="nil"/>
                <w:lang w:val="fr-FR"/>
              </w:rPr>
              <w:lastRenderedPageBreak/>
              <w:t>et les im</w:t>
            </w:r>
            <w:r w:rsidR="00F865F6">
              <w:rPr>
                <w:rFonts w:ascii="Calibri" w:eastAsia="Calibri" w:hAnsi="Calibri" w:cs="Calibri"/>
                <w:sz w:val="20"/>
                <w:szCs w:val="20"/>
                <w:bdr w:val="nil"/>
                <w:lang w:val="fr-FR"/>
              </w:rPr>
              <w:t>pôts sur les biens immobiliers. »</w:t>
            </w:r>
            <w:r>
              <w:rPr>
                <w:rFonts w:ascii="Calibri" w:eastAsia="Calibri" w:hAnsi="Calibri" w:cs="Calibri"/>
                <w:sz w:val="20"/>
                <w:szCs w:val="20"/>
                <w:bdr w:val="nil"/>
                <w:lang w:val="fr-FR"/>
              </w:rPr>
              <w:t xml:space="preserve"> (p.</w:t>
            </w:r>
            <w:r w:rsidR="00AD47BF">
              <w:rPr>
                <w:rFonts w:ascii="Calibri" w:eastAsia="Calibri" w:hAnsi="Calibri" w:cs="Calibri"/>
                <w:sz w:val="20"/>
                <w:szCs w:val="20"/>
                <w:bdr w:val="nil"/>
                <w:lang w:val="fr-FR"/>
              </w:rPr>
              <w:t> </w:t>
            </w:r>
            <w:r>
              <w:rPr>
                <w:rFonts w:ascii="Calibri" w:eastAsia="Calibri" w:hAnsi="Calibri" w:cs="Calibri"/>
                <w:sz w:val="20"/>
                <w:szCs w:val="20"/>
                <w:bdr w:val="nil"/>
                <w:lang w:val="fr-FR"/>
              </w:rPr>
              <w:t xml:space="preserve">51) </w:t>
            </w:r>
            <w:r w:rsidR="00F865F6">
              <w:rPr>
                <w:rFonts w:ascii="Calibri" w:eastAsia="Calibri" w:hAnsi="Calibri" w:cs="Calibri"/>
                <w:sz w:val="20"/>
                <w:szCs w:val="20"/>
                <w:bdr w:val="nil"/>
                <w:lang w:val="fr-FR"/>
              </w:rPr>
              <w:t>« </w:t>
            </w:r>
            <w:r>
              <w:rPr>
                <w:rFonts w:ascii="Calibri" w:eastAsia="Calibri" w:hAnsi="Calibri" w:cs="Calibri"/>
                <w:sz w:val="20"/>
                <w:szCs w:val="20"/>
                <w:bdr w:val="nil"/>
                <w:lang w:val="fr-FR"/>
              </w:rPr>
              <w:t>[L]es revenus perçus des impôts fonciers et des impôts sur les biens immobiliers sont négligeables</w:t>
            </w:r>
            <w:r w:rsidR="00AD47BF">
              <w:rPr>
                <w:rFonts w:ascii="Calibri" w:eastAsia="Calibri" w:hAnsi="Calibri" w:cs="Calibri"/>
                <w:sz w:val="20"/>
                <w:szCs w:val="20"/>
                <w:bdr w:val="nil"/>
                <w:lang w:val="fr-FR"/>
              </w:rPr>
              <w:t xml:space="preserve"> et</w:t>
            </w:r>
            <w:r>
              <w:rPr>
                <w:rFonts w:ascii="Calibri" w:eastAsia="Calibri" w:hAnsi="Calibri" w:cs="Calibri"/>
                <w:sz w:val="20"/>
                <w:szCs w:val="20"/>
                <w:bdr w:val="nil"/>
                <w:lang w:val="fr-FR"/>
              </w:rPr>
              <w:t xml:space="preserve"> totalis</w:t>
            </w:r>
            <w:r w:rsidR="00AD47BF">
              <w:rPr>
                <w:rFonts w:ascii="Calibri" w:eastAsia="Calibri" w:hAnsi="Calibri" w:cs="Calibri"/>
                <w:sz w:val="20"/>
                <w:szCs w:val="20"/>
                <w:bdr w:val="nil"/>
                <w:lang w:val="fr-FR"/>
              </w:rPr>
              <w:t>e</w:t>
            </w:r>
            <w:r>
              <w:rPr>
                <w:rFonts w:ascii="Calibri" w:eastAsia="Calibri" w:hAnsi="Calibri" w:cs="Calibri"/>
                <w:sz w:val="20"/>
                <w:szCs w:val="20"/>
                <w:bdr w:val="nil"/>
                <w:lang w:val="fr-FR"/>
              </w:rPr>
              <w:t>nt seulement 25 033 KGS (466 dollars EU) et 18 101 KGS (377 dollars EU).</w:t>
            </w:r>
            <w:r w:rsidR="00F865F6">
              <w:rPr>
                <w:rFonts w:ascii="Calibri" w:eastAsia="Calibri" w:hAnsi="Calibri" w:cs="Calibri"/>
                <w:sz w:val="20"/>
                <w:szCs w:val="20"/>
                <w:bdr w:val="nil"/>
                <w:lang w:val="fr-FR"/>
              </w:rPr>
              <w:t> »</w:t>
            </w:r>
            <w:r>
              <w:rPr>
                <w:rFonts w:ascii="Calibri" w:eastAsia="Calibri" w:hAnsi="Calibri" w:cs="Calibri"/>
                <w:sz w:val="20"/>
                <w:szCs w:val="20"/>
                <w:bdr w:val="nil"/>
                <w:lang w:val="fr-FR"/>
              </w:rPr>
              <w:t xml:space="preserve"> (p.</w:t>
            </w:r>
            <w:r w:rsidR="00AD47BF">
              <w:rPr>
                <w:rFonts w:ascii="Calibri" w:eastAsia="Calibri" w:hAnsi="Calibri" w:cs="Calibri"/>
                <w:sz w:val="20"/>
                <w:szCs w:val="20"/>
                <w:bdr w:val="nil"/>
                <w:lang w:val="fr-FR"/>
              </w:rPr>
              <w:t> </w:t>
            </w:r>
            <w:r>
              <w:rPr>
                <w:rFonts w:ascii="Calibri" w:eastAsia="Calibri" w:hAnsi="Calibri" w:cs="Calibri"/>
                <w:sz w:val="20"/>
                <w:szCs w:val="20"/>
                <w:bdr w:val="nil"/>
                <w:lang w:val="fr-FR"/>
              </w:rPr>
              <w:t>56).</w:t>
            </w:r>
          </w:p>
        </w:tc>
        <w:tc>
          <w:tcPr>
            <w:tcW w:w="2557" w:type="dxa"/>
          </w:tcPr>
          <w:p w14:paraId="58734724" w14:textId="77777777" w:rsidR="00152FF5" w:rsidRPr="00F865F6" w:rsidRDefault="00152FF5" w:rsidP="00152FF5">
            <w:pPr>
              <w:tabs>
                <w:tab w:val="left" w:pos="11624"/>
                <w:tab w:val="left" w:pos="11907"/>
              </w:tabs>
              <w:spacing w:before="120" w:after="120" w:line="220" w:lineRule="exact"/>
              <w:contextualSpacing/>
              <w:rPr>
                <w:sz w:val="20"/>
                <w:szCs w:val="20"/>
                <w:lang w:val="fr-FR"/>
              </w:rPr>
            </w:pPr>
          </w:p>
        </w:tc>
        <w:tc>
          <w:tcPr>
            <w:tcW w:w="2835" w:type="dxa"/>
          </w:tcPr>
          <w:p w14:paraId="597D14DB" w14:textId="77777777" w:rsidR="00152FF5" w:rsidRPr="00B5300C" w:rsidRDefault="00152FF5" w:rsidP="00152FF5">
            <w:pPr>
              <w:tabs>
                <w:tab w:val="left" w:pos="5580"/>
                <w:tab w:val="left" w:pos="11624"/>
                <w:tab w:val="left" w:pos="11907"/>
              </w:tabs>
              <w:spacing w:before="120" w:after="120" w:line="220" w:lineRule="exact"/>
              <w:contextualSpacing/>
              <w:rPr>
                <w:rFonts w:eastAsia="Calibri" w:cstheme="minorHAnsi"/>
                <w:sz w:val="20"/>
                <w:szCs w:val="20"/>
                <w:lang w:val="fr-FR" w:bidi="en-US"/>
              </w:rPr>
            </w:pPr>
            <w:r>
              <w:rPr>
                <w:rFonts w:ascii="Calibri" w:eastAsia="Calibri" w:hAnsi="Calibri" w:cs="Calibri"/>
                <w:sz w:val="20"/>
                <w:szCs w:val="20"/>
                <w:bdr w:val="nil"/>
                <w:lang w:val="fr-FR" w:bidi="en-US"/>
              </w:rPr>
              <w:t xml:space="preserve">Le Validateur est en désaccord avec l’évaluation du Secrétariat international et estime au contraire que le niveau de progrès est </w:t>
            </w:r>
            <w:r>
              <w:rPr>
                <w:rFonts w:ascii="Calibri" w:eastAsia="Calibri" w:hAnsi="Calibri" w:cs="Calibri"/>
                <w:b/>
                <w:bCs/>
                <w:sz w:val="20"/>
                <w:szCs w:val="20"/>
                <w:bdr w:val="nil"/>
                <w:lang w:val="fr-FR" w:bidi="en-US"/>
              </w:rPr>
              <w:t>SIGNIFICATIF</w:t>
            </w:r>
            <w:r w:rsidR="00962C19">
              <w:rPr>
                <w:rFonts w:ascii="Calibri" w:eastAsia="Calibri" w:hAnsi="Calibri" w:cs="Calibri"/>
                <w:sz w:val="20"/>
                <w:szCs w:val="20"/>
                <w:bdr w:val="nil"/>
                <w:lang w:val="fr-FR" w:bidi="en-US"/>
              </w:rPr>
              <w:t xml:space="preserve">. Le </w:t>
            </w:r>
            <w:r w:rsidR="00962C19">
              <w:rPr>
                <w:rFonts w:ascii="Calibri" w:eastAsia="Calibri" w:hAnsi="Calibri" w:cs="Calibri"/>
                <w:sz w:val="20"/>
                <w:szCs w:val="20"/>
                <w:bdr w:val="nil"/>
                <w:lang w:val="fr-FR" w:bidi="en-US"/>
              </w:rPr>
              <w:lastRenderedPageBreak/>
              <w:t>Validateur constate que « </w:t>
            </w:r>
            <w:r>
              <w:rPr>
                <w:rFonts w:ascii="Calibri" w:eastAsia="Calibri" w:hAnsi="Calibri" w:cs="Calibri"/>
                <w:sz w:val="20"/>
                <w:szCs w:val="20"/>
                <w:bdr w:val="nil"/>
                <w:lang w:val="fr-FR" w:bidi="en-US"/>
              </w:rPr>
              <w:t xml:space="preserve">le </w:t>
            </w:r>
            <w:r w:rsidR="00753081">
              <w:rPr>
                <w:rFonts w:ascii="Calibri" w:eastAsia="Calibri" w:hAnsi="Calibri" w:cs="Calibri"/>
                <w:sz w:val="20"/>
                <w:szCs w:val="20"/>
                <w:bdr w:val="nil"/>
                <w:lang w:val="fr-FR" w:bidi="en-US"/>
              </w:rPr>
              <w:t>R</w:t>
            </w:r>
            <w:r>
              <w:rPr>
                <w:rFonts w:ascii="Calibri" w:eastAsia="Calibri" w:hAnsi="Calibri" w:cs="Calibri"/>
                <w:sz w:val="20"/>
                <w:szCs w:val="20"/>
                <w:bdr w:val="nil"/>
                <w:lang w:val="fr-FR" w:bidi="en-US"/>
              </w:rPr>
              <w:t xml:space="preserve">apport ITIE 2013-14 ne ventile pas les données par entité infranationale de l’État. Dans la mesure où aucune des entités locales de l’État n’a soumis de déclaration en 2013 ou 2014 (voir 4.1) et que les progrès sur la déclaration des paiements directs infranationaux (4.6) et des transferts infranationaux (5.2) ont été évalués comme étant inadéquats, le Kirghizistan n’a selon nous pas accompli de progrès satisfaisants </w:t>
            </w:r>
            <w:r w:rsidR="00EF4377">
              <w:rPr>
                <w:rFonts w:ascii="Calibri" w:eastAsia="Calibri" w:hAnsi="Calibri" w:cs="Calibri"/>
                <w:sz w:val="20"/>
                <w:szCs w:val="20"/>
                <w:bdr w:val="nil"/>
                <w:lang w:val="fr-FR" w:bidi="en-US"/>
              </w:rPr>
              <w:t>par rapport à</w:t>
            </w:r>
            <w:r>
              <w:rPr>
                <w:rFonts w:ascii="Calibri" w:eastAsia="Calibri" w:hAnsi="Calibri" w:cs="Calibri"/>
                <w:sz w:val="20"/>
                <w:szCs w:val="20"/>
                <w:bdr w:val="nil"/>
                <w:lang w:val="fr-FR" w:bidi="en-US"/>
              </w:rPr>
              <w:t xml:space="preserve"> la disposition qui requiert une désa</w:t>
            </w:r>
            <w:r w:rsidR="00962C19">
              <w:rPr>
                <w:rFonts w:ascii="Calibri" w:eastAsia="Calibri" w:hAnsi="Calibri" w:cs="Calibri"/>
                <w:sz w:val="20"/>
                <w:szCs w:val="20"/>
                <w:bdr w:val="nil"/>
                <w:lang w:val="fr-FR" w:bidi="en-US"/>
              </w:rPr>
              <w:t>grégation par entité de l</w:t>
            </w:r>
            <w:r>
              <w:rPr>
                <w:rFonts w:ascii="Calibri" w:eastAsia="Calibri" w:hAnsi="Calibri" w:cs="Calibri"/>
                <w:sz w:val="20"/>
                <w:szCs w:val="20"/>
                <w:bdr w:val="nil"/>
                <w:lang w:val="fr-FR" w:bidi="en-US"/>
              </w:rPr>
              <w:t>’</w:t>
            </w:r>
            <w:r w:rsidR="00962C19">
              <w:rPr>
                <w:rFonts w:ascii="Calibri" w:eastAsia="Calibri" w:hAnsi="Calibri" w:cs="Calibri"/>
                <w:sz w:val="20"/>
                <w:szCs w:val="20"/>
                <w:bdr w:val="nil"/>
                <w:lang w:val="fr-FR" w:bidi="en-US"/>
              </w:rPr>
              <w:t>État. »</w:t>
            </w:r>
            <w:r>
              <w:rPr>
                <w:rFonts w:ascii="Calibri" w:eastAsia="Calibri" w:hAnsi="Calibri" w:cs="Calibri"/>
                <w:sz w:val="20"/>
                <w:szCs w:val="20"/>
                <w:bdr w:val="nil"/>
                <w:lang w:val="fr-FR" w:bidi="en-US"/>
              </w:rPr>
              <w:t xml:space="preserve"> (p.</w:t>
            </w:r>
            <w:r w:rsidR="00DB2E17">
              <w:rPr>
                <w:rFonts w:ascii="Calibri" w:eastAsia="Calibri" w:hAnsi="Calibri" w:cs="Calibri"/>
                <w:sz w:val="20"/>
                <w:szCs w:val="20"/>
                <w:bdr w:val="nil"/>
                <w:lang w:val="fr-FR" w:bidi="en-US"/>
              </w:rPr>
              <w:t> </w:t>
            </w:r>
            <w:r>
              <w:rPr>
                <w:rFonts w:ascii="Calibri" w:eastAsia="Calibri" w:hAnsi="Calibri" w:cs="Calibri"/>
                <w:sz w:val="20"/>
                <w:szCs w:val="20"/>
                <w:bdr w:val="nil"/>
                <w:lang w:val="fr-FR" w:bidi="en-US"/>
              </w:rPr>
              <w:t>6)</w:t>
            </w:r>
          </w:p>
        </w:tc>
        <w:tc>
          <w:tcPr>
            <w:tcW w:w="2410" w:type="dxa"/>
          </w:tcPr>
          <w:p w14:paraId="2E95FB2A" w14:textId="77777777" w:rsidR="00152FF5" w:rsidRPr="00962C19" w:rsidRDefault="00152FF5" w:rsidP="005E1D4B">
            <w:pPr>
              <w:tabs>
                <w:tab w:val="left" w:pos="5580"/>
                <w:tab w:val="left" w:pos="11624"/>
                <w:tab w:val="left" w:pos="11907"/>
              </w:tabs>
              <w:spacing w:before="120" w:after="120" w:line="220" w:lineRule="exact"/>
              <w:contextualSpacing/>
              <w:rPr>
                <w:rFonts w:eastAsia="Times New Roman" w:cs="Calibri"/>
                <w:sz w:val="20"/>
                <w:szCs w:val="20"/>
                <w:lang w:val="fr-FR" w:eastAsia="en-AU"/>
              </w:rPr>
            </w:pPr>
            <w:r>
              <w:rPr>
                <w:rFonts w:ascii="Calibri" w:eastAsia="Calibri" w:hAnsi="Calibri" w:cs="Calibri"/>
                <w:sz w:val="20"/>
                <w:szCs w:val="20"/>
                <w:bdr w:val="nil"/>
                <w:lang w:val="fr-FR" w:eastAsia="en-AU"/>
              </w:rPr>
              <w:lastRenderedPageBreak/>
              <w:t>La ré</w:t>
            </w:r>
            <w:r w:rsidR="00CA54E6">
              <w:rPr>
                <w:rFonts w:ascii="Calibri" w:eastAsia="Calibri" w:hAnsi="Calibri" w:cs="Calibri"/>
                <w:sz w:val="20"/>
                <w:szCs w:val="20"/>
                <w:bdr w:val="nil"/>
                <w:lang w:val="fr-FR" w:eastAsia="en-AU"/>
              </w:rPr>
              <w:t>action</w:t>
            </w:r>
            <w:r>
              <w:rPr>
                <w:rFonts w:ascii="Calibri" w:eastAsia="Calibri" w:hAnsi="Calibri" w:cs="Calibri"/>
                <w:sz w:val="20"/>
                <w:szCs w:val="20"/>
                <w:bdr w:val="nil"/>
                <w:lang w:val="fr-FR" w:eastAsia="en-AU"/>
              </w:rPr>
              <w:t xml:space="preserve"> du Conseil de </w:t>
            </w:r>
            <w:r w:rsidR="00CA54E6">
              <w:rPr>
                <w:rFonts w:ascii="Calibri" w:eastAsia="Calibri" w:hAnsi="Calibri" w:cs="Calibri"/>
                <w:sz w:val="20"/>
                <w:szCs w:val="20"/>
                <w:bdr w:val="nil"/>
                <w:lang w:val="fr-FR" w:eastAsia="en-AU"/>
              </w:rPr>
              <w:t>S</w:t>
            </w:r>
            <w:r>
              <w:rPr>
                <w:rFonts w:ascii="Calibri" w:eastAsia="Calibri" w:hAnsi="Calibri" w:cs="Calibri"/>
                <w:sz w:val="20"/>
                <w:szCs w:val="20"/>
                <w:bdr w:val="nil"/>
                <w:lang w:val="fr-FR" w:eastAsia="en-AU"/>
              </w:rPr>
              <w:t xml:space="preserve">urveillance met en lumière des discussions portant sur la déclaration de projets, mais ne </w:t>
            </w:r>
            <w:r w:rsidR="00CA54E6">
              <w:rPr>
                <w:rFonts w:ascii="Calibri" w:eastAsia="Calibri" w:hAnsi="Calibri" w:cs="Calibri"/>
                <w:sz w:val="20"/>
                <w:szCs w:val="20"/>
                <w:bdr w:val="nil"/>
                <w:lang w:val="fr-FR" w:eastAsia="en-AU"/>
              </w:rPr>
              <w:lastRenderedPageBreak/>
              <w:t>comporte</w:t>
            </w:r>
            <w:r>
              <w:rPr>
                <w:rFonts w:ascii="Calibri" w:eastAsia="Calibri" w:hAnsi="Calibri" w:cs="Calibri"/>
                <w:sz w:val="20"/>
                <w:szCs w:val="20"/>
                <w:bdr w:val="nil"/>
                <w:lang w:val="fr-FR" w:eastAsia="en-AU"/>
              </w:rPr>
              <w:t xml:space="preserve"> pas de commentaires sur la désagrégation des données portant sur les paiements (</w:t>
            </w:r>
            <w:r w:rsidR="005E1D4B">
              <w:rPr>
                <w:rFonts w:ascii="Calibri" w:eastAsia="Calibri" w:hAnsi="Calibri" w:cs="Calibri"/>
                <w:sz w:val="20"/>
                <w:szCs w:val="20"/>
                <w:bdr w:val="nil"/>
                <w:lang w:val="fr-FR" w:eastAsia="en-AU"/>
              </w:rPr>
              <w:t>non significatifs</w:t>
            </w:r>
            <w:r>
              <w:rPr>
                <w:rFonts w:ascii="Calibri" w:eastAsia="Calibri" w:hAnsi="Calibri" w:cs="Calibri"/>
                <w:sz w:val="20"/>
                <w:szCs w:val="20"/>
                <w:bdr w:val="nil"/>
                <w:lang w:val="fr-FR" w:eastAsia="en-AU"/>
              </w:rPr>
              <w:t xml:space="preserve">) versés aux administrations locales. </w:t>
            </w:r>
          </w:p>
        </w:tc>
        <w:tc>
          <w:tcPr>
            <w:tcW w:w="1701" w:type="dxa"/>
          </w:tcPr>
          <w:p w14:paraId="4AD1396C" w14:textId="77777777" w:rsidR="00152FF5" w:rsidRPr="00962C19" w:rsidRDefault="00152FF5" w:rsidP="00152FF5">
            <w:pPr>
              <w:autoSpaceDE w:val="0"/>
              <w:autoSpaceDN w:val="0"/>
              <w:adjustRightInd w:val="0"/>
              <w:spacing w:before="120" w:after="120" w:line="220" w:lineRule="exact"/>
              <w:contextualSpacing/>
              <w:rPr>
                <w:sz w:val="20"/>
                <w:szCs w:val="20"/>
                <w:lang w:val="fr-FR"/>
              </w:rPr>
            </w:pPr>
            <w:r>
              <w:rPr>
                <w:rFonts w:ascii="Calibri" w:eastAsia="Calibri" w:hAnsi="Calibri" w:cs="Calibri"/>
                <w:sz w:val="20"/>
                <w:szCs w:val="20"/>
                <w:bdr w:val="nil"/>
                <w:lang w:val="fr-FR"/>
              </w:rPr>
              <w:lastRenderedPageBreak/>
              <w:t xml:space="preserve">Le Comité doit émettre une recommandation sur l’évaluation du Conseil </w:t>
            </w:r>
            <w:r>
              <w:rPr>
                <w:rFonts w:ascii="Calibri" w:eastAsia="Calibri" w:hAnsi="Calibri" w:cs="Calibri"/>
                <w:sz w:val="20"/>
                <w:szCs w:val="20"/>
                <w:bdr w:val="nil"/>
                <w:lang w:val="fr-FR"/>
              </w:rPr>
              <w:lastRenderedPageBreak/>
              <w:t>d’administration de l’</w:t>
            </w:r>
            <w:r w:rsidR="00087D0F">
              <w:rPr>
                <w:rFonts w:ascii="Calibri" w:eastAsia="Calibri" w:hAnsi="Calibri" w:cs="Calibri"/>
                <w:sz w:val="20"/>
                <w:szCs w:val="20"/>
                <w:bdr w:val="nil"/>
                <w:lang w:val="fr-FR"/>
              </w:rPr>
              <w:t>E</w:t>
            </w:r>
            <w:r>
              <w:rPr>
                <w:rFonts w:ascii="Calibri" w:eastAsia="Calibri" w:hAnsi="Calibri" w:cs="Calibri"/>
                <w:sz w:val="20"/>
                <w:szCs w:val="20"/>
                <w:bdr w:val="nil"/>
                <w:lang w:val="fr-FR"/>
              </w:rPr>
              <w:t>xigence 4.7</w:t>
            </w:r>
            <w:r w:rsidR="00962C19">
              <w:rPr>
                <w:rFonts w:ascii="Calibri" w:eastAsia="Calibri" w:hAnsi="Calibri" w:cs="Calibri"/>
                <w:sz w:val="20"/>
                <w:szCs w:val="20"/>
                <w:bdr w:val="nil"/>
                <w:lang w:val="fr-FR"/>
              </w:rPr>
              <w:t>, à savoir si les progrès sont « </w:t>
            </w:r>
            <w:r>
              <w:rPr>
                <w:rFonts w:ascii="Calibri" w:eastAsia="Calibri" w:hAnsi="Calibri" w:cs="Calibri"/>
                <w:sz w:val="20"/>
                <w:szCs w:val="20"/>
                <w:bdr w:val="nil"/>
                <w:lang w:val="fr-FR"/>
              </w:rPr>
              <w:t>sign</w:t>
            </w:r>
            <w:r w:rsidR="00962C19">
              <w:rPr>
                <w:rFonts w:ascii="Calibri" w:eastAsia="Calibri" w:hAnsi="Calibri" w:cs="Calibri"/>
                <w:sz w:val="20"/>
                <w:szCs w:val="20"/>
                <w:bdr w:val="nil"/>
                <w:lang w:val="fr-FR"/>
              </w:rPr>
              <w:t>ificatifs » ou « satisfaisants »</w:t>
            </w:r>
            <w:r>
              <w:rPr>
                <w:rFonts w:ascii="Calibri" w:eastAsia="Calibri" w:hAnsi="Calibri" w:cs="Calibri"/>
                <w:sz w:val="20"/>
                <w:szCs w:val="20"/>
                <w:bdr w:val="nil"/>
                <w:lang w:val="fr-FR"/>
              </w:rPr>
              <w:t xml:space="preserve">.  </w:t>
            </w:r>
          </w:p>
          <w:p w14:paraId="5794C2CB" w14:textId="77777777" w:rsidR="00152FF5" w:rsidRPr="00962C19" w:rsidRDefault="00152FF5" w:rsidP="00152FF5">
            <w:pPr>
              <w:spacing w:before="120" w:after="120" w:line="220" w:lineRule="exact"/>
              <w:contextualSpacing/>
              <w:rPr>
                <w:sz w:val="20"/>
                <w:szCs w:val="20"/>
                <w:lang w:val="fr-FR"/>
              </w:rPr>
            </w:pPr>
          </w:p>
          <w:p w14:paraId="0101C86E" w14:textId="77777777" w:rsidR="00152FF5" w:rsidRPr="00962C19" w:rsidRDefault="00962C19" w:rsidP="00152FF5">
            <w:pPr>
              <w:tabs>
                <w:tab w:val="left" w:pos="11624"/>
                <w:tab w:val="left" w:pos="11907"/>
              </w:tabs>
              <w:spacing w:before="120" w:after="120" w:line="220" w:lineRule="exact"/>
              <w:contextualSpacing/>
              <w:rPr>
                <w:sz w:val="20"/>
                <w:szCs w:val="20"/>
                <w:lang w:val="fr-FR"/>
              </w:rPr>
            </w:pPr>
            <w:r>
              <w:rPr>
                <w:rFonts w:ascii="Calibri" w:eastAsia="Calibri" w:hAnsi="Calibri" w:cs="Calibri"/>
                <w:sz w:val="20"/>
                <w:szCs w:val="20"/>
                <w:bdr w:val="nil"/>
                <w:lang w:val="fr-FR"/>
              </w:rPr>
              <w:t>Si les progrès sont « significatifs »</w:t>
            </w:r>
            <w:r w:rsidR="00152FF5">
              <w:rPr>
                <w:rFonts w:ascii="Calibri" w:eastAsia="Calibri" w:hAnsi="Calibri" w:cs="Calibri"/>
                <w:sz w:val="20"/>
                <w:szCs w:val="20"/>
                <w:bdr w:val="nil"/>
                <w:lang w:val="fr-FR"/>
              </w:rPr>
              <w:t>, le Comité doit préciser quelles dispositions n’ont pas été respectées selon lui et recommander des mesures correctives.</w:t>
            </w:r>
          </w:p>
        </w:tc>
      </w:tr>
    </w:tbl>
    <w:p w14:paraId="1E0486C0" w14:textId="77777777" w:rsidR="00152FF5" w:rsidRPr="00962C19" w:rsidRDefault="00152FF5" w:rsidP="00152FF5">
      <w:pPr>
        <w:tabs>
          <w:tab w:val="left" w:pos="11624"/>
          <w:tab w:val="left" w:pos="11907"/>
        </w:tabs>
        <w:spacing w:before="120" w:after="120" w:line="220" w:lineRule="exact"/>
        <w:contextualSpacing/>
        <w:rPr>
          <w:sz w:val="20"/>
          <w:szCs w:val="20"/>
          <w:lang w:val="fr-FR"/>
        </w:rPr>
      </w:pPr>
    </w:p>
    <w:sectPr w:rsidR="00152FF5" w:rsidRPr="00962C19" w:rsidSect="00152FF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E9B18" w14:textId="77777777" w:rsidR="00CD0385" w:rsidRDefault="00CD0385">
      <w:pPr>
        <w:spacing w:after="0" w:line="240" w:lineRule="auto"/>
      </w:pPr>
      <w:r>
        <w:separator/>
      </w:r>
    </w:p>
  </w:endnote>
  <w:endnote w:type="continuationSeparator" w:id="0">
    <w:p w14:paraId="1E65E885" w14:textId="77777777" w:rsidR="00CD0385" w:rsidRDefault="00CD0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altName w:val="Calibri Light"/>
    <w:panose1 w:val="020F0502020204030204"/>
    <w:charset w:val="00"/>
    <w:family w:val="swiss"/>
    <w:pitch w:val="variable"/>
    <w:sig w:usb0="00000001"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yriadPro-Regular">
    <w:panose1 w:val="020B0503030403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22CEC" w14:textId="77777777" w:rsidR="00CD0385" w:rsidRDefault="00CD0385" w:rsidP="00152FF5">
      <w:pPr>
        <w:spacing w:after="0" w:line="240" w:lineRule="auto"/>
      </w:pPr>
      <w:r>
        <w:separator/>
      </w:r>
    </w:p>
  </w:footnote>
  <w:footnote w:type="continuationSeparator" w:id="0">
    <w:p w14:paraId="29D89B1B" w14:textId="77777777" w:rsidR="00CD0385" w:rsidRDefault="00CD0385" w:rsidP="00152FF5">
      <w:pPr>
        <w:spacing w:after="0" w:line="240" w:lineRule="auto"/>
      </w:pPr>
      <w:r>
        <w:continuationSeparator/>
      </w:r>
    </w:p>
  </w:footnote>
  <w:footnote w:id="1">
    <w:p w14:paraId="7345777E" w14:textId="77777777" w:rsidR="00DC3B85" w:rsidRPr="00962C19" w:rsidRDefault="00DC3B85">
      <w:pPr>
        <w:pStyle w:val="FootnoteText"/>
        <w:rPr>
          <w:lang w:val="fr-FR"/>
        </w:rPr>
      </w:pPr>
      <w:r>
        <w:rPr>
          <w:rStyle w:val="FootnoteReference"/>
        </w:rPr>
        <w:footnoteRef/>
      </w:r>
      <w:r>
        <w:rPr>
          <w:rFonts w:ascii="Calibri" w:eastAsia="Calibri" w:hAnsi="Calibri" w:cs="Calibri"/>
          <w:bdr w:val="nil"/>
          <w:lang w:val="fr-FR"/>
        </w:rPr>
        <w:t xml:space="preserve"> </w:t>
      </w:r>
      <w:r>
        <w:rPr>
          <w:rFonts w:ascii="Calibri" w:eastAsia="Calibri" w:hAnsi="Calibri" w:cs="Calibri"/>
          <w:sz w:val="16"/>
          <w:szCs w:val="16"/>
          <w:bdr w:val="nil"/>
          <w:lang w:val="fr-FR"/>
        </w:rPr>
        <w:t>parmi les 136 entreprises concernées par le seuil de matérialité</w:t>
      </w:r>
    </w:p>
  </w:footnote>
  <w:footnote w:id="2">
    <w:p w14:paraId="4B061F00" w14:textId="77777777" w:rsidR="00DC3B85" w:rsidRPr="00962C19" w:rsidRDefault="00DC3B85">
      <w:pPr>
        <w:pStyle w:val="FootnoteText"/>
        <w:rPr>
          <w:lang w:val="fr-FR"/>
        </w:rPr>
      </w:pPr>
      <w:r>
        <w:rPr>
          <w:rStyle w:val="FootnoteReference"/>
        </w:rPr>
        <w:footnoteRef/>
      </w:r>
      <w:r>
        <w:rPr>
          <w:rFonts w:ascii="Calibri" w:eastAsia="Calibri" w:hAnsi="Calibri" w:cs="Calibri"/>
          <w:bdr w:val="nil"/>
          <w:lang w:val="fr-FR"/>
        </w:rPr>
        <w:t xml:space="preserve"> </w:t>
      </w:r>
      <w:r>
        <w:rPr>
          <w:rFonts w:ascii="Calibri" w:eastAsia="Calibri" w:hAnsi="Calibri" w:cs="Calibri"/>
          <w:sz w:val="16"/>
          <w:szCs w:val="16"/>
          <w:bdr w:val="nil"/>
          <w:lang w:val="fr-FR"/>
        </w:rPr>
        <w:t>les membres du Comité des ressources minérales sont les représentants les plus importants de l</w:t>
      </w:r>
      <w:r w:rsidR="00921573">
        <w:rPr>
          <w:rFonts w:ascii="Calibri" w:eastAsia="Calibri" w:hAnsi="Calibri" w:cs="Calibri"/>
          <w:sz w:val="16"/>
          <w:szCs w:val="16"/>
          <w:bdr w:val="nil"/>
          <w:lang w:val="fr-FR"/>
        </w:rPr>
        <w:t>’</w:t>
      </w:r>
      <w:r>
        <w:rPr>
          <w:rFonts w:ascii="Calibri" w:eastAsia="Calibri" w:hAnsi="Calibri" w:cs="Calibri"/>
          <w:sz w:val="16"/>
          <w:szCs w:val="16"/>
          <w:bdr w:val="nil"/>
          <w:lang w:val="fr-FR"/>
        </w:rPr>
        <w:t>industrie minière au Kirghizistan.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9687A"/>
    <w:multiLevelType w:val="multilevel"/>
    <w:tmpl w:val="D960E7B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2D3506F3"/>
    <w:multiLevelType w:val="multilevel"/>
    <w:tmpl w:val="B150E4B6"/>
    <w:lvl w:ilvl="0">
      <w:start w:val="2"/>
      <w:numFmt w:val="decimal"/>
      <w:lvlText w:val="%1"/>
      <w:lvlJc w:val="left"/>
      <w:pPr>
        <w:ind w:left="360" w:hanging="360"/>
      </w:pPr>
      <w:rPr>
        <w:rFonts w:eastAsiaTheme="minorHAnsi" w:hint="default"/>
        <w:b/>
      </w:rPr>
    </w:lvl>
    <w:lvl w:ilvl="1">
      <w:start w:val="1"/>
      <w:numFmt w:val="decimal"/>
      <w:lvlText w:val="%1.%2"/>
      <w:lvlJc w:val="left"/>
      <w:pPr>
        <w:ind w:left="360" w:hanging="360"/>
      </w:pPr>
      <w:rPr>
        <w:rFonts w:eastAsiaTheme="minorHAnsi" w:hint="default"/>
        <w:b/>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440" w:hanging="1440"/>
      </w:pPr>
      <w:rPr>
        <w:rFonts w:eastAsiaTheme="minorHAnsi" w:hint="default"/>
        <w:b/>
      </w:rPr>
    </w:lvl>
  </w:abstractNum>
  <w:abstractNum w:abstractNumId="2" w15:restartNumberingAfterBreak="0">
    <w:nsid w:val="2EA11790"/>
    <w:multiLevelType w:val="hybridMultilevel"/>
    <w:tmpl w:val="56F6AD08"/>
    <w:lvl w:ilvl="0" w:tplc="DE2866D0">
      <w:numFmt w:val="bullet"/>
      <w:lvlText w:val=""/>
      <w:lvlJc w:val="left"/>
      <w:pPr>
        <w:ind w:left="720" w:hanging="360"/>
      </w:pPr>
      <w:rPr>
        <w:rFonts w:ascii="Symbol" w:eastAsiaTheme="minorHAnsi" w:hAnsi="Symbol" w:cstheme="minorBidi" w:hint="default"/>
      </w:rPr>
    </w:lvl>
    <w:lvl w:ilvl="1" w:tplc="952C4DDC" w:tentative="1">
      <w:start w:val="1"/>
      <w:numFmt w:val="bullet"/>
      <w:lvlText w:val="o"/>
      <w:lvlJc w:val="left"/>
      <w:pPr>
        <w:ind w:left="1440" w:hanging="360"/>
      </w:pPr>
      <w:rPr>
        <w:rFonts w:ascii="Courier New" w:hAnsi="Courier New" w:cs="Courier New" w:hint="default"/>
      </w:rPr>
    </w:lvl>
    <w:lvl w:ilvl="2" w:tplc="4BA44B08" w:tentative="1">
      <w:start w:val="1"/>
      <w:numFmt w:val="bullet"/>
      <w:lvlText w:val=""/>
      <w:lvlJc w:val="left"/>
      <w:pPr>
        <w:ind w:left="2160" w:hanging="360"/>
      </w:pPr>
      <w:rPr>
        <w:rFonts w:ascii="Wingdings" w:hAnsi="Wingdings" w:hint="default"/>
      </w:rPr>
    </w:lvl>
    <w:lvl w:ilvl="3" w:tplc="D85852D8" w:tentative="1">
      <w:start w:val="1"/>
      <w:numFmt w:val="bullet"/>
      <w:lvlText w:val=""/>
      <w:lvlJc w:val="left"/>
      <w:pPr>
        <w:ind w:left="2880" w:hanging="360"/>
      </w:pPr>
      <w:rPr>
        <w:rFonts w:ascii="Symbol" w:hAnsi="Symbol" w:hint="default"/>
      </w:rPr>
    </w:lvl>
    <w:lvl w:ilvl="4" w:tplc="BEAECBEC" w:tentative="1">
      <w:start w:val="1"/>
      <w:numFmt w:val="bullet"/>
      <w:lvlText w:val="o"/>
      <w:lvlJc w:val="left"/>
      <w:pPr>
        <w:ind w:left="3600" w:hanging="360"/>
      </w:pPr>
      <w:rPr>
        <w:rFonts w:ascii="Courier New" w:hAnsi="Courier New" w:cs="Courier New" w:hint="default"/>
      </w:rPr>
    </w:lvl>
    <w:lvl w:ilvl="5" w:tplc="A864958E" w:tentative="1">
      <w:start w:val="1"/>
      <w:numFmt w:val="bullet"/>
      <w:lvlText w:val=""/>
      <w:lvlJc w:val="left"/>
      <w:pPr>
        <w:ind w:left="4320" w:hanging="360"/>
      </w:pPr>
      <w:rPr>
        <w:rFonts w:ascii="Wingdings" w:hAnsi="Wingdings" w:hint="default"/>
      </w:rPr>
    </w:lvl>
    <w:lvl w:ilvl="6" w:tplc="0D04D500" w:tentative="1">
      <w:start w:val="1"/>
      <w:numFmt w:val="bullet"/>
      <w:lvlText w:val=""/>
      <w:lvlJc w:val="left"/>
      <w:pPr>
        <w:ind w:left="5040" w:hanging="360"/>
      </w:pPr>
      <w:rPr>
        <w:rFonts w:ascii="Symbol" w:hAnsi="Symbol" w:hint="default"/>
      </w:rPr>
    </w:lvl>
    <w:lvl w:ilvl="7" w:tplc="0186F2EE" w:tentative="1">
      <w:start w:val="1"/>
      <w:numFmt w:val="bullet"/>
      <w:lvlText w:val="o"/>
      <w:lvlJc w:val="left"/>
      <w:pPr>
        <w:ind w:left="5760" w:hanging="360"/>
      </w:pPr>
      <w:rPr>
        <w:rFonts w:ascii="Courier New" w:hAnsi="Courier New" w:cs="Courier New" w:hint="default"/>
      </w:rPr>
    </w:lvl>
    <w:lvl w:ilvl="8" w:tplc="23DE6212" w:tentative="1">
      <w:start w:val="1"/>
      <w:numFmt w:val="bullet"/>
      <w:lvlText w:val=""/>
      <w:lvlJc w:val="left"/>
      <w:pPr>
        <w:ind w:left="6480" w:hanging="360"/>
      </w:pPr>
      <w:rPr>
        <w:rFonts w:ascii="Wingdings" w:hAnsi="Wingdings" w:hint="default"/>
      </w:rPr>
    </w:lvl>
  </w:abstractNum>
  <w:abstractNum w:abstractNumId="3" w15:restartNumberingAfterBreak="0">
    <w:nsid w:val="38043E98"/>
    <w:multiLevelType w:val="hybridMultilevel"/>
    <w:tmpl w:val="8C18FD12"/>
    <w:lvl w:ilvl="0" w:tplc="24844C36">
      <w:numFmt w:val="bullet"/>
      <w:lvlText w:val=""/>
      <w:lvlJc w:val="left"/>
      <w:pPr>
        <w:ind w:left="720" w:hanging="360"/>
      </w:pPr>
      <w:rPr>
        <w:rFonts w:ascii="Symbol" w:eastAsiaTheme="minorHAnsi" w:hAnsi="Symbol" w:cstheme="minorBidi" w:hint="default"/>
      </w:rPr>
    </w:lvl>
    <w:lvl w:ilvl="1" w:tplc="025E195E" w:tentative="1">
      <w:start w:val="1"/>
      <w:numFmt w:val="bullet"/>
      <w:lvlText w:val="o"/>
      <w:lvlJc w:val="left"/>
      <w:pPr>
        <w:ind w:left="1440" w:hanging="360"/>
      </w:pPr>
      <w:rPr>
        <w:rFonts w:ascii="Courier New" w:hAnsi="Courier New" w:cs="Courier New" w:hint="default"/>
      </w:rPr>
    </w:lvl>
    <w:lvl w:ilvl="2" w:tplc="9E0CB3FE" w:tentative="1">
      <w:start w:val="1"/>
      <w:numFmt w:val="bullet"/>
      <w:lvlText w:val=""/>
      <w:lvlJc w:val="left"/>
      <w:pPr>
        <w:ind w:left="2160" w:hanging="360"/>
      </w:pPr>
      <w:rPr>
        <w:rFonts w:ascii="Wingdings" w:hAnsi="Wingdings" w:hint="default"/>
      </w:rPr>
    </w:lvl>
    <w:lvl w:ilvl="3" w:tplc="A4AE2D00" w:tentative="1">
      <w:start w:val="1"/>
      <w:numFmt w:val="bullet"/>
      <w:lvlText w:val=""/>
      <w:lvlJc w:val="left"/>
      <w:pPr>
        <w:ind w:left="2880" w:hanging="360"/>
      </w:pPr>
      <w:rPr>
        <w:rFonts w:ascii="Symbol" w:hAnsi="Symbol" w:hint="default"/>
      </w:rPr>
    </w:lvl>
    <w:lvl w:ilvl="4" w:tplc="D7CAE8FC" w:tentative="1">
      <w:start w:val="1"/>
      <w:numFmt w:val="bullet"/>
      <w:lvlText w:val="o"/>
      <w:lvlJc w:val="left"/>
      <w:pPr>
        <w:ind w:left="3600" w:hanging="360"/>
      </w:pPr>
      <w:rPr>
        <w:rFonts w:ascii="Courier New" w:hAnsi="Courier New" w:cs="Courier New" w:hint="default"/>
      </w:rPr>
    </w:lvl>
    <w:lvl w:ilvl="5" w:tplc="8C2C177E" w:tentative="1">
      <w:start w:val="1"/>
      <w:numFmt w:val="bullet"/>
      <w:lvlText w:val=""/>
      <w:lvlJc w:val="left"/>
      <w:pPr>
        <w:ind w:left="4320" w:hanging="360"/>
      </w:pPr>
      <w:rPr>
        <w:rFonts w:ascii="Wingdings" w:hAnsi="Wingdings" w:hint="default"/>
      </w:rPr>
    </w:lvl>
    <w:lvl w:ilvl="6" w:tplc="903A8CA4" w:tentative="1">
      <w:start w:val="1"/>
      <w:numFmt w:val="bullet"/>
      <w:lvlText w:val=""/>
      <w:lvlJc w:val="left"/>
      <w:pPr>
        <w:ind w:left="5040" w:hanging="360"/>
      </w:pPr>
      <w:rPr>
        <w:rFonts w:ascii="Symbol" w:hAnsi="Symbol" w:hint="default"/>
      </w:rPr>
    </w:lvl>
    <w:lvl w:ilvl="7" w:tplc="DF44EA92" w:tentative="1">
      <w:start w:val="1"/>
      <w:numFmt w:val="bullet"/>
      <w:lvlText w:val="o"/>
      <w:lvlJc w:val="left"/>
      <w:pPr>
        <w:ind w:left="5760" w:hanging="360"/>
      </w:pPr>
      <w:rPr>
        <w:rFonts w:ascii="Courier New" w:hAnsi="Courier New" w:cs="Courier New" w:hint="default"/>
      </w:rPr>
    </w:lvl>
    <w:lvl w:ilvl="8" w:tplc="A1AA87EE" w:tentative="1">
      <w:start w:val="1"/>
      <w:numFmt w:val="bullet"/>
      <w:lvlText w:val=""/>
      <w:lvlJc w:val="left"/>
      <w:pPr>
        <w:ind w:left="6480" w:hanging="360"/>
      </w:pPr>
      <w:rPr>
        <w:rFonts w:ascii="Wingdings" w:hAnsi="Wingdings" w:hint="default"/>
      </w:rPr>
    </w:lvl>
  </w:abstractNum>
  <w:abstractNum w:abstractNumId="4" w15:restartNumberingAfterBreak="0">
    <w:nsid w:val="5BEC461C"/>
    <w:multiLevelType w:val="hybridMultilevel"/>
    <w:tmpl w:val="7FB823F2"/>
    <w:lvl w:ilvl="0" w:tplc="F18C1CE2">
      <w:start w:val="1"/>
      <w:numFmt w:val="lowerLetter"/>
      <w:lvlText w:val="%1)"/>
      <w:lvlJc w:val="left"/>
      <w:pPr>
        <w:ind w:left="720" w:hanging="360"/>
      </w:pPr>
    </w:lvl>
    <w:lvl w:ilvl="1" w:tplc="90C8C832">
      <w:start w:val="1"/>
      <w:numFmt w:val="lowerLetter"/>
      <w:lvlText w:val="%2."/>
      <w:lvlJc w:val="left"/>
      <w:pPr>
        <w:ind w:left="1440" w:hanging="360"/>
      </w:pPr>
    </w:lvl>
    <w:lvl w:ilvl="2" w:tplc="D2CA4918">
      <w:start w:val="1"/>
      <w:numFmt w:val="lowerRoman"/>
      <w:lvlText w:val="%3."/>
      <w:lvlJc w:val="left"/>
      <w:pPr>
        <w:ind w:left="2160" w:hanging="180"/>
      </w:pPr>
    </w:lvl>
    <w:lvl w:ilvl="3" w:tplc="9348AF9C">
      <w:start w:val="1"/>
      <w:numFmt w:val="decimal"/>
      <w:lvlText w:val="%4."/>
      <w:lvlJc w:val="left"/>
      <w:pPr>
        <w:ind w:left="2880" w:hanging="360"/>
      </w:pPr>
    </w:lvl>
    <w:lvl w:ilvl="4" w:tplc="616A7F4E">
      <w:start w:val="1"/>
      <w:numFmt w:val="lowerLetter"/>
      <w:lvlText w:val="%5."/>
      <w:lvlJc w:val="left"/>
      <w:pPr>
        <w:ind w:left="3600" w:hanging="360"/>
      </w:pPr>
    </w:lvl>
    <w:lvl w:ilvl="5" w:tplc="4D6C9D5A">
      <w:start w:val="1"/>
      <w:numFmt w:val="lowerRoman"/>
      <w:lvlText w:val="%6."/>
      <w:lvlJc w:val="left"/>
      <w:pPr>
        <w:ind w:left="4320" w:hanging="180"/>
      </w:pPr>
    </w:lvl>
    <w:lvl w:ilvl="6" w:tplc="0EF4289C">
      <w:start w:val="1"/>
      <w:numFmt w:val="decimal"/>
      <w:lvlText w:val="%7."/>
      <w:lvlJc w:val="left"/>
      <w:pPr>
        <w:ind w:left="5040" w:hanging="360"/>
      </w:pPr>
    </w:lvl>
    <w:lvl w:ilvl="7" w:tplc="518E4720">
      <w:start w:val="1"/>
      <w:numFmt w:val="lowerLetter"/>
      <w:lvlText w:val="%8."/>
      <w:lvlJc w:val="left"/>
      <w:pPr>
        <w:ind w:left="5760" w:hanging="360"/>
      </w:pPr>
    </w:lvl>
    <w:lvl w:ilvl="8" w:tplc="F7FACAC0">
      <w:start w:val="1"/>
      <w:numFmt w:val="lowerRoman"/>
      <w:lvlText w:val="%9."/>
      <w:lvlJc w:val="left"/>
      <w:pPr>
        <w:ind w:left="6480" w:hanging="180"/>
      </w:pPr>
    </w:lvl>
  </w:abstractNum>
  <w:abstractNum w:abstractNumId="5" w15:restartNumberingAfterBreak="0">
    <w:nsid w:val="707A51CE"/>
    <w:multiLevelType w:val="multilevel"/>
    <w:tmpl w:val="392A6F1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5FF"/>
    <w:rsid w:val="00060ABE"/>
    <w:rsid w:val="00072F71"/>
    <w:rsid w:val="00087D0F"/>
    <w:rsid w:val="000905FF"/>
    <w:rsid w:val="000E2791"/>
    <w:rsid w:val="000E4E35"/>
    <w:rsid w:val="000E656D"/>
    <w:rsid w:val="000F4C1B"/>
    <w:rsid w:val="00104B8A"/>
    <w:rsid w:val="00132F4D"/>
    <w:rsid w:val="001527C8"/>
    <w:rsid w:val="00152FF5"/>
    <w:rsid w:val="001857E0"/>
    <w:rsid w:val="001B4851"/>
    <w:rsid w:val="002577EB"/>
    <w:rsid w:val="002823DF"/>
    <w:rsid w:val="002B5278"/>
    <w:rsid w:val="003B3A9F"/>
    <w:rsid w:val="003C7CF5"/>
    <w:rsid w:val="003E0E25"/>
    <w:rsid w:val="00435796"/>
    <w:rsid w:val="00445C5A"/>
    <w:rsid w:val="0048272B"/>
    <w:rsid w:val="005B553E"/>
    <w:rsid w:val="005E1D4B"/>
    <w:rsid w:val="00637423"/>
    <w:rsid w:val="00681A53"/>
    <w:rsid w:val="0069728A"/>
    <w:rsid w:val="006D344E"/>
    <w:rsid w:val="00713389"/>
    <w:rsid w:val="007479F8"/>
    <w:rsid w:val="00753081"/>
    <w:rsid w:val="007C3F22"/>
    <w:rsid w:val="007C474B"/>
    <w:rsid w:val="007D02E2"/>
    <w:rsid w:val="00813BB4"/>
    <w:rsid w:val="008A1F36"/>
    <w:rsid w:val="008F7135"/>
    <w:rsid w:val="00921573"/>
    <w:rsid w:val="009563AC"/>
    <w:rsid w:val="00962C19"/>
    <w:rsid w:val="009A4CD3"/>
    <w:rsid w:val="009D0BAE"/>
    <w:rsid w:val="009E2351"/>
    <w:rsid w:val="009F4D9F"/>
    <w:rsid w:val="00A1625B"/>
    <w:rsid w:val="00A353AF"/>
    <w:rsid w:val="00AC156C"/>
    <w:rsid w:val="00AD47BF"/>
    <w:rsid w:val="00B5300C"/>
    <w:rsid w:val="00C876CE"/>
    <w:rsid w:val="00CA54E6"/>
    <w:rsid w:val="00CB6FF6"/>
    <w:rsid w:val="00CD0385"/>
    <w:rsid w:val="00CD75A1"/>
    <w:rsid w:val="00CE7F7B"/>
    <w:rsid w:val="00CF1291"/>
    <w:rsid w:val="00D13685"/>
    <w:rsid w:val="00D256EA"/>
    <w:rsid w:val="00D84870"/>
    <w:rsid w:val="00DB2E17"/>
    <w:rsid w:val="00DB3121"/>
    <w:rsid w:val="00DC3B85"/>
    <w:rsid w:val="00DD55C8"/>
    <w:rsid w:val="00DF0B95"/>
    <w:rsid w:val="00E34603"/>
    <w:rsid w:val="00E601E5"/>
    <w:rsid w:val="00E749D1"/>
    <w:rsid w:val="00EB5097"/>
    <w:rsid w:val="00EF4377"/>
    <w:rsid w:val="00F32E6E"/>
    <w:rsid w:val="00F36882"/>
    <w:rsid w:val="00F45204"/>
    <w:rsid w:val="00F45A47"/>
    <w:rsid w:val="00F45A56"/>
    <w:rsid w:val="00F865F6"/>
    <w:rsid w:val="00F9420E"/>
    <w:rsid w:val="00F96326"/>
    <w:rsid w:val="00FA1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665BD"/>
  <w15:docId w15:val="{162B147E-EB0D-4ACC-A743-19E19AB5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5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5318"/>
    <w:rPr>
      <w:color w:val="0000FF" w:themeColor="hyperlink"/>
      <w:u w:val="single"/>
    </w:rPr>
  </w:style>
  <w:style w:type="character" w:styleId="CommentReference">
    <w:name w:val="annotation reference"/>
    <w:basedOn w:val="DefaultParagraphFont"/>
    <w:uiPriority w:val="99"/>
    <w:semiHidden/>
    <w:unhideWhenUsed/>
    <w:rsid w:val="000E6B6F"/>
    <w:rPr>
      <w:sz w:val="16"/>
      <w:szCs w:val="16"/>
    </w:rPr>
  </w:style>
  <w:style w:type="paragraph" w:styleId="CommentText">
    <w:name w:val="annotation text"/>
    <w:basedOn w:val="Normal"/>
    <w:link w:val="CommentTextChar"/>
    <w:uiPriority w:val="99"/>
    <w:semiHidden/>
    <w:unhideWhenUsed/>
    <w:rsid w:val="000E6B6F"/>
    <w:pPr>
      <w:spacing w:line="240" w:lineRule="auto"/>
    </w:pPr>
    <w:rPr>
      <w:sz w:val="20"/>
      <w:szCs w:val="20"/>
    </w:rPr>
  </w:style>
  <w:style w:type="character" w:customStyle="1" w:styleId="CommentTextChar">
    <w:name w:val="Comment Text Char"/>
    <w:basedOn w:val="DefaultParagraphFont"/>
    <w:link w:val="CommentText"/>
    <w:uiPriority w:val="99"/>
    <w:semiHidden/>
    <w:rsid w:val="000E6B6F"/>
    <w:rPr>
      <w:sz w:val="20"/>
      <w:szCs w:val="20"/>
    </w:rPr>
  </w:style>
  <w:style w:type="paragraph" w:styleId="CommentSubject">
    <w:name w:val="annotation subject"/>
    <w:basedOn w:val="CommentText"/>
    <w:next w:val="CommentText"/>
    <w:link w:val="CommentSubjectChar"/>
    <w:uiPriority w:val="99"/>
    <w:semiHidden/>
    <w:unhideWhenUsed/>
    <w:rsid w:val="000E6B6F"/>
    <w:rPr>
      <w:b/>
      <w:bCs/>
    </w:rPr>
  </w:style>
  <w:style w:type="character" w:customStyle="1" w:styleId="CommentSubjectChar">
    <w:name w:val="Comment Subject Char"/>
    <w:basedOn w:val="CommentTextChar"/>
    <w:link w:val="CommentSubject"/>
    <w:uiPriority w:val="99"/>
    <w:semiHidden/>
    <w:rsid w:val="000E6B6F"/>
    <w:rPr>
      <w:b/>
      <w:bCs/>
      <w:sz w:val="20"/>
      <w:szCs w:val="20"/>
    </w:rPr>
  </w:style>
  <w:style w:type="paragraph" w:styleId="BalloonText">
    <w:name w:val="Balloon Text"/>
    <w:basedOn w:val="Normal"/>
    <w:link w:val="BalloonTextChar"/>
    <w:uiPriority w:val="99"/>
    <w:semiHidden/>
    <w:unhideWhenUsed/>
    <w:rsid w:val="000E6B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B6F"/>
    <w:rPr>
      <w:rFonts w:ascii="Segoe UI" w:hAnsi="Segoe UI" w:cs="Segoe UI"/>
      <w:sz w:val="18"/>
      <w:szCs w:val="18"/>
    </w:rPr>
  </w:style>
  <w:style w:type="paragraph" w:styleId="ListParagraph">
    <w:name w:val="List Paragraph"/>
    <w:basedOn w:val="Normal"/>
    <w:uiPriority w:val="34"/>
    <w:qFormat/>
    <w:rsid w:val="00CC661B"/>
    <w:pPr>
      <w:spacing w:after="0" w:line="240" w:lineRule="auto"/>
      <w:ind w:left="720"/>
    </w:pPr>
    <w:rPr>
      <w:rFonts w:ascii="Calibri" w:hAnsi="Calibri" w:cs="Times New Roman"/>
      <w:lang w:val="en-AU"/>
    </w:rPr>
  </w:style>
  <w:style w:type="paragraph" w:styleId="FootnoteText">
    <w:name w:val="footnote text"/>
    <w:basedOn w:val="Normal"/>
    <w:link w:val="FootnoteTextChar"/>
    <w:uiPriority w:val="99"/>
    <w:semiHidden/>
    <w:unhideWhenUsed/>
    <w:rsid w:val="00937D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7DB9"/>
    <w:rPr>
      <w:sz w:val="20"/>
      <w:szCs w:val="20"/>
    </w:rPr>
  </w:style>
  <w:style w:type="character" w:styleId="FootnoteReference">
    <w:name w:val="footnote reference"/>
    <w:basedOn w:val="DefaultParagraphFont"/>
    <w:uiPriority w:val="99"/>
    <w:semiHidden/>
    <w:unhideWhenUsed/>
    <w:rsid w:val="00937DB9"/>
    <w:rPr>
      <w:vertAlign w:val="superscript"/>
    </w:rPr>
  </w:style>
  <w:style w:type="character" w:styleId="FollowedHyperlink">
    <w:name w:val="FollowedHyperlink"/>
    <w:basedOn w:val="DefaultParagraphFont"/>
    <w:uiPriority w:val="99"/>
    <w:semiHidden/>
    <w:unhideWhenUsed/>
    <w:rsid w:val="00974FFE"/>
    <w:rPr>
      <w:color w:val="800080" w:themeColor="followedHyperlink"/>
      <w:u w:val="single"/>
    </w:rPr>
  </w:style>
  <w:style w:type="character" w:customStyle="1" w:styleId="yiv1273588666972150902-21092011">
    <w:name w:val="yiv1273588666972150902-21092011"/>
    <w:basedOn w:val="DefaultParagraphFont"/>
    <w:rsid w:val="00BC1531"/>
  </w:style>
  <w:style w:type="paragraph" w:styleId="Header">
    <w:name w:val="header"/>
    <w:basedOn w:val="Normal"/>
    <w:link w:val="HeaderChar"/>
    <w:uiPriority w:val="99"/>
    <w:unhideWhenUsed/>
    <w:rsid w:val="009215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921573"/>
  </w:style>
  <w:style w:type="paragraph" w:styleId="Footer">
    <w:name w:val="footer"/>
    <w:basedOn w:val="Normal"/>
    <w:link w:val="FooterChar"/>
    <w:uiPriority w:val="99"/>
    <w:unhideWhenUsed/>
    <w:rsid w:val="009215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921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iti.org/sites/default/files/sdsg_validation_report_kyrgyz_republic.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iti.org/sites/default/files/msg_and_national_secretariat_comments_on_ia_report_0.pdf" TargetMode="External"/><Relationship Id="rId17" Type="http://schemas.openxmlformats.org/officeDocument/2006/relationships/hyperlink" Target="http://www.budget.okmot.kg" TargetMode="External"/><Relationship Id="rId2" Type="http://schemas.openxmlformats.org/officeDocument/2006/relationships/customXml" Target="../customXml/item2.xml"/><Relationship Id="rId16" Type="http://schemas.openxmlformats.org/officeDocument/2006/relationships/hyperlink" Target="https://eiti.org/sites/default/files/en_attachment_comments_from_ia.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iti.org/sites/default/files/eng_kyrgyz_republic_draft_report_on_initial_data_collection_and_stakeholder_consultations.pdf" TargetMode="External"/><Relationship Id="rId5" Type="http://schemas.openxmlformats.org/officeDocument/2006/relationships/numbering" Target="numbering.xml"/><Relationship Id="rId15" Type="http://schemas.openxmlformats.org/officeDocument/2006/relationships/hyperlink" Target="https://eiti.org/sites/default/files/en_kr_industry_comments_on_the_validation_report_-_jan_2017.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iti.org/sites/default/files/en_kr_msg_comments_on_the_validation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DACE739233BB499185E9201691D117" ma:contentTypeVersion="45" ma:contentTypeDescription="Create a new document." ma:contentTypeScope="" ma:versionID="20182d0dbdd215c1e09bd485ed6324dc">
  <xsd:schema xmlns:xsd="http://www.w3.org/2001/XMLSchema" xmlns:xs="http://www.w3.org/2001/XMLSchema" xmlns:p="http://schemas.microsoft.com/office/2006/metadata/properties" targetNamespace="http://schemas.microsoft.com/office/2006/metadata/properties" ma:root="true" ma:fieldsID="074b5a4020cc0417531245af4bd9469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0F9DE-F332-4D54-B29C-2499119027F5}">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38F17986-713B-4A89-AD87-3B6E1C60FDA1}">
  <ds:schemaRefs>
    <ds:schemaRef ds:uri="http://schemas.microsoft.com/sharepoint/v3/contenttype/forms"/>
  </ds:schemaRefs>
</ds:datastoreItem>
</file>

<file path=customXml/itemProps3.xml><?xml version="1.0" encoding="utf-8"?>
<ds:datastoreItem xmlns:ds="http://schemas.openxmlformats.org/officeDocument/2006/customXml" ds:itemID="{A3830F93-4C13-4B9F-B3C3-B63459F8F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8B9B8FD-3DA5-4B97-A55A-F731C77D1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4663</Words>
  <Characters>26580</Characters>
  <Application>Microsoft Office Word</Application>
  <DocSecurity>0</DocSecurity>
  <Lines>221</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Shemshat Kasimova</dc:creator>
  <cp:lastModifiedBy>EITI International Secretariat</cp:lastModifiedBy>
  <cp:revision>2</cp:revision>
  <cp:lastPrinted>2016-11-29T14:18:00Z</cp:lastPrinted>
  <dcterms:created xsi:type="dcterms:W3CDTF">2017-02-10T21:20:00Z</dcterms:created>
  <dcterms:modified xsi:type="dcterms:W3CDTF">2017-02-10T21:20:00Z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0x0101004FDACE739233BB499185E9201691D117</vt:lpwstr>
  </property>
</Properties>
</file>