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64" w:rsidRPr="004B58B0" w:rsidRDefault="00D71884" w:rsidP="00063951">
      <w:pPr>
        <w:spacing w:before="120" w:after="120" w:line="220" w:lineRule="exact"/>
        <w:contextualSpacing/>
        <w:jc w:val="center"/>
        <w:rPr>
          <w:lang w:val="ru-RU"/>
        </w:rPr>
      </w:pPr>
      <w:bookmarkStart w:id="0" w:name="_GoBack"/>
      <w:bookmarkEnd w:id="0"/>
      <w:r>
        <w:rPr>
          <w:b/>
          <w:sz w:val="36"/>
          <w:szCs w:val="36"/>
          <w:lang w:val="ru-RU"/>
        </w:rPr>
        <w:t>Валидация</w:t>
      </w:r>
      <w:r w:rsidRPr="004B58B0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Кыргызской</w:t>
      </w:r>
      <w:r w:rsidRPr="004B58B0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Республики</w:t>
      </w:r>
      <w:r w:rsidR="00E43864" w:rsidRPr="004B58B0">
        <w:rPr>
          <w:b/>
          <w:sz w:val="36"/>
          <w:szCs w:val="36"/>
          <w:lang w:val="ru-RU"/>
        </w:rPr>
        <w:t xml:space="preserve"> 2016 </w:t>
      </w:r>
      <w:r>
        <w:rPr>
          <w:b/>
          <w:sz w:val="36"/>
          <w:szCs w:val="36"/>
          <w:lang w:val="ru-RU"/>
        </w:rPr>
        <w:t>– матрица сравнения</w:t>
      </w:r>
    </w:p>
    <w:p w:rsidR="00E43864" w:rsidRPr="004B58B0" w:rsidRDefault="00E43864" w:rsidP="00063951">
      <w:pPr>
        <w:spacing w:before="120" w:after="120" w:line="220" w:lineRule="exact"/>
        <w:contextualSpacing/>
        <w:rPr>
          <w:b/>
          <w:sz w:val="20"/>
          <w:szCs w:val="20"/>
          <w:lang w:val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820"/>
        <w:gridCol w:w="2453"/>
        <w:gridCol w:w="2728"/>
        <w:gridCol w:w="2372"/>
        <w:gridCol w:w="2112"/>
      </w:tblGrid>
      <w:tr w:rsidR="0048592D" w:rsidRPr="008E4199" w:rsidTr="008E4199">
        <w:trPr>
          <w:cantSplit/>
          <w:tblHeader/>
        </w:trPr>
        <w:tc>
          <w:tcPr>
            <w:tcW w:w="2768" w:type="dxa"/>
            <w:shd w:val="clear" w:color="auto" w:fill="D9D9D9"/>
          </w:tcPr>
          <w:p w:rsidR="001827A8" w:rsidRPr="008E4199" w:rsidRDefault="006E0333" w:rsidP="008E4199">
            <w:pPr>
              <w:spacing w:before="120" w:after="120" w:line="220" w:lineRule="exac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Требование</w:t>
            </w:r>
          </w:p>
        </w:tc>
        <w:tc>
          <w:tcPr>
            <w:tcW w:w="2892" w:type="dxa"/>
            <w:shd w:val="clear" w:color="auto" w:fill="D9D9D9"/>
          </w:tcPr>
          <w:p w:rsidR="001827A8" w:rsidRPr="004B58B0" w:rsidRDefault="006E0333" w:rsidP="008E4199">
            <w:pPr>
              <w:spacing w:before="120" w:after="120" w:line="220" w:lineRule="exact"/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Первоначальная оценка Международным Секретариатом</w:t>
            </w:r>
            <w:r w:rsidR="001827A8"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  <w:r w:rsidR="00CE50DD" w:rsidRPr="004B58B0">
              <w:rPr>
                <w:b/>
                <w:sz w:val="20"/>
                <w:szCs w:val="20"/>
                <w:lang w:val="ru-RU"/>
              </w:rPr>
              <w:t>(</w:t>
            </w:r>
            <w:hyperlink r:id="rId11" w:history="1">
              <w:r>
                <w:rPr>
                  <w:rStyle w:val="Hyperlink"/>
                  <w:b/>
                  <w:sz w:val="20"/>
                  <w:szCs w:val="20"/>
                  <w:lang w:val="ru-RU"/>
                </w:rPr>
                <w:t>Источник</w:t>
              </w:r>
            </w:hyperlink>
            <w:r w:rsidR="00CE50DD" w:rsidRPr="004B58B0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557" w:type="dxa"/>
            <w:shd w:val="clear" w:color="auto" w:fill="D9D9D9"/>
          </w:tcPr>
          <w:p w:rsidR="001827A8" w:rsidRPr="004B58B0" w:rsidRDefault="006E0333" w:rsidP="008E4199">
            <w:pPr>
              <w:spacing w:before="120" w:after="120" w:line="220" w:lineRule="exact"/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Комментарии</w:t>
            </w:r>
            <w:r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заинтересованных</w:t>
            </w:r>
            <w:r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сторон к первоначальному отчету Секретариата</w:t>
            </w:r>
            <w:r w:rsidR="00CE50DD" w:rsidRPr="004B58B0">
              <w:rPr>
                <w:b/>
                <w:sz w:val="20"/>
                <w:szCs w:val="20"/>
                <w:lang w:val="ru-RU"/>
              </w:rPr>
              <w:t xml:space="preserve"> (</w:t>
            </w:r>
            <w:hyperlink r:id="rId12" w:history="1">
              <w:r>
                <w:rPr>
                  <w:rStyle w:val="Hyperlink"/>
                  <w:b/>
                  <w:sz w:val="20"/>
                  <w:szCs w:val="20"/>
                  <w:lang w:val="ru-RU"/>
                </w:rPr>
                <w:t>Источник</w:t>
              </w:r>
            </w:hyperlink>
            <w:r w:rsidR="00CE50DD" w:rsidRPr="004B58B0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D9D9D9"/>
          </w:tcPr>
          <w:p w:rsidR="001827A8" w:rsidRPr="008E4199" w:rsidRDefault="006E0333" w:rsidP="008E4199">
            <w:pPr>
              <w:spacing w:before="120" w:after="120" w:line="220" w:lineRule="exac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Оценка</w:t>
            </w:r>
            <w:r w:rsidRPr="004B58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Независимым</w:t>
            </w:r>
            <w:r w:rsidRPr="004B58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Валидатором</w:t>
            </w:r>
            <w:r w:rsidR="001827A8" w:rsidRPr="008E4199">
              <w:rPr>
                <w:b/>
                <w:sz w:val="20"/>
                <w:szCs w:val="20"/>
              </w:rPr>
              <w:t xml:space="preserve"> </w:t>
            </w:r>
            <w:r w:rsidR="00CE50DD" w:rsidRPr="008E4199">
              <w:rPr>
                <w:b/>
                <w:sz w:val="20"/>
                <w:szCs w:val="20"/>
              </w:rPr>
              <w:t>(</w:t>
            </w:r>
            <w:hyperlink r:id="rId13" w:history="1">
              <w:r>
                <w:rPr>
                  <w:rStyle w:val="Hyperlink"/>
                  <w:b/>
                  <w:sz w:val="20"/>
                  <w:szCs w:val="20"/>
                  <w:lang w:val="ru-RU"/>
                </w:rPr>
                <w:t>Источник</w:t>
              </w:r>
            </w:hyperlink>
            <w:r w:rsidR="00CE50DD" w:rsidRPr="008E4199">
              <w:rPr>
                <w:b/>
                <w:sz w:val="20"/>
                <w:szCs w:val="20"/>
              </w:rPr>
              <w:t>)</w:t>
            </w:r>
            <w:r w:rsidR="001E0FFB" w:rsidRPr="008E41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E063EB" w:rsidRPr="004B58B0" w:rsidRDefault="006E0333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Комментарии</w:t>
            </w:r>
            <w:r w:rsidRPr="00C77BA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заинтересованных</w:t>
            </w:r>
            <w:r w:rsidRPr="00C77BA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сторон к отчету о Валидации</w:t>
            </w:r>
            <w:r w:rsidR="00AA4C49"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1827A8" w:rsidRPr="004B58B0" w:rsidRDefault="00E063EB" w:rsidP="008E4199">
            <w:pPr>
              <w:spacing w:before="120" w:after="120" w:line="220" w:lineRule="exact"/>
              <w:contextualSpacing/>
              <w:rPr>
                <w:b/>
                <w:sz w:val="20"/>
                <w:szCs w:val="20"/>
                <w:lang w:val="ru-RU"/>
              </w:rPr>
            </w:pPr>
            <w:r w:rsidRPr="004B58B0">
              <w:rPr>
                <w:sz w:val="20"/>
                <w:szCs w:val="20"/>
                <w:lang w:val="ru-RU"/>
              </w:rPr>
              <w:t>(</w:t>
            </w:r>
            <w:hyperlink r:id="rId14" w:history="1">
              <w:r w:rsidR="006E0333">
                <w:rPr>
                  <w:rStyle w:val="Hyperlink"/>
                  <w:b/>
                  <w:sz w:val="20"/>
                  <w:szCs w:val="20"/>
                  <w:lang w:val="ru-RU"/>
                </w:rPr>
                <w:t>Источник</w:t>
              </w:r>
            </w:hyperlink>
            <w:r w:rsidR="006E0333" w:rsidRPr="004B58B0">
              <w:rPr>
                <w:rStyle w:val="Hyperlink"/>
                <w:b/>
                <w:sz w:val="20"/>
                <w:szCs w:val="20"/>
                <w:lang w:val="ru-RU"/>
              </w:rPr>
              <w:t xml:space="preserve"> </w:t>
            </w:r>
            <w:r w:rsidR="006E0333">
              <w:rPr>
                <w:b/>
                <w:sz w:val="20"/>
                <w:szCs w:val="20"/>
                <w:lang w:val="ru-RU"/>
              </w:rPr>
              <w:t>для</w:t>
            </w:r>
            <w:r w:rsidR="006E0333"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  <w:r w:rsidR="006E0333">
              <w:rPr>
                <w:b/>
                <w:sz w:val="20"/>
                <w:szCs w:val="20"/>
                <w:lang w:val="ru-RU"/>
              </w:rPr>
              <w:t>комментариев</w:t>
            </w:r>
            <w:r w:rsidR="006E0333"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  <w:r w:rsidR="006E0333">
              <w:rPr>
                <w:b/>
                <w:sz w:val="20"/>
                <w:szCs w:val="20"/>
                <w:lang w:val="ru-RU"/>
              </w:rPr>
              <w:t>МГЗС</w:t>
            </w:r>
            <w:r w:rsidR="00082CC0" w:rsidRPr="004B58B0">
              <w:rPr>
                <w:b/>
                <w:sz w:val="20"/>
                <w:szCs w:val="20"/>
                <w:lang w:val="ru-RU"/>
              </w:rPr>
              <w:t xml:space="preserve">; </w:t>
            </w:r>
            <w:hyperlink r:id="rId15" w:history="1">
              <w:r w:rsidR="006E0333">
                <w:rPr>
                  <w:rStyle w:val="Hyperlink"/>
                  <w:b/>
                  <w:sz w:val="20"/>
                  <w:szCs w:val="20"/>
                  <w:lang w:val="ru-RU"/>
                </w:rPr>
                <w:t>Источник</w:t>
              </w:r>
            </w:hyperlink>
            <w:r w:rsidR="00203CED"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  <w:r w:rsidR="006E0333">
              <w:rPr>
                <w:b/>
                <w:sz w:val="20"/>
                <w:szCs w:val="20"/>
                <w:lang w:val="ru-RU"/>
              </w:rPr>
              <w:t>для комментариев промышленности</w:t>
            </w:r>
            <w:r w:rsidR="00E7198A" w:rsidRPr="004B58B0">
              <w:rPr>
                <w:b/>
                <w:sz w:val="20"/>
                <w:szCs w:val="20"/>
                <w:lang w:val="ru-RU"/>
              </w:rPr>
              <w:t xml:space="preserve">; </w:t>
            </w:r>
            <w:hyperlink r:id="rId16" w:history="1">
              <w:r w:rsidR="006E0333">
                <w:rPr>
                  <w:rStyle w:val="Hyperlink"/>
                  <w:b/>
                  <w:sz w:val="20"/>
                  <w:szCs w:val="20"/>
                  <w:lang w:val="ru-RU"/>
                </w:rPr>
                <w:t>Источник</w:t>
              </w:r>
            </w:hyperlink>
            <w:r w:rsidR="00E7198A"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  <w:r w:rsidR="006E0333">
              <w:rPr>
                <w:b/>
                <w:sz w:val="20"/>
                <w:szCs w:val="20"/>
                <w:lang w:val="ru-RU"/>
              </w:rPr>
              <w:t>для комментариев Независимого Администратора</w:t>
            </w:r>
            <w:r w:rsidRPr="004B58B0">
              <w:rPr>
                <w:sz w:val="20"/>
                <w:szCs w:val="20"/>
                <w:lang w:val="ru-RU"/>
              </w:rPr>
              <w:t>)</w:t>
            </w:r>
            <w:r w:rsidRPr="004B58B0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1827A8" w:rsidRPr="008E4199" w:rsidRDefault="006E0333" w:rsidP="008E4199">
            <w:pPr>
              <w:spacing w:before="120" w:after="120" w:line="220" w:lineRule="exac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Следующие шаги</w:t>
            </w:r>
          </w:p>
        </w:tc>
      </w:tr>
      <w:tr w:rsidR="0048592D" w:rsidRPr="00484754" w:rsidTr="008E4199">
        <w:tc>
          <w:tcPr>
            <w:tcW w:w="2768" w:type="dxa"/>
            <w:shd w:val="clear" w:color="auto" w:fill="auto"/>
          </w:tcPr>
          <w:p w:rsidR="001B55FB" w:rsidRPr="004B58B0" w:rsidRDefault="001B55FB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4B58B0">
              <w:rPr>
                <w:sz w:val="20"/>
                <w:szCs w:val="20"/>
                <w:lang w:val="ru-RU"/>
              </w:rPr>
              <w:t xml:space="preserve">1.2 </w:t>
            </w:r>
            <w:r w:rsidR="00671FCA">
              <w:rPr>
                <w:sz w:val="20"/>
                <w:szCs w:val="20"/>
                <w:lang w:val="ru-RU"/>
              </w:rPr>
              <w:t>Участие компаний</w:t>
            </w:r>
          </w:p>
          <w:p w:rsidR="001B55FB" w:rsidRPr="004B58B0" w:rsidRDefault="001B55FB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a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</w:t>
            </w:r>
            <w:r w:rsidR="00671FCA" w:rsidRPr="004B58B0">
              <w:rPr>
                <w:rFonts w:cs="MyriadPro-Regular"/>
                <w:sz w:val="20"/>
                <w:szCs w:val="20"/>
                <w:lang w:val="ru-RU"/>
              </w:rPr>
              <w:t>Необходимо, чтобы компании принимали полное, активное и эффективное участие в процессе</w:t>
            </w:r>
            <w:r w:rsidR="00671FCA">
              <w:rPr>
                <w:rFonts w:cs="MyriadPro-Regular"/>
                <w:sz w:val="20"/>
                <w:szCs w:val="20"/>
                <w:lang w:val="ru-RU"/>
              </w:rPr>
              <w:t xml:space="preserve"> ИПДО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>.</w:t>
            </w:r>
          </w:p>
          <w:p w:rsidR="001B55FB" w:rsidRPr="00484754" w:rsidRDefault="001B55FB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b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</w:t>
            </w:r>
            <w:r w:rsidR="00671FCA" w:rsidRPr="004B58B0">
              <w:rPr>
                <w:rFonts w:cs="MyriadPro-Regular"/>
                <w:sz w:val="20"/>
                <w:szCs w:val="20"/>
                <w:lang w:val="ru-RU"/>
              </w:rPr>
              <w:t>Правительство должно обеспечить благоприятные условия для участия компаний в принятии соответствующих законов, нормативов и административных пр</w:t>
            </w:r>
            <w:r w:rsidR="005A33EC" w:rsidRPr="004B58B0">
              <w:rPr>
                <w:rFonts w:cs="MyriadPro-Regular"/>
                <w:sz w:val="20"/>
                <w:szCs w:val="20"/>
                <w:lang w:val="ru-RU"/>
              </w:rPr>
              <w:t>авил, а также реальной практику</w:t>
            </w:r>
            <w:r w:rsidR="00671FCA" w:rsidRPr="004B58B0">
              <w:rPr>
                <w:rFonts w:cs="MyriadPro-Regular"/>
                <w:sz w:val="20"/>
                <w:szCs w:val="20"/>
                <w:lang w:val="ru-RU"/>
              </w:rPr>
              <w:t xml:space="preserve"> внедрения ИПДО. Должны уважаться основополагающие права представителей компаний, активно участвующих в процессе ИПДО, включая, но не ограничиваясь только МГЗС. </w:t>
            </w:r>
            <w:r w:rsidR="00671FCA" w:rsidRPr="004B58B0" w:rsidDel="00671FCA">
              <w:rPr>
                <w:rFonts w:cs="MyriadPro-Regular"/>
                <w:sz w:val="20"/>
                <w:szCs w:val="20"/>
                <w:lang w:val="ru-RU"/>
              </w:rPr>
              <w:t xml:space="preserve"> </w:t>
            </w:r>
          </w:p>
          <w:p w:rsidR="001B55FB" w:rsidRPr="004B58B0" w:rsidRDefault="001B55FB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c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</w:t>
            </w:r>
            <w:r w:rsidR="00671FCA" w:rsidRPr="004B58B0">
              <w:rPr>
                <w:rFonts w:cs="MyriadPro-Regular"/>
                <w:sz w:val="20"/>
                <w:szCs w:val="20"/>
                <w:lang w:val="ru-RU"/>
              </w:rPr>
              <w:t>Правительство должно убедится в устранении любых препятствий к участию компаний в процессе ИПДО</w:t>
            </w:r>
            <w:r w:rsidR="00671FCA">
              <w:rPr>
                <w:rFonts w:cs="MyriadPro-Regular"/>
                <w:sz w:val="20"/>
                <w:szCs w:val="20"/>
                <w:lang w:val="ru-RU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:rsidR="001B55FB" w:rsidRPr="004B58B0" w:rsidRDefault="0050234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Согласно первоначальной оценке Международного Секретариата, </w:t>
            </w:r>
            <w:r w:rsidRPr="00C77BA5">
              <w:rPr>
                <w:sz w:val="20"/>
                <w:szCs w:val="20"/>
                <w:lang w:val="ru-RU"/>
              </w:rPr>
              <w:t>“[…]</w:t>
            </w:r>
            <w:r w:rsidR="00FB3120" w:rsidRPr="004B58B0">
              <w:rPr>
                <w:sz w:val="20"/>
                <w:szCs w:val="20"/>
                <w:lang w:val="ru-RU"/>
              </w:rPr>
              <w:t xml:space="preserve"> представляется, что нет никаких законодательных препятствий, которые бы мешали участию компаний в ИПДО. 89 крупнейших добывающих компаний в 2014 году добровольно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02346">
              <w:rPr>
                <w:sz w:val="20"/>
                <w:szCs w:val="20"/>
                <w:lang w:val="ru-RU"/>
              </w:rPr>
              <w:t>представляли отчетность в соответствии со Стандартом ИПДО. Несмотря на то, что эта цифра не включила в себя всех компаний, соответствовавших требованиям порога существенности, в нее, тем не менее, входят все крупные налогоплательщики в Кыргызской Республике</w:t>
            </w:r>
            <w:r w:rsidR="00FA1F98" w:rsidRPr="00484754">
              <w:rPr>
                <w:sz w:val="20"/>
                <w:szCs w:val="20"/>
                <w:lang w:val="ru-RU"/>
              </w:rPr>
              <w:t>.</w:t>
            </w:r>
            <w:r w:rsidR="005A15D5" w:rsidRPr="00484754">
              <w:rPr>
                <w:sz w:val="20"/>
                <w:szCs w:val="20"/>
                <w:lang w:val="ru-RU"/>
              </w:rPr>
              <w:t xml:space="preserve"> </w:t>
            </w:r>
            <w:r w:rsidRPr="004B58B0">
              <w:rPr>
                <w:sz w:val="20"/>
                <w:szCs w:val="20"/>
                <w:lang w:val="ru-RU"/>
              </w:rPr>
              <w:t xml:space="preserve">Компании также участвуют в заседаниях Наблюдательного Совета, даже если представители отрасли могут активно не предоставлять исходную информацию для разработки, контроля и </w:t>
            </w:r>
            <w:r w:rsidRPr="004B58B0">
              <w:rPr>
                <w:sz w:val="20"/>
                <w:szCs w:val="20"/>
                <w:lang w:val="ru-RU"/>
              </w:rPr>
              <w:lastRenderedPageBreak/>
              <w:t xml:space="preserve">оценки процесса ИПДО. Несомненно, в бизнес-сообществе присутствует значительный скептицизм в отношении ИПДО и ограниченный интерес большинства компаний к участию в ИПДО. Тем не менее, как явствует, на практике это не оказывает значительного влияния на процесс отчетности ИПДО. Таким образом, первоначальная оценка Международным Секретариатом состоит в том, что Кыргызская Республика достигла </w:t>
            </w:r>
            <w:r w:rsidR="00930C04" w:rsidRPr="004B58B0">
              <w:rPr>
                <w:b/>
                <w:sz w:val="20"/>
                <w:szCs w:val="20"/>
                <w:lang w:val="ru-RU"/>
              </w:rPr>
              <w:t>УДОВЛЕТВОРИТЕЛЬНОГО</w:t>
            </w:r>
            <w:r w:rsidRPr="004B58B0">
              <w:rPr>
                <w:sz w:val="20"/>
                <w:szCs w:val="20"/>
                <w:lang w:val="ru-RU"/>
              </w:rPr>
              <w:t xml:space="preserve"> прогресса в выполнении этого требования</w:t>
            </w:r>
            <w:r w:rsidR="002C4C37" w:rsidRPr="004B58B0">
              <w:rPr>
                <w:sz w:val="20"/>
                <w:szCs w:val="20"/>
                <w:lang w:val="ru-RU"/>
              </w:rPr>
              <w:t>.” (</w:t>
            </w:r>
            <w:r w:rsidR="00930C04">
              <w:rPr>
                <w:sz w:val="20"/>
                <w:szCs w:val="20"/>
                <w:lang w:val="ru-RU"/>
              </w:rPr>
              <w:t>стр</w:t>
            </w:r>
            <w:r w:rsidR="002C4C37" w:rsidRPr="004B58B0">
              <w:rPr>
                <w:sz w:val="20"/>
                <w:szCs w:val="20"/>
                <w:lang w:val="ru-RU"/>
              </w:rPr>
              <w:t>. 18)</w:t>
            </w:r>
          </w:p>
        </w:tc>
        <w:tc>
          <w:tcPr>
            <w:tcW w:w="2557" w:type="dxa"/>
            <w:shd w:val="clear" w:color="auto" w:fill="auto"/>
          </w:tcPr>
          <w:p w:rsidR="001B55FB" w:rsidRPr="008E4199" w:rsidRDefault="00200AA3" w:rsidP="008E4199">
            <w:pPr>
              <w:spacing w:before="120" w:after="120" w:line="22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Отсутствуют</w:t>
            </w:r>
            <w:r w:rsidR="00F74B51" w:rsidRPr="008E4199">
              <w:rPr>
                <w:sz w:val="20"/>
                <w:szCs w:val="20"/>
              </w:rPr>
              <w:t>.</w:t>
            </w:r>
          </w:p>
          <w:p w:rsidR="001B55FB" w:rsidRPr="008E4199" w:rsidRDefault="001B55FB" w:rsidP="008E4199">
            <w:pPr>
              <w:spacing w:before="120" w:after="120" w:line="220" w:lineRule="exact"/>
              <w:contextualSpacing/>
              <w:rPr>
                <w:color w:val="A6A6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55FB" w:rsidRPr="004B58B0" w:rsidRDefault="009453DA" w:rsidP="008E4199">
            <w:pPr>
              <w:spacing w:before="120" w:after="120" w:line="220" w:lineRule="exact"/>
              <w:contextualSpacing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Валидатор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не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согласен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оценкой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Международного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Секретариата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и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вместо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этого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считает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ru-RU"/>
              </w:rPr>
              <w:t>что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Кыргызская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Республика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достигла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ЗНАЧИМОГО</w:t>
            </w:r>
            <w:r w:rsidR="003F7C7A" w:rsidRPr="004B58B0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прогресса в выполнении этого требования.</w:t>
            </w:r>
            <w:r w:rsidR="00D66330" w:rsidRPr="00484754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Валидатор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отмечает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ru-RU"/>
              </w:rPr>
              <w:t>что</w:t>
            </w:r>
            <w:r w:rsidR="00D66330" w:rsidRPr="004B58B0">
              <w:rPr>
                <w:rFonts w:cs="Calibri"/>
                <w:sz w:val="20"/>
                <w:szCs w:val="20"/>
                <w:lang w:val="ru-RU"/>
              </w:rPr>
              <w:t xml:space="preserve"> “</w:t>
            </w:r>
            <w:r>
              <w:rPr>
                <w:rFonts w:cs="Calibri"/>
                <w:sz w:val="20"/>
                <w:szCs w:val="20"/>
                <w:lang w:val="ru-RU"/>
              </w:rPr>
              <w:t>тогда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как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компании участвуют </w:t>
            </w:r>
            <w:r>
              <w:rPr>
                <w:rFonts w:cs="Calibri"/>
                <w:sz w:val="20"/>
                <w:szCs w:val="20"/>
                <w:lang w:val="ru-RU"/>
              </w:rPr>
              <w:t>в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заседаниях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Наблюдательного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Совета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и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89 крупнейших добывающих компаний</w:t>
            </w:r>
            <w:r w:rsidR="00FC34AD" w:rsidRPr="008E4199">
              <w:rPr>
                <w:rStyle w:val="FootnoteReference"/>
                <w:rFonts w:cs="Calibri"/>
                <w:sz w:val="20"/>
                <w:szCs w:val="20"/>
              </w:rPr>
              <w:footnoteReference w:id="1"/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 w:rsidRPr="00F41D30">
              <w:rPr>
                <w:rFonts w:cs="Calibri"/>
                <w:sz w:val="20"/>
                <w:szCs w:val="20"/>
                <w:lang w:val="ru-RU"/>
              </w:rPr>
              <w:t>добровольно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 w:rsidRPr="00F41D30">
              <w:rPr>
                <w:rFonts w:cs="Calibri"/>
                <w:sz w:val="20"/>
                <w:szCs w:val="20"/>
                <w:lang w:val="ru-RU"/>
              </w:rPr>
              <w:t>отчитываются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 w:rsidRPr="00F41D30">
              <w:rPr>
                <w:rFonts w:cs="Calibri"/>
                <w:sz w:val="20"/>
                <w:szCs w:val="20"/>
                <w:lang w:val="ru-RU"/>
              </w:rPr>
              <w:t>по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 w:rsidRPr="00F41D30">
              <w:rPr>
                <w:rFonts w:cs="Calibri"/>
                <w:sz w:val="20"/>
                <w:szCs w:val="20"/>
                <w:lang w:val="ru-RU"/>
              </w:rPr>
              <w:t>Стандарту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 w:rsidRPr="00F41D30">
              <w:rPr>
                <w:rFonts w:cs="Calibri"/>
                <w:sz w:val="20"/>
                <w:szCs w:val="20"/>
                <w:lang w:val="ru-RU"/>
              </w:rPr>
              <w:t>ИПДО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2014,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>трудно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>признать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>что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>компании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>полностью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>активно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>и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>эффективно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 xml:space="preserve">участвуют в процессе ИПДО. 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>Участие компаний было непоследовательным и оно</w:t>
            </w:r>
            <w:r w:rsidR="009411CB">
              <w:rPr>
                <w:rFonts w:cs="Calibri"/>
                <w:sz w:val="20"/>
                <w:szCs w:val="20"/>
                <w:lang w:val="ru-RU"/>
              </w:rPr>
              <w:t>,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согласно Исследованию Институциональной Структуры (</w:t>
            </w:r>
            <w:r w:rsidR="000B46BE" w:rsidRPr="000B46BE">
              <w:rPr>
                <w:rFonts w:cs="Calibri"/>
                <w:sz w:val="20"/>
                <w:szCs w:val="20"/>
              </w:rPr>
              <w:t>Institutional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 w:rsidRPr="000B46BE">
              <w:rPr>
                <w:rFonts w:cs="Calibri"/>
                <w:sz w:val="20"/>
                <w:szCs w:val="20"/>
              </w:rPr>
              <w:t>Set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>-</w:t>
            </w:r>
            <w:r w:rsidR="000B46BE" w:rsidRPr="000B46BE">
              <w:rPr>
                <w:rFonts w:cs="Calibri"/>
                <w:sz w:val="20"/>
                <w:szCs w:val="20"/>
              </w:rPr>
              <w:t>Up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 w:rsidRPr="000B46BE">
              <w:rPr>
                <w:rFonts w:cs="Calibri"/>
                <w:sz w:val="20"/>
                <w:szCs w:val="20"/>
              </w:rPr>
              <w:t>Study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>)</w:t>
            </w:r>
            <w:r w:rsidR="009411CB">
              <w:rPr>
                <w:rFonts w:cs="Calibri"/>
                <w:sz w:val="20"/>
                <w:szCs w:val="20"/>
                <w:lang w:val="ru-RU"/>
              </w:rPr>
              <w:t>,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“за исключением Кумтора и ОАО Кыргызалтын</w:t>
            </w:r>
            <w:r w:rsidR="009411CB">
              <w:rPr>
                <w:rFonts w:cs="Calibri"/>
                <w:sz w:val="20"/>
                <w:szCs w:val="20"/>
                <w:lang w:val="ru-RU"/>
              </w:rPr>
              <w:t>,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 xml:space="preserve"> было номинальным.”</w:t>
            </w:r>
            <w:r w:rsidR="000B46B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0B46BE" w:rsidRPr="000B46BE">
              <w:rPr>
                <w:rFonts w:cs="Calibri"/>
                <w:sz w:val="20"/>
                <w:szCs w:val="20"/>
                <w:lang w:val="ru-RU"/>
              </w:rPr>
              <w:t xml:space="preserve">В Первоначальной Оценке </w:t>
            </w:r>
            <w:r w:rsidR="000B46BE" w:rsidRPr="000B46BE">
              <w:rPr>
                <w:rFonts w:cs="Calibri"/>
                <w:sz w:val="20"/>
                <w:szCs w:val="20"/>
                <w:lang w:val="ru-RU"/>
              </w:rPr>
              <w:lastRenderedPageBreak/>
              <w:t xml:space="preserve">Международного Секретариата указывается на беспокойство </w:t>
            </w:r>
            <w:r w:rsidR="009411CB">
              <w:rPr>
                <w:rFonts w:cs="Calibri"/>
                <w:sz w:val="20"/>
                <w:szCs w:val="20"/>
                <w:lang w:val="ru-RU"/>
              </w:rPr>
              <w:t>в связи</w:t>
            </w:r>
            <w:r w:rsidR="000B46BE" w:rsidRPr="000B46BE">
              <w:rPr>
                <w:rFonts w:cs="Calibri"/>
                <w:sz w:val="20"/>
                <w:szCs w:val="20"/>
                <w:lang w:val="ru-RU"/>
              </w:rPr>
              <w:t xml:space="preserve"> с недостаточным доступом компаний к членству в НС, а также беспокойство по поводу недостатка информационно-разъяснительных работ и вовлечения. В Первоначальной Оценке говорится о том, что это привело к недопониманию ИПДО среди заинтересованных сторон в промышленности, многие из которых, по словам правительства и гражданского общества, были 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>“</w:t>
            </w:r>
            <w:r w:rsidR="000B46BE" w:rsidRPr="000B46BE">
              <w:rPr>
                <w:rFonts w:cs="Calibri"/>
                <w:sz w:val="20"/>
                <w:szCs w:val="20"/>
                <w:lang w:val="ru-RU"/>
              </w:rPr>
              <w:t>против ИПДО</w:t>
            </w:r>
            <w:r w:rsidR="000B46BE" w:rsidRPr="004B58B0">
              <w:rPr>
                <w:rFonts w:cs="Calibri"/>
                <w:sz w:val="20"/>
                <w:szCs w:val="20"/>
                <w:lang w:val="ru-RU"/>
              </w:rPr>
              <w:t>”</w:t>
            </w:r>
            <w:r w:rsidR="000B46BE" w:rsidRPr="000B46BE">
              <w:rPr>
                <w:rFonts w:cs="Calibri"/>
                <w:sz w:val="20"/>
                <w:szCs w:val="20"/>
                <w:lang w:val="ru-RU"/>
              </w:rPr>
              <w:t>. В Первоначальной Оценке также указывается на отсутствие доказательств того, что представители промышленности использовали широкую сеть для агитации законодательной реформы, связанной с ИПДО</w:t>
            </w:r>
            <w:r w:rsidR="009411CB">
              <w:rPr>
                <w:rFonts w:cs="Calibri"/>
                <w:sz w:val="20"/>
                <w:szCs w:val="20"/>
                <w:lang w:val="ru-RU"/>
              </w:rPr>
              <w:t>,</w:t>
            </w:r>
            <w:r w:rsidR="000B46BE" w:rsidRPr="000B46BE">
              <w:rPr>
                <w:rFonts w:cs="Calibri"/>
                <w:sz w:val="20"/>
                <w:szCs w:val="20"/>
                <w:lang w:val="ru-RU"/>
              </w:rPr>
              <w:t xml:space="preserve"> включая ту, что могла бы идентифицировать и решать вопросы дублирования требований отчетности.</w:t>
            </w:r>
            <w:r w:rsidR="001E5C08" w:rsidRPr="004B58B0">
              <w:rPr>
                <w:rFonts w:cs="Calibri"/>
                <w:sz w:val="20"/>
                <w:szCs w:val="20"/>
                <w:lang w:val="ru-RU"/>
              </w:rPr>
              <w:t>”</w:t>
            </w:r>
            <w:r w:rsidR="00754293" w:rsidRPr="004B58B0">
              <w:rPr>
                <w:rFonts w:cs="Calibri"/>
                <w:sz w:val="20"/>
                <w:szCs w:val="20"/>
                <w:lang w:val="ru-RU"/>
              </w:rPr>
              <w:t xml:space="preserve"> (</w:t>
            </w:r>
            <w:r w:rsidR="00965C1F">
              <w:rPr>
                <w:rFonts w:cs="Calibri"/>
                <w:sz w:val="20"/>
                <w:szCs w:val="20"/>
                <w:lang w:val="ru-RU"/>
              </w:rPr>
              <w:t>стр</w:t>
            </w:r>
            <w:r w:rsidR="00754293" w:rsidRPr="004B58B0">
              <w:rPr>
                <w:rFonts w:cs="Calibri"/>
                <w:sz w:val="20"/>
                <w:szCs w:val="20"/>
                <w:lang w:val="ru-RU"/>
              </w:rPr>
              <w:t>.4)</w:t>
            </w:r>
          </w:p>
        </w:tc>
        <w:tc>
          <w:tcPr>
            <w:tcW w:w="2410" w:type="dxa"/>
            <w:shd w:val="clear" w:color="auto" w:fill="auto"/>
          </w:tcPr>
          <w:p w:rsidR="001B55FB" w:rsidRPr="004B58B0" w:rsidRDefault="005861D4" w:rsidP="008E4199">
            <w:pPr>
              <w:spacing w:before="120" w:after="120" w:line="220" w:lineRule="exact"/>
              <w:contextualSpacing/>
              <w:rPr>
                <w:rFonts w:eastAsia="Times New Roman" w:cs="Arial"/>
                <w:sz w:val="20"/>
                <w:szCs w:val="20"/>
                <w:lang w:val="ru-RU" w:eastAsia="en-A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Электорат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промышленности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выражает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озабоченность</w:t>
            </w:r>
            <w:r w:rsidR="00E8673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86736">
              <w:rPr>
                <w:bCs/>
                <w:sz w:val="20"/>
                <w:szCs w:val="20"/>
                <w:lang w:val="ru-RU"/>
              </w:rPr>
              <w:t>по</w:t>
            </w:r>
            <w:r w:rsidR="00E8673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86736">
              <w:rPr>
                <w:bCs/>
                <w:sz w:val="20"/>
                <w:szCs w:val="20"/>
                <w:lang w:val="ru-RU"/>
              </w:rPr>
              <w:t>поводу</w:t>
            </w:r>
            <w:r w:rsidR="00E8673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86736">
              <w:rPr>
                <w:bCs/>
                <w:sz w:val="20"/>
                <w:szCs w:val="20"/>
                <w:lang w:val="ru-RU"/>
              </w:rPr>
              <w:t>оценки</w:t>
            </w:r>
            <w:r w:rsidR="00E8673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86736">
              <w:rPr>
                <w:bCs/>
                <w:sz w:val="20"/>
                <w:szCs w:val="20"/>
                <w:lang w:val="ru-RU"/>
              </w:rPr>
              <w:t>Валидатора</w:t>
            </w:r>
            <w:r w:rsidR="00E8673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86736">
              <w:rPr>
                <w:bCs/>
                <w:sz w:val="20"/>
                <w:szCs w:val="20"/>
                <w:lang w:val="ru-RU"/>
              </w:rPr>
              <w:t>и</w:t>
            </w:r>
            <w:r w:rsidR="00E8673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86736">
              <w:rPr>
                <w:bCs/>
                <w:sz w:val="20"/>
                <w:szCs w:val="20"/>
                <w:lang w:val="ru-RU"/>
              </w:rPr>
              <w:t>отмечает</w:t>
            </w:r>
            <w:r w:rsidR="00E86736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E86736">
              <w:rPr>
                <w:bCs/>
                <w:sz w:val="20"/>
                <w:szCs w:val="20"/>
                <w:lang w:val="ru-RU"/>
              </w:rPr>
              <w:t>что</w:t>
            </w:r>
            <w:r w:rsidR="00E8673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C92DE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>“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с </w:t>
            </w:r>
            <w:r w:rsidR="0020751B">
              <w:rPr>
                <w:rFonts w:eastAsia="Times New Roman" w:cs="Arial"/>
                <w:sz w:val="20"/>
                <w:szCs w:val="20"/>
                <w:lang w:val="ru-RU" w:eastAsia="en-AU"/>
              </w:rPr>
              <w:t>тех пор, как Международный Деловой С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овет присоединился к Наблюдательному Совету ИПДО, была проведена интенсивная работа по вовлечению членов нашей Ассоциации в процесс ИПДО. Работа предусматривала включение вопросов ИПДО в заседания Комитета по Минеральным Ресурсам</w:t>
            </w:r>
            <w:r w:rsidR="00AF7C76" w:rsidRPr="008E4199">
              <w:rPr>
                <w:rStyle w:val="FootnoteReference"/>
                <w:rFonts w:eastAsia="Times New Roman" w:cs="Arial"/>
                <w:sz w:val="20"/>
                <w:szCs w:val="20"/>
                <w:lang w:val="en-AU" w:eastAsia="en-AU"/>
              </w:rPr>
              <w:footnoteReference w:id="2"/>
            </w:r>
            <w:r w:rsidR="00C92DE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Международного Делового Совета. При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работе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с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Комитетом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информация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об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ИПДО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публиковалась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в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еженедельном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бюллетене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новостей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lastRenderedPageBreak/>
              <w:t>Международного Делового Совета для того, чтобы привлечь внимание более широкой аудитории к ИПДО. Таким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E86736">
              <w:rPr>
                <w:rFonts w:eastAsia="Times New Roman" w:cs="Arial"/>
                <w:sz w:val="20"/>
                <w:szCs w:val="20"/>
                <w:lang w:val="ru-RU" w:eastAsia="en-AU"/>
              </w:rPr>
              <w:t>образом</w:t>
            </w:r>
            <w:r w:rsidR="00E86736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работа с членами Международного Делового Совета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помогала в вовлечении в ИПДО дополнительных компаний и в распространении понимания стандартов ИПДО среди недропользователей</w:t>
            </w:r>
            <w:r w:rsidR="00C92DE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>.</w:t>
            </w:r>
            <w:r w:rsidR="00C77ABB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”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Также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отмечается</w:t>
            </w:r>
            <w:r w:rsidR="0020751B">
              <w:rPr>
                <w:rFonts w:eastAsia="Times New Roman" w:cs="Arial"/>
                <w:sz w:val="20"/>
                <w:szCs w:val="20"/>
                <w:lang w:val="ru-RU" w:eastAsia="en-AU"/>
              </w:rPr>
              <w:t>: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77ABB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>“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После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ознакомления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с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работой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Наблюдательного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Совета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ИПДО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31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марта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2016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г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. </w:t>
            </w:r>
            <w:r w:rsidR="0020751B">
              <w:rPr>
                <w:rFonts w:eastAsia="Times New Roman" w:cs="Arial"/>
                <w:sz w:val="20"/>
                <w:szCs w:val="20"/>
                <w:lang w:val="ru-RU" w:eastAsia="en-AU"/>
              </w:rPr>
              <w:t>ч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етыре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представителя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горнодобывающей</w:t>
            </w:r>
            <w:r w:rsidR="00CE1A0E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промышленности от Международного Делового Центра вошли в состав Наблюдательного Совета</w:t>
            </w:r>
            <w:r w:rsidR="00C77ABB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>.”</w:t>
            </w:r>
            <w:r w:rsidR="00CB799A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 xml:space="preserve"> (</w:t>
            </w:r>
            <w:r w:rsidR="00CE1A0E">
              <w:rPr>
                <w:rFonts w:eastAsia="Times New Roman" w:cs="Arial"/>
                <w:sz w:val="20"/>
                <w:szCs w:val="20"/>
                <w:lang w:val="ru-RU" w:eastAsia="en-AU"/>
              </w:rPr>
              <w:t>стр</w:t>
            </w:r>
            <w:r w:rsidR="00CB799A" w:rsidRPr="004B58B0">
              <w:rPr>
                <w:rFonts w:eastAsia="Times New Roman" w:cs="Arial"/>
                <w:sz w:val="20"/>
                <w:szCs w:val="20"/>
                <w:lang w:val="ru-RU" w:eastAsia="en-AU"/>
              </w:rPr>
              <w:t>.1)</w:t>
            </w:r>
          </w:p>
        </w:tc>
        <w:tc>
          <w:tcPr>
            <w:tcW w:w="1701" w:type="dxa"/>
            <w:shd w:val="clear" w:color="auto" w:fill="auto"/>
          </w:tcPr>
          <w:p w:rsidR="00A03321" w:rsidRPr="004B58B0" w:rsidRDefault="00E34CE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Комитет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представить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рекомендацию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том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должна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Правлением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требования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1.2 </w:t>
            </w:r>
            <w:r>
              <w:rPr>
                <w:sz w:val="20"/>
                <w:szCs w:val="20"/>
                <w:lang w:val="ru-RU"/>
              </w:rPr>
              <w:t>составлять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значимый прогресс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” </w:t>
            </w:r>
            <w:r>
              <w:rPr>
                <w:sz w:val="20"/>
                <w:szCs w:val="20"/>
                <w:lang w:val="ru-RU"/>
              </w:rPr>
              <w:t>или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удовлетворительный прогресс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”. </w:t>
            </w:r>
          </w:p>
          <w:p w:rsidR="00A03321" w:rsidRPr="004B58B0" w:rsidRDefault="00A03321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</w:p>
          <w:p w:rsidR="001B55FB" w:rsidRPr="00484754" w:rsidRDefault="00E34CE6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случае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прогресса</w:t>
            </w:r>
            <w:r w:rsidR="00A03321" w:rsidRPr="004B58B0">
              <w:rPr>
                <w:sz w:val="20"/>
                <w:szCs w:val="20"/>
                <w:lang w:val="ru-RU"/>
              </w:rPr>
              <w:t>”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указать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какие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положения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нарушенными и рекомендует исправительные действия.</w:t>
            </w:r>
            <w:r w:rsidRPr="004B58B0" w:rsidDel="00E34CE6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8592D" w:rsidRPr="004B58B0" w:rsidTr="008E4199">
        <w:tc>
          <w:tcPr>
            <w:tcW w:w="2768" w:type="dxa"/>
            <w:shd w:val="clear" w:color="auto" w:fill="auto"/>
          </w:tcPr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484754">
              <w:rPr>
                <w:sz w:val="20"/>
                <w:szCs w:val="20"/>
                <w:lang w:val="ru-RU"/>
              </w:rPr>
              <w:lastRenderedPageBreak/>
              <w:t xml:space="preserve">1.5 </w:t>
            </w:r>
            <w:r w:rsidR="00671FCA">
              <w:rPr>
                <w:sz w:val="20"/>
                <w:szCs w:val="20"/>
                <w:lang w:val="ru-RU"/>
              </w:rPr>
              <w:t>Рабочий план</w:t>
            </w:r>
          </w:p>
          <w:p w:rsidR="001B55FB" w:rsidRPr="00484754" w:rsidRDefault="00671FCA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4B58B0">
              <w:rPr>
                <w:sz w:val="20"/>
                <w:szCs w:val="20"/>
                <w:lang w:val="ru-RU"/>
              </w:rPr>
              <w:t xml:space="preserve">Многосторонняя группа заинтересованных сторон должна иметь текущий рабочий план, с полной оценкой затрат и со сроками, соответствующими установленным Правлением ИПДО. </w:t>
            </w:r>
            <w:r w:rsidRPr="00484754">
              <w:rPr>
                <w:sz w:val="20"/>
                <w:szCs w:val="20"/>
                <w:lang w:val="ru-RU"/>
              </w:rPr>
              <w:t xml:space="preserve">Рабочий план должен: </w:t>
            </w:r>
            <w:r w:rsidR="008031C6" w:rsidRPr="00484754">
              <w:rPr>
                <w:sz w:val="20"/>
                <w:szCs w:val="20"/>
                <w:lang w:val="ru-RU"/>
              </w:rPr>
              <w:t xml:space="preserve"> </w:t>
            </w:r>
          </w:p>
          <w:p w:rsidR="00671FCA" w:rsidRPr="004B58B0" w:rsidRDefault="008031C6" w:rsidP="00671FCA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a</w:t>
            </w:r>
            <w:r w:rsidRPr="004B58B0">
              <w:rPr>
                <w:sz w:val="20"/>
                <w:szCs w:val="20"/>
                <w:lang w:val="ru-RU"/>
              </w:rPr>
              <w:t xml:space="preserve">)    </w:t>
            </w:r>
            <w:r w:rsidR="00671FCA" w:rsidRPr="004B58B0">
              <w:rPr>
                <w:sz w:val="20"/>
                <w:szCs w:val="20"/>
                <w:lang w:val="ru-RU"/>
              </w:rPr>
              <w:t>Устанавливать цели внедрения ИПДО, которые связаны с Принципами ИПДО</w:t>
            </w:r>
            <w:r w:rsidR="005A33EC">
              <w:rPr>
                <w:sz w:val="20"/>
                <w:szCs w:val="20"/>
                <w:lang w:val="ru-RU"/>
              </w:rPr>
              <w:t>,</w:t>
            </w:r>
            <w:r w:rsidR="00671FCA" w:rsidRPr="004B58B0">
              <w:rPr>
                <w:sz w:val="20"/>
                <w:szCs w:val="20"/>
                <w:lang w:val="ru-RU"/>
              </w:rPr>
              <w:t xml:space="preserve"> и отражать национальные приоритеты для добывающих отраслей промышленности. МГЗС поощряются к рассмотрению инновационных </w:t>
            </w:r>
            <w:r w:rsidR="00DF127F" w:rsidRPr="00DF127F">
              <w:rPr>
                <w:sz w:val="20"/>
                <w:szCs w:val="20"/>
                <w:lang w:val="ru-RU"/>
              </w:rPr>
              <w:t>подходов к расширению внедрения ИПДО для повышения полноты отчетности ИПДО и к улучшению понимания доходов общественностью, а также к поддержке высоких стандартов прозрачности и подотчетности в общественной жизни, деятельности правительства и бизнеса.</w:t>
            </w:r>
          </w:p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b</w:t>
            </w:r>
            <w:r w:rsidRPr="004B58B0">
              <w:rPr>
                <w:sz w:val="20"/>
                <w:szCs w:val="20"/>
                <w:lang w:val="ru-RU"/>
              </w:rPr>
              <w:t xml:space="preserve">)    </w:t>
            </w:r>
            <w:r w:rsidR="00DF127F" w:rsidRPr="004B58B0">
              <w:rPr>
                <w:sz w:val="20"/>
                <w:szCs w:val="20"/>
                <w:lang w:val="ru-RU"/>
              </w:rPr>
              <w:t xml:space="preserve">Отражать и утверждать результаты консультаций с </w:t>
            </w:r>
            <w:r w:rsidR="00DF127F" w:rsidRPr="004B58B0">
              <w:rPr>
                <w:sz w:val="20"/>
                <w:szCs w:val="20"/>
                <w:lang w:val="ru-RU"/>
              </w:rPr>
              <w:lastRenderedPageBreak/>
              <w:t xml:space="preserve">ключевыми заинтересованными сторонами. </w:t>
            </w:r>
          </w:p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c</w:t>
            </w:r>
            <w:r w:rsidRPr="004B58B0">
              <w:rPr>
                <w:sz w:val="20"/>
                <w:szCs w:val="20"/>
                <w:lang w:val="ru-RU"/>
              </w:rPr>
              <w:t xml:space="preserve">)    </w:t>
            </w:r>
            <w:r w:rsidR="00DF127F" w:rsidRPr="004B58B0">
              <w:rPr>
                <w:sz w:val="20"/>
                <w:szCs w:val="20"/>
                <w:lang w:val="ru-RU"/>
              </w:rPr>
              <w:t>Включать поддающиеся измерению и привязанные к срокам действия для достижения согласованных целей. Охват внедрения ИПДО должен способствовать достижению требуемых результатов во время процесса</w:t>
            </w:r>
            <w:r w:rsidR="00DF127F">
              <w:rPr>
                <w:sz w:val="20"/>
                <w:szCs w:val="20"/>
                <w:lang w:val="ru-RU"/>
              </w:rPr>
              <w:t xml:space="preserve"> консультаций</w:t>
            </w:r>
            <w:r w:rsidR="00DF127F" w:rsidRPr="004B58B0">
              <w:rPr>
                <w:sz w:val="20"/>
                <w:szCs w:val="20"/>
                <w:lang w:val="ru-RU"/>
              </w:rPr>
              <w:t xml:space="preserve">. </w:t>
            </w:r>
            <w:r w:rsidR="00DF127F">
              <w:rPr>
                <w:sz w:val="20"/>
                <w:szCs w:val="20"/>
                <w:lang w:val="ru-RU"/>
              </w:rPr>
              <w:t>Рабочий план должен:</w:t>
            </w:r>
          </w:p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8E4199">
              <w:rPr>
                <w:sz w:val="20"/>
                <w:szCs w:val="20"/>
                <w:lang w:val="en-PH"/>
              </w:rPr>
              <w:t>i</w:t>
            </w:r>
            <w:proofErr w:type="spellEnd"/>
            <w:r w:rsidRPr="00484754">
              <w:rPr>
                <w:sz w:val="20"/>
                <w:szCs w:val="20"/>
                <w:lang w:val="ru-RU"/>
              </w:rPr>
              <w:t xml:space="preserve">.    </w:t>
            </w:r>
            <w:r w:rsidR="00AA7CD8" w:rsidRPr="00AA7CD8">
              <w:rPr>
                <w:sz w:val="20"/>
                <w:szCs w:val="20"/>
                <w:lang w:val="en-PH"/>
              </w:rPr>
              <w:t>O</w:t>
            </w:r>
            <w:r w:rsidR="00AA7CD8" w:rsidRPr="004B58B0">
              <w:rPr>
                <w:sz w:val="20"/>
                <w:szCs w:val="20"/>
                <w:lang w:val="ru-RU"/>
              </w:rPr>
              <w:t>ценивать любые потенциальные ограничения в правительственных организациях, компаниях и гражданском обществе, которые могут составлять препятствие для эффективного внедрения ИПДО</w:t>
            </w:r>
            <w:r w:rsidR="005E2CF4" w:rsidRPr="004B58B0">
              <w:rPr>
                <w:sz w:val="20"/>
                <w:szCs w:val="20"/>
                <w:lang w:val="ru-RU"/>
              </w:rPr>
              <w:t>.</w:t>
            </w:r>
            <w:r w:rsidR="005E2CF4" w:rsidRPr="004B58B0" w:rsidDel="005E2CF4">
              <w:rPr>
                <w:sz w:val="20"/>
                <w:szCs w:val="20"/>
                <w:lang w:val="ru-RU"/>
              </w:rPr>
              <w:t xml:space="preserve"> </w:t>
            </w:r>
          </w:p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ii</w:t>
            </w:r>
            <w:r w:rsidRPr="00484754">
              <w:rPr>
                <w:sz w:val="20"/>
                <w:szCs w:val="20"/>
                <w:lang w:val="ru-RU"/>
              </w:rPr>
              <w:t xml:space="preserve">.   </w:t>
            </w:r>
            <w:r w:rsidR="005E2CF4" w:rsidRPr="005E2CF4">
              <w:rPr>
                <w:sz w:val="20"/>
                <w:szCs w:val="20"/>
                <w:lang w:val="en-PH"/>
              </w:rPr>
              <w:t>O</w:t>
            </w:r>
            <w:r w:rsidR="005E2CF4" w:rsidRPr="004B58B0">
              <w:rPr>
                <w:sz w:val="20"/>
                <w:szCs w:val="20"/>
                <w:lang w:val="ru-RU"/>
              </w:rPr>
              <w:t>пределять охват отчетности ИПДО, включая планы решения технических аспектов отчетности, таких как полнота</w:t>
            </w:r>
            <w:r w:rsidR="005E2CF4">
              <w:rPr>
                <w:sz w:val="20"/>
                <w:szCs w:val="20"/>
                <w:lang w:val="ru-RU"/>
              </w:rPr>
              <w:t xml:space="preserve"> (4.1)</w:t>
            </w:r>
            <w:r w:rsidR="005E2CF4" w:rsidRPr="004B58B0">
              <w:rPr>
                <w:sz w:val="20"/>
                <w:szCs w:val="20"/>
                <w:lang w:val="ru-RU"/>
              </w:rPr>
              <w:t xml:space="preserve"> и надежность данных </w:t>
            </w:r>
            <w:r w:rsidR="005E2CF4">
              <w:rPr>
                <w:sz w:val="20"/>
                <w:szCs w:val="20"/>
                <w:lang w:val="ru-RU"/>
              </w:rPr>
              <w:t>(</w:t>
            </w:r>
            <w:r w:rsidR="005E2CF4" w:rsidRPr="004B58B0">
              <w:rPr>
                <w:sz w:val="20"/>
                <w:szCs w:val="20"/>
                <w:lang w:val="ru-RU"/>
              </w:rPr>
              <w:t>4.9).</w:t>
            </w:r>
            <w:r w:rsidR="005E2CF4" w:rsidRPr="004B58B0" w:rsidDel="005E2CF4">
              <w:rPr>
                <w:sz w:val="20"/>
                <w:szCs w:val="20"/>
                <w:lang w:val="ru-RU"/>
              </w:rPr>
              <w:t xml:space="preserve"> </w:t>
            </w:r>
          </w:p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iii</w:t>
            </w:r>
            <w:r w:rsidRPr="00484754">
              <w:rPr>
                <w:sz w:val="20"/>
                <w:szCs w:val="20"/>
                <w:lang w:val="ru-RU"/>
              </w:rPr>
              <w:t xml:space="preserve">.   </w:t>
            </w:r>
            <w:r w:rsidR="002B23FF" w:rsidRPr="002B23FF">
              <w:rPr>
                <w:sz w:val="20"/>
                <w:szCs w:val="20"/>
                <w:lang w:val="en-PH"/>
              </w:rPr>
              <w:t>B</w:t>
            </w:r>
            <w:r w:rsidR="002B23FF" w:rsidRPr="00484754">
              <w:rPr>
                <w:sz w:val="20"/>
                <w:szCs w:val="20"/>
                <w:lang w:val="ru-RU"/>
              </w:rPr>
              <w:t xml:space="preserve">ыявлять любые потенциальные правовые или нормативные препятствия для внедрения ИПДО и составлять планы их </w:t>
            </w:r>
            <w:r w:rsidR="002B23FF" w:rsidRPr="00484754">
              <w:rPr>
                <w:sz w:val="20"/>
                <w:szCs w:val="20"/>
                <w:lang w:val="ru-RU"/>
              </w:rPr>
              <w:lastRenderedPageBreak/>
              <w:t>устранения, включая, по мере применимости, любые планы по включению требований ИПДО в национальное законодательство или регулирование</w:t>
            </w:r>
            <w:r w:rsidRPr="00484754">
              <w:rPr>
                <w:sz w:val="20"/>
                <w:szCs w:val="20"/>
                <w:lang w:val="ru-RU"/>
              </w:rPr>
              <w:t>.</w:t>
            </w:r>
          </w:p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iv</w:t>
            </w:r>
            <w:r w:rsidRPr="00484754">
              <w:rPr>
                <w:sz w:val="20"/>
                <w:szCs w:val="20"/>
                <w:lang w:val="ru-RU"/>
              </w:rPr>
              <w:t xml:space="preserve">.   </w:t>
            </w:r>
            <w:r w:rsidR="006364FC" w:rsidRPr="004B58B0">
              <w:rPr>
                <w:sz w:val="20"/>
                <w:szCs w:val="20"/>
                <w:lang w:val="ru-RU"/>
              </w:rPr>
              <w:t xml:space="preserve">Многосторонняя группа заинтересованных сторон также должна описать любые планы выполнения рекомендаций Валидации и отчетности ИПДО. </w:t>
            </w:r>
          </w:p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d</w:t>
            </w:r>
            <w:r w:rsidRPr="004B58B0">
              <w:rPr>
                <w:sz w:val="20"/>
                <w:szCs w:val="20"/>
                <w:lang w:val="ru-RU"/>
              </w:rPr>
              <w:t xml:space="preserve">)    </w:t>
            </w:r>
            <w:r w:rsidR="00F01529" w:rsidRPr="004B58B0">
              <w:rPr>
                <w:sz w:val="20"/>
                <w:szCs w:val="20"/>
                <w:lang w:val="ru-RU"/>
              </w:rPr>
              <w:t xml:space="preserve">Определять внутренние и внешние источники финансирования и технической помощи, где это уместно, для обеспечения своевременного выполнения согласованного рабочего плана. </w:t>
            </w:r>
          </w:p>
          <w:p w:rsidR="008031C6" w:rsidRPr="00484754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e</w:t>
            </w:r>
            <w:r w:rsidRPr="004B58B0">
              <w:rPr>
                <w:sz w:val="20"/>
                <w:szCs w:val="20"/>
                <w:lang w:val="ru-RU"/>
              </w:rPr>
              <w:t xml:space="preserve">)    </w:t>
            </w:r>
            <w:r w:rsidR="00F01529" w:rsidRPr="004B58B0">
              <w:rPr>
                <w:sz w:val="20"/>
                <w:szCs w:val="20"/>
                <w:lang w:val="ru-RU"/>
              </w:rPr>
              <w:t xml:space="preserve">Быть широко доступным для общественности, например, быть опубликован на национальном веб-сайте ИПДО и/или сайтах соответствующих министерств и ведомств, в печатных СМИ или других источниках с открытым доступом для общественности. </w:t>
            </w:r>
          </w:p>
          <w:p w:rsidR="00326B38" w:rsidRPr="004B58B0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lastRenderedPageBreak/>
              <w:t>f</w:t>
            </w:r>
            <w:r w:rsidRPr="004B58B0">
              <w:rPr>
                <w:sz w:val="20"/>
                <w:szCs w:val="20"/>
                <w:lang w:val="ru-RU"/>
              </w:rPr>
              <w:t xml:space="preserve">)    </w:t>
            </w:r>
            <w:r w:rsidR="00A53944" w:rsidRPr="004B58B0">
              <w:rPr>
                <w:sz w:val="20"/>
                <w:szCs w:val="20"/>
                <w:lang w:val="ru-RU"/>
              </w:rPr>
              <w:t>Ежегодно пересматриваться и обновляться. При рассмотрении Рабочего Плана МГЗС должна рассмотреть вопрос о</w:t>
            </w:r>
            <w:r w:rsidR="003C6DA6" w:rsidRPr="004B58B0">
              <w:rPr>
                <w:sz w:val="20"/>
                <w:szCs w:val="20"/>
                <w:lang w:val="ru-RU"/>
              </w:rPr>
              <w:t xml:space="preserve"> рассмотрении подробностей и охвата</w:t>
            </w:r>
            <w:r w:rsidR="00A53944" w:rsidRPr="004B58B0">
              <w:rPr>
                <w:sz w:val="20"/>
                <w:szCs w:val="20"/>
                <w:lang w:val="ru-RU"/>
              </w:rPr>
              <w:t xml:space="preserve"> отчетности ИПДО в том числе и по вопросам управления доходами и расходами (5.3), оплат</w:t>
            </w:r>
            <w:r w:rsidR="003C6DA6">
              <w:rPr>
                <w:sz w:val="20"/>
                <w:szCs w:val="20"/>
                <w:lang w:val="ru-RU"/>
              </w:rPr>
              <w:t>ы</w:t>
            </w:r>
            <w:r w:rsidR="00A53944" w:rsidRPr="004B58B0">
              <w:rPr>
                <w:sz w:val="20"/>
                <w:szCs w:val="20"/>
                <w:lang w:val="ru-RU"/>
              </w:rPr>
              <w:t xml:space="preserve"> транспортировки (4.4), </w:t>
            </w:r>
            <w:r w:rsidR="003C6DA6" w:rsidRPr="004B58B0">
              <w:rPr>
                <w:sz w:val="20"/>
                <w:szCs w:val="20"/>
                <w:lang w:val="ru-RU"/>
              </w:rPr>
              <w:t>дискреционных расходов</w:t>
            </w:r>
            <w:r w:rsidR="00A53944" w:rsidRPr="004B58B0">
              <w:rPr>
                <w:sz w:val="20"/>
                <w:szCs w:val="20"/>
                <w:lang w:val="ru-RU"/>
              </w:rPr>
              <w:t xml:space="preserve"> на социальные нужды (6.1.</w:t>
            </w:r>
            <w:r w:rsidR="00A53944" w:rsidRPr="00A53944">
              <w:rPr>
                <w:sz w:val="20"/>
                <w:szCs w:val="20"/>
                <w:lang w:val="en-PH"/>
              </w:rPr>
              <w:t>b</w:t>
            </w:r>
            <w:r w:rsidR="003C6DA6" w:rsidRPr="004B58B0">
              <w:rPr>
                <w:sz w:val="20"/>
                <w:szCs w:val="20"/>
                <w:lang w:val="ru-RU"/>
              </w:rPr>
              <w:t>), специальных субнациональных переводов</w:t>
            </w:r>
            <w:r w:rsidR="00A53944" w:rsidRPr="004B58B0">
              <w:rPr>
                <w:sz w:val="20"/>
                <w:szCs w:val="20"/>
                <w:lang w:val="ru-RU"/>
              </w:rPr>
              <w:t xml:space="preserve"> (5.2.</w:t>
            </w:r>
            <w:r w:rsidR="00A53944" w:rsidRPr="00A53944">
              <w:rPr>
                <w:sz w:val="20"/>
                <w:szCs w:val="20"/>
                <w:lang w:val="en-PH"/>
              </w:rPr>
              <w:t>b</w:t>
            </w:r>
            <w:r w:rsidR="003C6DA6" w:rsidRPr="004B58B0">
              <w:rPr>
                <w:sz w:val="20"/>
                <w:szCs w:val="20"/>
                <w:lang w:val="ru-RU"/>
              </w:rPr>
              <w:t>), бенефициарного права (2.5) и контрактов</w:t>
            </w:r>
            <w:r w:rsidR="00A53944" w:rsidRPr="004B58B0">
              <w:rPr>
                <w:sz w:val="20"/>
                <w:szCs w:val="20"/>
                <w:lang w:val="ru-RU"/>
              </w:rPr>
              <w:t xml:space="preserve"> (2.4). В соответствии с требованием 1.4 (</w:t>
            </w:r>
            <w:r w:rsidR="00A53944" w:rsidRPr="00A53944">
              <w:rPr>
                <w:sz w:val="20"/>
                <w:szCs w:val="20"/>
                <w:lang w:val="en-PH"/>
              </w:rPr>
              <w:t>b</w:t>
            </w:r>
            <w:r w:rsidR="00A53944" w:rsidRPr="004B58B0">
              <w:rPr>
                <w:sz w:val="20"/>
                <w:szCs w:val="20"/>
                <w:lang w:val="ru-RU"/>
              </w:rPr>
              <w:t>) (</w:t>
            </w:r>
            <w:r w:rsidR="00A53944" w:rsidRPr="00A53944">
              <w:rPr>
                <w:sz w:val="20"/>
                <w:szCs w:val="20"/>
                <w:lang w:val="en-PH"/>
              </w:rPr>
              <w:t>viii</w:t>
            </w:r>
            <w:r w:rsidR="00A53944" w:rsidRPr="004B58B0">
              <w:rPr>
                <w:sz w:val="20"/>
                <w:szCs w:val="20"/>
                <w:lang w:val="ru-RU"/>
              </w:rPr>
              <w:t xml:space="preserve">), многосторонняя группа заинтересованных сторон обязана документировать свои обсуждения и решения. </w:t>
            </w:r>
          </w:p>
          <w:p w:rsidR="008031C6" w:rsidRPr="004B58B0" w:rsidRDefault="008031C6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highlight w:val="yellow"/>
                <w:lang w:val="ru-RU"/>
              </w:rPr>
            </w:pPr>
            <w:r w:rsidRPr="008E4199">
              <w:rPr>
                <w:sz w:val="20"/>
                <w:szCs w:val="20"/>
                <w:lang w:val="en-PH"/>
              </w:rPr>
              <w:t>g</w:t>
            </w:r>
            <w:r w:rsidRPr="004B58B0">
              <w:rPr>
                <w:sz w:val="20"/>
                <w:szCs w:val="20"/>
                <w:lang w:val="ru-RU"/>
              </w:rPr>
              <w:t xml:space="preserve">)    </w:t>
            </w:r>
            <w:r w:rsidR="0096551F" w:rsidRPr="004B58B0">
              <w:rPr>
                <w:sz w:val="20"/>
                <w:szCs w:val="20"/>
                <w:lang w:val="ru-RU"/>
              </w:rPr>
              <w:t xml:space="preserve">Включать график внедрения, согласованный со сроками отчетности и Валидации, установленными Правлением ИПДО (положение 8.1-8.4), и принимающий во внимание требования административного характера (такие как, </w:t>
            </w:r>
            <w:r w:rsidR="0096551F" w:rsidRPr="004B58B0">
              <w:rPr>
                <w:sz w:val="20"/>
                <w:szCs w:val="20"/>
                <w:lang w:val="ru-RU"/>
              </w:rPr>
              <w:lastRenderedPageBreak/>
              <w:t>процессы привлечения подрядчиков и их финансирование.</w:t>
            </w:r>
            <w:r w:rsidR="0096551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892" w:type="dxa"/>
            <w:shd w:val="clear" w:color="auto" w:fill="auto"/>
          </w:tcPr>
          <w:p w:rsidR="001B55FB" w:rsidRPr="004B58B0" w:rsidRDefault="00930C04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Согласно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первоначальной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Секретариата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 w:rsidR="00A030C3" w:rsidRPr="004B58B0">
              <w:rPr>
                <w:sz w:val="20"/>
                <w:szCs w:val="20"/>
                <w:lang w:val="ru-RU"/>
              </w:rPr>
              <w:t xml:space="preserve">“[…] </w:t>
            </w:r>
            <w:r w:rsidR="00EB6755">
              <w:rPr>
                <w:sz w:val="20"/>
                <w:szCs w:val="20"/>
                <w:lang w:val="ru-RU"/>
              </w:rPr>
              <w:t>р</w:t>
            </w:r>
            <w:r w:rsidR="00EB6755" w:rsidRPr="004B58B0">
              <w:rPr>
                <w:sz w:val="20"/>
                <w:szCs w:val="20"/>
                <w:lang w:val="ru-RU"/>
              </w:rPr>
              <w:t xml:space="preserve">абочий план содержит цели для внедрения с четкими связями с национальными приоритетами, а также включает </w:t>
            </w:r>
            <w:r w:rsidR="00EB6755">
              <w:rPr>
                <w:sz w:val="20"/>
                <w:szCs w:val="20"/>
                <w:lang w:val="ru-RU"/>
              </w:rPr>
              <w:t xml:space="preserve">действия </w:t>
            </w:r>
            <w:r w:rsidR="00EB6755" w:rsidRPr="004B58B0">
              <w:rPr>
                <w:sz w:val="20"/>
                <w:szCs w:val="20"/>
                <w:lang w:val="ru-RU"/>
              </w:rPr>
              <w:t>и работы</w:t>
            </w:r>
            <w:r w:rsidR="00EB6755">
              <w:rPr>
                <w:sz w:val="20"/>
                <w:szCs w:val="20"/>
                <w:lang w:val="ru-RU"/>
              </w:rPr>
              <w:t>, направленные на</w:t>
            </w:r>
            <w:r w:rsidR="004441A9">
              <w:rPr>
                <w:sz w:val="20"/>
                <w:szCs w:val="20"/>
                <w:lang w:val="ru-RU"/>
              </w:rPr>
              <w:t xml:space="preserve"> </w:t>
            </w:r>
            <w:r w:rsidR="00EB6755">
              <w:rPr>
                <w:sz w:val="20"/>
                <w:szCs w:val="20"/>
                <w:lang w:val="ru-RU"/>
              </w:rPr>
              <w:t xml:space="preserve">выполнение этих целей. </w:t>
            </w:r>
            <w:r w:rsidR="00EB6755" w:rsidRPr="00484754">
              <w:rPr>
                <w:sz w:val="20"/>
                <w:szCs w:val="20"/>
                <w:lang w:val="ru-RU"/>
              </w:rPr>
              <w:t>Рабочий план включает широкий график сроков для достижения целей, а также оценку затрат и предложения по источникам финансирования</w:t>
            </w:r>
            <w:r w:rsidR="00A030C3" w:rsidRPr="00484754">
              <w:rPr>
                <w:sz w:val="20"/>
                <w:szCs w:val="20"/>
                <w:lang w:val="ru-RU"/>
              </w:rPr>
              <w:t>.</w:t>
            </w:r>
            <w:r w:rsidR="00E80876" w:rsidRPr="00484754">
              <w:rPr>
                <w:sz w:val="20"/>
                <w:szCs w:val="20"/>
                <w:lang w:val="ru-RU"/>
              </w:rPr>
              <w:t xml:space="preserve"> </w:t>
            </w:r>
            <w:r w:rsidR="00EB6755">
              <w:rPr>
                <w:sz w:val="20"/>
                <w:szCs w:val="20"/>
                <w:lang w:val="ru-RU"/>
              </w:rPr>
              <w:t>Представляется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достаточным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выполнение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Требований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ИПДО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, </w:t>
            </w:r>
            <w:r w:rsidR="004441A9">
              <w:rPr>
                <w:sz w:val="20"/>
                <w:szCs w:val="20"/>
                <w:lang w:val="ru-RU"/>
              </w:rPr>
              <w:t>и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согласно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первоначальной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оценке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Международного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Секретариата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, </w:t>
            </w:r>
            <w:r w:rsidR="004441A9">
              <w:rPr>
                <w:sz w:val="20"/>
                <w:szCs w:val="20"/>
                <w:lang w:val="ru-RU"/>
              </w:rPr>
              <w:t>Кыргызская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Республика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>
              <w:rPr>
                <w:sz w:val="20"/>
                <w:szCs w:val="20"/>
                <w:lang w:val="ru-RU"/>
              </w:rPr>
              <w:t>достигла</w:t>
            </w:r>
            <w:r w:rsidR="004441A9" w:rsidRPr="004B58B0">
              <w:rPr>
                <w:sz w:val="20"/>
                <w:szCs w:val="20"/>
                <w:lang w:val="ru-RU"/>
              </w:rPr>
              <w:t xml:space="preserve"> </w:t>
            </w:r>
            <w:r w:rsidR="004441A9" w:rsidRPr="00C77BA5">
              <w:rPr>
                <w:b/>
                <w:sz w:val="20"/>
                <w:szCs w:val="20"/>
                <w:lang w:val="ru-RU"/>
              </w:rPr>
              <w:t>УДОВЛЕТВОРИТЕЛЬНОГО</w:t>
            </w:r>
            <w:r w:rsidR="004441A9" w:rsidRPr="00C77BA5">
              <w:rPr>
                <w:sz w:val="20"/>
                <w:szCs w:val="20"/>
                <w:lang w:val="ru-RU"/>
              </w:rPr>
              <w:t xml:space="preserve"> прогресса в выполнении этого требования.”</w:t>
            </w:r>
            <w:r w:rsidR="004441A9">
              <w:rPr>
                <w:sz w:val="20"/>
                <w:szCs w:val="20"/>
                <w:lang w:val="ru-RU"/>
              </w:rPr>
              <w:t xml:space="preserve"> (стр. </w:t>
            </w:r>
            <w:r w:rsidR="0012712E" w:rsidRPr="00484754">
              <w:rPr>
                <w:sz w:val="20"/>
                <w:szCs w:val="20"/>
                <w:lang w:val="ru-RU"/>
              </w:rPr>
              <w:t>35)</w:t>
            </w:r>
            <w:r w:rsidR="004E2291" w:rsidRPr="00484754">
              <w:rPr>
                <w:sz w:val="20"/>
                <w:szCs w:val="20"/>
                <w:lang w:val="ru-RU"/>
              </w:rPr>
              <w:t xml:space="preserve">. </w:t>
            </w:r>
            <w:r w:rsidR="004E2291">
              <w:rPr>
                <w:sz w:val="20"/>
                <w:szCs w:val="20"/>
                <w:lang w:val="ru-RU"/>
              </w:rPr>
              <w:t>Согласно</w:t>
            </w:r>
            <w:r w:rsidR="004E2291" w:rsidRPr="004B58B0">
              <w:rPr>
                <w:sz w:val="20"/>
                <w:szCs w:val="20"/>
                <w:lang w:val="ru-RU"/>
              </w:rPr>
              <w:t xml:space="preserve"> </w:t>
            </w:r>
            <w:r w:rsidR="004E2291">
              <w:rPr>
                <w:sz w:val="20"/>
                <w:szCs w:val="20"/>
                <w:lang w:val="ru-RU"/>
              </w:rPr>
              <w:t>первоначальной</w:t>
            </w:r>
            <w:r w:rsidR="004E2291" w:rsidRPr="004B58B0">
              <w:rPr>
                <w:sz w:val="20"/>
                <w:szCs w:val="20"/>
                <w:lang w:val="ru-RU"/>
              </w:rPr>
              <w:t xml:space="preserve"> </w:t>
            </w:r>
            <w:r w:rsidR="004E2291">
              <w:rPr>
                <w:sz w:val="20"/>
                <w:szCs w:val="20"/>
                <w:lang w:val="ru-RU"/>
              </w:rPr>
              <w:t>оценке</w:t>
            </w:r>
            <w:r w:rsidR="004E2291" w:rsidRPr="004B58B0">
              <w:rPr>
                <w:sz w:val="20"/>
                <w:szCs w:val="20"/>
                <w:lang w:val="ru-RU"/>
              </w:rPr>
              <w:t xml:space="preserve"> </w:t>
            </w:r>
            <w:r w:rsidR="004E2291">
              <w:rPr>
                <w:sz w:val="20"/>
                <w:szCs w:val="20"/>
                <w:lang w:val="ru-RU"/>
              </w:rPr>
              <w:t>Международного</w:t>
            </w:r>
            <w:r w:rsidR="004E2291" w:rsidRPr="004B58B0">
              <w:rPr>
                <w:sz w:val="20"/>
                <w:szCs w:val="20"/>
                <w:lang w:val="ru-RU"/>
              </w:rPr>
              <w:t xml:space="preserve"> </w:t>
            </w:r>
            <w:r w:rsidR="004E2291">
              <w:rPr>
                <w:sz w:val="20"/>
                <w:szCs w:val="20"/>
                <w:lang w:val="ru-RU"/>
              </w:rPr>
              <w:t>Секретариата</w:t>
            </w:r>
            <w:r w:rsidR="004E2291" w:rsidRPr="004B58B0">
              <w:rPr>
                <w:sz w:val="20"/>
                <w:szCs w:val="20"/>
                <w:lang w:val="ru-RU"/>
              </w:rPr>
              <w:t xml:space="preserve"> </w:t>
            </w:r>
            <w:r w:rsidR="004E2291">
              <w:rPr>
                <w:sz w:val="20"/>
                <w:szCs w:val="20"/>
                <w:lang w:val="ru-RU"/>
              </w:rPr>
              <w:t>также</w:t>
            </w:r>
            <w:r w:rsidR="004E2291" w:rsidRPr="004B58B0">
              <w:rPr>
                <w:sz w:val="20"/>
                <w:szCs w:val="20"/>
                <w:lang w:val="ru-RU"/>
              </w:rPr>
              <w:t xml:space="preserve"> рекомендуется, чтобы НС согласовал стратегию мобилизации финансирования, включающую планы по частичному государственному </w:t>
            </w:r>
            <w:r w:rsidR="004E2291" w:rsidRPr="004B58B0">
              <w:rPr>
                <w:sz w:val="20"/>
                <w:szCs w:val="20"/>
                <w:lang w:val="ru-RU"/>
              </w:rPr>
              <w:lastRenderedPageBreak/>
              <w:t>финансированию в будущем</w:t>
            </w:r>
            <w:r w:rsidR="004E2291" w:rsidRPr="004B58B0" w:rsidDel="004E2291">
              <w:rPr>
                <w:sz w:val="20"/>
                <w:szCs w:val="20"/>
                <w:lang w:val="ru-RU"/>
              </w:rPr>
              <w:t xml:space="preserve"> </w:t>
            </w:r>
            <w:r w:rsidR="004E2291">
              <w:rPr>
                <w:sz w:val="20"/>
                <w:szCs w:val="20"/>
                <w:lang w:val="ru-RU"/>
              </w:rPr>
              <w:t xml:space="preserve">(стр. </w:t>
            </w:r>
            <w:r w:rsidR="00775101" w:rsidRPr="004B58B0">
              <w:rPr>
                <w:sz w:val="20"/>
                <w:szCs w:val="20"/>
                <w:lang w:val="ru-RU"/>
              </w:rPr>
              <w:t>35)</w:t>
            </w:r>
            <w:r w:rsidR="004E2291" w:rsidRPr="004B58B0">
              <w:rPr>
                <w:sz w:val="20"/>
                <w:szCs w:val="20"/>
                <w:lang w:val="ru-RU"/>
              </w:rPr>
              <w:t>.</w:t>
            </w:r>
            <w:r w:rsidR="004E2291">
              <w:rPr>
                <w:sz w:val="20"/>
                <w:szCs w:val="20"/>
                <w:lang w:val="ru-RU"/>
              </w:rPr>
              <w:t xml:space="preserve"> </w:t>
            </w:r>
            <w:r w:rsidR="004E2291" w:rsidRPr="004E2291">
              <w:rPr>
                <w:sz w:val="20"/>
                <w:szCs w:val="20"/>
                <w:lang w:val="ru-RU"/>
              </w:rPr>
              <w:t>Будущие рабочие планы могли бы устанавливать более четкую связь между работами по рабочему плану и целями рабочего плана. Будущие рабочие планы могли бы устан</w:t>
            </w:r>
            <w:r w:rsidR="004E2291">
              <w:rPr>
                <w:sz w:val="20"/>
                <w:szCs w:val="20"/>
                <w:lang w:val="ru-RU"/>
              </w:rPr>
              <w:t xml:space="preserve">авливать более конкретную связь между </w:t>
            </w:r>
            <w:r w:rsidR="009D2BAF">
              <w:rPr>
                <w:sz w:val="20"/>
                <w:szCs w:val="20"/>
                <w:lang w:val="ru-RU"/>
              </w:rPr>
              <w:t xml:space="preserve">работами по рабочему плану и </w:t>
            </w:r>
            <w:r w:rsidR="004E2291">
              <w:rPr>
                <w:sz w:val="20"/>
                <w:szCs w:val="20"/>
                <w:lang w:val="ru-RU"/>
              </w:rPr>
              <w:t>целями рабочего плана</w:t>
            </w:r>
            <w:r w:rsidR="009D2BAF">
              <w:rPr>
                <w:sz w:val="20"/>
                <w:szCs w:val="20"/>
                <w:lang w:val="ru-RU"/>
              </w:rPr>
              <w:t xml:space="preserve"> и включали более конкретные сроки для каждой работы.</w:t>
            </w:r>
          </w:p>
        </w:tc>
        <w:tc>
          <w:tcPr>
            <w:tcW w:w="2557" w:type="dxa"/>
            <w:shd w:val="clear" w:color="auto" w:fill="auto"/>
          </w:tcPr>
          <w:p w:rsidR="001B55FB" w:rsidRPr="004B58B0" w:rsidRDefault="00572347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МГЗС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соглашается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отмечает</w:t>
            </w:r>
            <w:r w:rsidRPr="004B58B0">
              <w:rPr>
                <w:sz w:val="20"/>
                <w:szCs w:val="20"/>
                <w:lang w:val="ru-RU"/>
              </w:rPr>
              <w:t>:</w:t>
            </w:r>
            <w:r w:rsidR="00D92D0C" w:rsidRPr="004B58B0">
              <w:rPr>
                <w:sz w:val="20"/>
                <w:szCs w:val="20"/>
                <w:lang w:val="ru-RU"/>
              </w:rPr>
              <w:t xml:space="preserve"> “</w:t>
            </w:r>
            <w:r w:rsidRPr="004B58B0">
              <w:rPr>
                <w:sz w:val="20"/>
                <w:szCs w:val="20"/>
                <w:lang w:val="ru-RU"/>
              </w:rPr>
              <w:t>Цели рабочего плана имеют очевидную связь с национальными приоритетами. Все мероприятия рабочего плана действуют в поддержку планов Правительства по улучшению управления природными ресурсами</w:t>
            </w:r>
            <w:r w:rsidR="00BA7236" w:rsidRPr="004B58B0">
              <w:rPr>
                <w:sz w:val="20"/>
                <w:szCs w:val="20"/>
                <w:lang w:val="ru-RU"/>
              </w:rPr>
              <w:t>, прозрачности и подотчётности п</w:t>
            </w:r>
            <w:r w:rsidRPr="004B58B0">
              <w:rPr>
                <w:sz w:val="20"/>
                <w:szCs w:val="20"/>
                <w:lang w:val="ru-RU"/>
              </w:rPr>
              <w:t>равительства и привлечению инвестиций</w:t>
            </w:r>
            <w:r w:rsidR="00232E71" w:rsidRPr="004B58B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B55FB" w:rsidRPr="008E4199" w:rsidRDefault="00965C1F" w:rsidP="008E4199">
            <w:pPr>
              <w:spacing w:before="120" w:after="120" w:line="220" w:lineRule="exact"/>
              <w:contextualSpacing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Валидатор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не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согласен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оценкой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Международного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Секретариата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и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считает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уровень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достигнутого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прогресса</w:t>
            </w:r>
            <w:r w:rsidR="00237E68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ЗНАЧИМЫМ</w:t>
            </w:r>
            <w:r w:rsidR="00FE2FF3" w:rsidRPr="004B58B0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="0017604A" w:rsidRPr="004B58B0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17604A" w:rsidRPr="004B58B0">
              <w:rPr>
                <w:rFonts w:cs="Calibri"/>
                <w:sz w:val="20"/>
                <w:szCs w:val="20"/>
                <w:lang w:val="ru-RU"/>
              </w:rPr>
              <w:t xml:space="preserve">[…] </w:t>
            </w:r>
            <w:r>
              <w:rPr>
                <w:rFonts w:cs="Calibri"/>
                <w:sz w:val="20"/>
                <w:szCs w:val="20"/>
                <w:lang w:val="ru-RU"/>
              </w:rPr>
              <w:t>В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то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время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как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рабочий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план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содержит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работы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наращиванию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потенциала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ru-RU"/>
              </w:rPr>
              <w:t>он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не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приводит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конкретных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планов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>;</w:t>
            </w:r>
            <w:r w:rsidR="0017604A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рабочий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план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содержит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комментарии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необходимости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внесения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поправок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Закон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Недропользовании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ru-RU"/>
              </w:rPr>
              <w:t>но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не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приводит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планов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том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ru-RU"/>
              </w:rPr>
              <w:t>как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это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будет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осуществляться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; </w:t>
            </w:r>
            <w:r>
              <w:rPr>
                <w:rFonts w:cs="Calibri"/>
                <w:sz w:val="20"/>
                <w:szCs w:val="20"/>
                <w:lang w:val="ru-RU"/>
              </w:rPr>
              <w:t>в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то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время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как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рабочий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план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упоминает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необходимость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выполнения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рекомендаций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Валидации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он не приводит планов МГЗС для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достижения этого; рабочий план не упоминает каких-либо мер по выполнению рекомендаций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отчетности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ИПДО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;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и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в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то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время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как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для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некоторых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работ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приводится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оценка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затрат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>,</w:t>
            </w:r>
            <w:r w:rsidR="002E15F4" w:rsidRPr="004B58B0" w:rsidDel="002E15F4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для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других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только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указано</w:t>
            </w:r>
            <w:r w:rsidR="002E15F4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652518" w:rsidRPr="004B58B0">
              <w:rPr>
                <w:rFonts w:cs="Calibri"/>
                <w:sz w:val="20"/>
                <w:szCs w:val="20"/>
                <w:lang w:val="ru-RU"/>
              </w:rPr>
              <w:t>“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спонсоры</w:t>
            </w:r>
            <w:r w:rsidR="00652518" w:rsidRPr="004B58B0">
              <w:rPr>
                <w:rFonts w:cs="Calibri"/>
                <w:sz w:val="20"/>
                <w:szCs w:val="20"/>
                <w:lang w:val="ru-RU"/>
              </w:rPr>
              <w:t xml:space="preserve">”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или</w:t>
            </w:r>
            <w:r w:rsidR="00652518" w:rsidRPr="004B58B0">
              <w:rPr>
                <w:rFonts w:cs="Calibri"/>
                <w:sz w:val="20"/>
                <w:szCs w:val="20"/>
                <w:lang w:val="ru-RU"/>
              </w:rPr>
              <w:t xml:space="preserve"> “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правительство</w:t>
            </w:r>
            <w:r w:rsidR="00652518" w:rsidRPr="004B58B0">
              <w:rPr>
                <w:rFonts w:cs="Calibri"/>
                <w:sz w:val="20"/>
                <w:szCs w:val="20"/>
                <w:lang w:val="ru-RU"/>
              </w:rPr>
              <w:t>”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 xml:space="preserve">, но не указаны, какие доноры, и не приведены действия по мобилизации финансирования или 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lastRenderedPageBreak/>
              <w:t>источники технической помощи</w:t>
            </w:r>
            <w:r w:rsidR="00652518" w:rsidRPr="004B58B0">
              <w:rPr>
                <w:rFonts w:cs="Calibri"/>
                <w:sz w:val="20"/>
                <w:szCs w:val="20"/>
                <w:lang w:val="ru-RU"/>
              </w:rPr>
              <w:t>.</w:t>
            </w:r>
            <w:r w:rsidR="00E523FB" w:rsidRPr="004B58B0">
              <w:rPr>
                <w:rFonts w:cs="Calibri"/>
                <w:sz w:val="20"/>
                <w:szCs w:val="20"/>
                <w:lang w:val="ru-RU"/>
              </w:rPr>
              <w:t>”</w:t>
            </w:r>
            <w:r w:rsidR="00754293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754293" w:rsidRPr="008E4199">
              <w:rPr>
                <w:rFonts w:cs="Calibri"/>
                <w:sz w:val="20"/>
                <w:szCs w:val="20"/>
                <w:lang w:val="en-AU"/>
              </w:rPr>
              <w:t>(</w:t>
            </w:r>
            <w:r w:rsidR="002E15F4">
              <w:rPr>
                <w:rFonts w:cs="Calibri"/>
                <w:sz w:val="20"/>
                <w:szCs w:val="20"/>
                <w:lang w:val="ru-RU"/>
              </w:rPr>
              <w:t>стр</w:t>
            </w:r>
            <w:r w:rsidR="00754293" w:rsidRPr="008E4199">
              <w:rPr>
                <w:rFonts w:cs="Calibri"/>
                <w:sz w:val="20"/>
                <w:szCs w:val="20"/>
                <w:lang w:val="en-AU"/>
              </w:rPr>
              <w:t>.4)</w:t>
            </w:r>
          </w:p>
        </w:tc>
        <w:tc>
          <w:tcPr>
            <w:tcW w:w="2410" w:type="dxa"/>
            <w:shd w:val="clear" w:color="auto" w:fill="auto"/>
          </w:tcPr>
          <w:p w:rsidR="00751E26" w:rsidRPr="004B58B0" w:rsidRDefault="001F277B" w:rsidP="008E4199">
            <w:pPr>
              <w:spacing w:before="120" w:after="120" w:line="220" w:lineRule="exact"/>
              <w:contextualSpacing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Члены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Наблюдательного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Совета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согласны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мнением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Валидатора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выражают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сомнения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поводу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варианта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рабочего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плана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который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был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проанализирован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Валидатором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: </w:t>
            </w:r>
            <w:r w:rsidR="0084601F" w:rsidRPr="004B58B0">
              <w:rPr>
                <w:bCs/>
                <w:sz w:val="20"/>
                <w:szCs w:val="20"/>
                <w:lang w:val="ru-RU"/>
              </w:rPr>
              <w:t>“</w:t>
            </w:r>
            <w:r>
              <w:rPr>
                <w:bCs/>
                <w:sz w:val="20"/>
                <w:szCs w:val="20"/>
                <w:lang w:val="ru-RU"/>
              </w:rPr>
              <w:t>Валидатор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очевидно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не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получил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полную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версию Рабочего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плана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поскольку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приведенные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там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аргументы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находят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подтверждения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самом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документе</w:t>
            </w:r>
            <w:r w:rsidRPr="004B58B0">
              <w:rPr>
                <w:bCs/>
                <w:sz w:val="20"/>
                <w:szCs w:val="20"/>
                <w:lang w:val="ru-RU"/>
              </w:rPr>
              <w:t>.</w:t>
            </w:r>
            <w:r>
              <w:rPr>
                <w:bCs/>
                <w:sz w:val="20"/>
                <w:szCs w:val="20"/>
                <w:lang w:val="ru-RU"/>
              </w:rPr>
              <w:t xml:space="preserve"> Работы по повышению потенциала Валидации описаны в разделах 5 и 7 Рабочего плана, соответственно.</w:t>
            </w:r>
            <w:r w:rsidR="00874D1C" w:rsidRPr="00484754">
              <w:rPr>
                <w:bCs/>
                <w:sz w:val="20"/>
                <w:szCs w:val="20"/>
                <w:lang w:val="ru-RU"/>
              </w:rPr>
              <w:t xml:space="preserve">” </w:t>
            </w:r>
            <w:r>
              <w:rPr>
                <w:bCs/>
                <w:sz w:val="20"/>
                <w:szCs w:val="20"/>
                <w:lang w:val="ru-RU"/>
              </w:rPr>
              <w:t>МГЗС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продолжает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представлять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аргументы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против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каждого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положения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поднятого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Валидатором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: </w:t>
            </w:r>
            <w:r w:rsidR="00874D1C" w:rsidRPr="004B58B0">
              <w:rPr>
                <w:bCs/>
                <w:sz w:val="20"/>
                <w:szCs w:val="20"/>
                <w:lang w:val="ru-RU"/>
              </w:rPr>
              <w:t xml:space="preserve">“(1) </w:t>
            </w:r>
            <w:r>
              <w:rPr>
                <w:bCs/>
                <w:sz w:val="20"/>
                <w:szCs w:val="20"/>
                <w:lang w:val="ru-RU"/>
              </w:rPr>
              <w:t>Обращаем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ваше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внимание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тот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факт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что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согласно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Резолюции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правительства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№ 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 xml:space="preserve">317, </w:t>
            </w:r>
            <w:r>
              <w:rPr>
                <w:bCs/>
                <w:sz w:val="20"/>
                <w:szCs w:val="20"/>
                <w:lang w:val="ru-RU"/>
              </w:rPr>
              <w:t>ответственность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за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мобилизацию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финансирования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лежит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Секретариате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ИПДО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который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участвовал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lastRenderedPageBreak/>
              <w:t>работе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Советов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спонсоров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дважды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>2013-2014</w:t>
            </w:r>
            <w:r>
              <w:rPr>
                <w:bCs/>
                <w:sz w:val="20"/>
                <w:szCs w:val="20"/>
                <w:lang w:val="ru-RU"/>
              </w:rPr>
              <w:t xml:space="preserve"> гг.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а также в отдельных заседаниях с участием</w:t>
            </w:r>
            <w:r w:rsidR="004105A0">
              <w:rPr>
                <w:bCs/>
                <w:sz w:val="20"/>
                <w:szCs w:val="20"/>
                <w:lang w:val="ru-RU"/>
              </w:rPr>
              <w:t xml:space="preserve"> других представителей Наблюдательного Совета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>.</w:t>
            </w:r>
            <w:r w:rsidR="001903CB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874D1C" w:rsidRPr="004B58B0">
              <w:rPr>
                <w:bCs/>
                <w:sz w:val="20"/>
                <w:szCs w:val="20"/>
                <w:lang w:val="ru-RU"/>
              </w:rPr>
              <w:t xml:space="preserve">(2) </w:t>
            </w:r>
            <w:r w:rsidR="004105A0">
              <w:rPr>
                <w:bCs/>
                <w:sz w:val="20"/>
                <w:szCs w:val="20"/>
                <w:lang w:val="ru-RU"/>
              </w:rPr>
              <w:t>Действительно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4105A0">
              <w:rPr>
                <w:bCs/>
                <w:sz w:val="20"/>
                <w:szCs w:val="20"/>
                <w:lang w:val="ru-RU"/>
              </w:rPr>
              <w:t>разделы</w:t>
            </w:r>
            <w:r w:rsidR="00874D1C" w:rsidRPr="004B58B0">
              <w:rPr>
                <w:bCs/>
                <w:sz w:val="20"/>
                <w:szCs w:val="20"/>
                <w:lang w:val="ru-RU"/>
              </w:rPr>
              <w:t xml:space="preserve"> 2.4 </w:t>
            </w:r>
            <w:r w:rsidR="004105A0">
              <w:rPr>
                <w:bCs/>
                <w:sz w:val="20"/>
                <w:szCs w:val="20"/>
                <w:lang w:val="ru-RU"/>
              </w:rPr>
              <w:t>и</w:t>
            </w:r>
            <w:r w:rsidR="00874D1C" w:rsidRPr="004B58B0">
              <w:rPr>
                <w:bCs/>
                <w:sz w:val="20"/>
                <w:szCs w:val="20"/>
                <w:lang w:val="ru-RU"/>
              </w:rPr>
              <w:t xml:space="preserve"> 4.4 </w:t>
            </w:r>
            <w:r w:rsidR="004105A0">
              <w:rPr>
                <w:bCs/>
                <w:sz w:val="20"/>
                <w:szCs w:val="20"/>
                <w:lang w:val="ru-RU"/>
              </w:rPr>
              <w:t>не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определяют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затрат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по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работам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4105A0">
              <w:rPr>
                <w:bCs/>
                <w:sz w:val="20"/>
                <w:szCs w:val="20"/>
                <w:lang w:val="ru-RU"/>
              </w:rPr>
              <w:t>поскольку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они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должны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быть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оплачены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тем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же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грантом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4105A0">
              <w:rPr>
                <w:bCs/>
                <w:sz w:val="20"/>
                <w:szCs w:val="20"/>
                <w:lang w:val="ru-RU"/>
              </w:rPr>
              <w:t>как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и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в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разделе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874D1C" w:rsidRPr="004B58B0">
              <w:rPr>
                <w:bCs/>
                <w:sz w:val="20"/>
                <w:szCs w:val="20"/>
                <w:lang w:val="ru-RU"/>
              </w:rPr>
              <w:t xml:space="preserve">2.10, </w:t>
            </w:r>
            <w:r w:rsidR="004105A0">
              <w:rPr>
                <w:bCs/>
                <w:sz w:val="20"/>
                <w:szCs w:val="20"/>
                <w:lang w:val="ru-RU"/>
              </w:rPr>
              <w:t>который содержит расчет затрат по подготовке Отчета.</w:t>
            </w:r>
          </w:p>
          <w:p w:rsidR="001B55FB" w:rsidRPr="004B58B0" w:rsidRDefault="00D61F8F" w:rsidP="008E4199">
            <w:pPr>
              <w:spacing w:before="120" w:after="120" w:line="220" w:lineRule="exact"/>
              <w:contextualSpacing/>
              <w:rPr>
                <w:bCs/>
                <w:sz w:val="20"/>
                <w:szCs w:val="20"/>
                <w:lang w:val="ru-RU"/>
              </w:rPr>
            </w:pPr>
            <w:r w:rsidRPr="004B58B0">
              <w:rPr>
                <w:bCs/>
                <w:sz w:val="20"/>
                <w:szCs w:val="20"/>
                <w:lang w:val="ru-RU"/>
              </w:rPr>
              <w:t xml:space="preserve">(3) </w:t>
            </w:r>
            <w:r w:rsidR="004105A0">
              <w:rPr>
                <w:bCs/>
                <w:sz w:val="20"/>
                <w:szCs w:val="20"/>
                <w:lang w:val="ru-RU"/>
              </w:rPr>
              <w:t>В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связи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с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комментариями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Валидатора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по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поправкам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к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Закону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“</w:t>
            </w:r>
            <w:r w:rsidR="004105A0">
              <w:rPr>
                <w:bCs/>
                <w:sz w:val="20"/>
                <w:szCs w:val="20"/>
                <w:lang w:val="ru-RU"/>
              </w:rPr>
              <w:t>О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Недрах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” </w:t>
            </w:r>
            <w:r w:rsidR="004105A0">
              <w:rPr>
                <w:bCs/>
                <w:sz w:val="20"/>
                <w:szCs w:val="20"/>
                <w:lang w:val="ru-RU"/>
              </w:rPr>
              <w:t>разрабатываются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поправки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в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соответствии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с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законодательным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процессом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и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надзором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за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ИПДО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со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стороны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правительственного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органа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 xml:space="preserve">– </w:t>
            </w:r>
            <w:r w:rsidR="004105A0">
              <w:rPr>
                <w:bCs/>
                <w:sz w:val="20"/>
                <w:szCs w:val="20"/>
                <w:lang w:val="ru-RU"/>
              </w:rPr>
              <w:t xml:space="preserve">Государственного Комитета по Промышленности, Энергетике и Недропользованию </w:t>
            </w:r>
            <w:r w:rsidR="004105A0">
              <w:rPr>
                <w:bCs/>
                <w:sz w:val="20"/>
                <w:szCs w:val="20"/>
                <w:lang w:val="ru-RU"/>
              </w:rPr>
              <w:lastRenderedPageBreak/>
              <w:t>Кыргызской</w:t>
            </w:r>
            <w:r w:rsidR="004105A0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05A0">
              <w:rPr>
                <w:bCs/>
                <w:sz w:val="20"/>
                <w:szCs w:val="20"/>
                <w:lang w:val="ru-RU"/>
              </w:rPr>
              <w:t>Республики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="0041197E">
              <w:rPr>
                <w:bCs/>
                <w:sz w:val="20"/>
                <w:szCs w:val="20"/>
                <w:lang w:val="ru-RU"/>
              </w:rPr>
              <w:t>участвовавшего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в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инициировании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пакета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 xml:space="preserve">поправок к Закону Кыргызской Республики 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>“</w:t>
            </w:r>
            <w:r w:rsidR="0041197E">
              <w:rPr>
                <w:bCs/>
                <w:sz w:val="20"/>
                <w:szCs w:val="20"/>
                <w:lang w:val="ru-RU"/>
              </w:rPr>
              <w:t>О Недрах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 xml:space="preserve">” </w:t>
            </w:r>
            <w:r w:rsidR="0041197E">
              <w:rPr>
                <w:bCs/>
                <w:sz w:val="20"/>
                <w:szCs w:val="20"/>
                <w:lang w:val="ru-RU"/>
              </w:rPr>
              <w:t xml:space="preserve">в 2016 году. Эти поправки включают позиции, которые предвиделись в Рабочем плане и рассматриваются Парламентом Киргизии во втором слушании </w:t>
            </w:r>
            <w:r w:rsidR="00BF0EAD" w:rsidRPr="004B58B0">
              <w:rPr>
                <w:bCs/>
                <w:sz w:val="20"/>
                <w:szCs w:val="20"/>
                <w:lang w:val="ru-RU"/>
              </w:rPr>
              <w:t>[</w:t>
            </w:r>
            <w:r w:rsidR="0041197E">
              <w:rPr>
                <w:bCs/>
                <w:sz w:val="20"/>
                <w:szCs w:val="20"/>
                <w:lang w:val="ru-RU"/>
              </w:rPr>
              <w:t>в 2017 г</w:t>
            </w:r>
            <w:r w:rsidR="00BF0EAD" w:rsidRPr="004B58B0">
              <w:rPr>
                <w:bCs/>
                <w:sz w:val="20"/>
                <w:szCs w:val="20"/>
                <w:lang w:val="ru-RU"/>
              </w:rPr>
              <w:t>]</w:t>
            </w:r>
            <w:r w:rsidR="00751E26" w:rsidRPr="004B58B0">
              <w:rPr>
                <w:bCs/>
                <w:sz w:val="20"/>
                <w:szCs w:val="20"/>
                <w:lang w:val="ru-RU"/>
              </w:rPr>
              <w:t>.</w:t>
            </w:r>
            <w:r w:rsidR="00AB5873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Комментарии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в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Предварительном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отчете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41197E">
              <w:rPr>
                <w:bCs/>
                <w:sz w:val="20"/>
                <w:szCs w:val="20"/>
                <w:lang w:val="ru-RU"/>
              </w:rPr>
              <w:t>касающиеся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несоответствия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работ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в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Рабочем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плане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и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целей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внедрения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ИПДО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41197E">
              <w:rPr>
                <w:bCs/>
                <w:sz w:val="20"/>
                <w:szCs w:val="20"/>
                <w:lang w:val="ru-RU"/>
              </w:rPr>
              <w:t>также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не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нашли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понимания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в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Наблюдательном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Совете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>.</w:t>
            </w:r>
            <w:r w:rsidR="0041197E">
              <w:rPr>
                <w:bCs/>
                <w:sz w:val="20"/>
                <w:szCs w:val="20"/>
                <w:lang w:val="ru-RU"/>
              </w:rPr>
              <w:t xml:space="preserve"> Мы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считаем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41197E">
              <w:rPr>
                <w:bCs/>
                <w:sz w:val="20"/>
                <w:szCs w:val="20"/>
                <w:lang w:val="ru-RU"/>
              </w:rPr>
              <w:t>что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Отчет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как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таковой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41197E">
              <w:rPr>
                <w:bCs/>
                <w:sz w:val="20"/>
                <w:szCs w:val="20"/>
                <w:lang w:val="ru-RU"/>
              </w:rPr>
              <w:t>раскрытие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бенефициарного</w:t>
            </w:r>
            <w:r w:rsidR="0041197E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1197E">
              <w:rPr>
                <w:bCs/>
                <w:sz w:val="20"/>
                <w:szCs w:val="20"/>
                <w:lang w:val="ru-RU"/>
              </w:rPr>
              <w:t>права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9450CC">
              <w:rPr>
                <w:bCs/>
                <w:sz w:val="20"/>
                <w:szCs w:val="20"/>
                <w:lang w:val="ru-RU"/>
              </w:rPr>
              <w:t>заседания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Наблюдательного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Совета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и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Валидация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="009450CC">
              <w:rPr>
                <w:bCs/>
                <w:sz w:val="20"/>
                <w:szCs w:val="20"/>
                <w:lang w:val="ru-RU"/>
              </w:rPr>
              <w:t>это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процессы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9450CC">
              <w:rPr>
                <w:bCs/>
                <w:sz w:val="20"/>
                <w:szCs w:val="20"/>
                <w:lang w:val="ru-RU"/>
              </w:rPr>
              <w:t>которые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улучшают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управление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природными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ресурсами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и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>повышают</w:t>
            </w:r>
            <w:r w:rsidR="009450CC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450CC">
              <w:rPr>
                <w:bCs/>
                <w:sz w:val="20"/>
                <w:szCs w:val="20"/>
                <w:lang w:val="ru-RU"/>
              </w:rPr>
              <w:t xml:space="preserve">прозрачность и подотчетность </w:t>
            </w:r>
            <w:r w:rsidR="009450CC">
              <w:rPr>
                <w:bCs/>
                <w:sz w:val="20"/>
                <w:szCs w:val="20"/>
                <w:lang w:val="ru-RU"/>
              </w:rPr>
              <w:lastRenderedPageBreak/>
              <w:t xml:space="preserve">правительства в управлении сектором. </w:t>
            </w:r>
            <w:r w:rsidR="00751E26" w:rsidRPr="004B58B0">
              <w:rPr>
                <w:bCs/>
                <w:strike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03321" w:rsidRPr="004B58B0" w:rsidRDefault="006F6909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Комитет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представить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рекомендацию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том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должна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Правлением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требования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1.5 </w:t>
            </w:r>
            <w:r>
              <w:rPr>
                <w:sz w:val="20"/>
                <w:szCs w:val="20"/>
                <w:lang w:val="ru-RU"/>
              </w:rPr>
              <w:t>считаться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значимым прогрессом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” </w:t>
            </w:r>
            <w:r>
              <w:rPr>
                <w:sz w:val="20"/>
                <w:szCs w:val="20"/>
                <w:lang w:val="ru-RU"/>
              </w:rPr>
              <w:t>или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“</w:t>
            </w:r>
            <w:r w:rsidR="0048592D">
              <w:rPr>
                <w:sz w:val="20"/>
                <w:szCs w:val="20"/>
                <w:lang w:val="ru-RU"/>
              </w:rPr>
              <w:t>удовлетворительным прогрессом</w:t>
            </w:r>
            <w:r w:rsidR="00A03321" w:rsidRPr="004B58B0">
              <w:rPr>
                <w:sz w:val="20"/>
                <w:szCs w:val="20"/>
                <w:lang w:val="ru-RU"/>
              </w:rPr>
              <w:t>”.</w:t>
            </w:r>
          </w:p>
          <w:p w:rsidR="00A03321" w:rsidRPr="004B58B0" w:rsidRDefault="00A03321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</w:p>
          <w:p w:rsidR="001B55FB" w:rsidRPr="004B58B0" w:rsidRDefault="0048592D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случае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признания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значимым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прогрессом</w:t>
            </w:r>
            <w:r w:rsidR="00A03321" w:rsidRPr="004B58B0">
              <w:rPr>
                <w:sz w:val="20"/>
                <w:szCs w:val="20"/>
                <w:lang w:val="ru-RU"/>
              </w:rPr>
              <w:t>”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указать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какие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положения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нарушенными, и рекомендовать исправительные действия.</w:t>
            </w:r>
            <w:r w:rsidRPr="004B58B0" w:rsidDel="0048592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8592D" w:rsidRPr="004B58B0" w:rsidTr="008E4199">
        <w:tc>
          <w:tcPr>
            <w:tcW w:w="2768" w:type="dxa"/>
            <w:shd w:val="clear" w:color="auto" w:fill="auto"/>
          </w:tcPr>
          <w:p w:rsidR="00530469" w:rsidRPr="00484754" w:rsidRDefault="00B367B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484754">
              <w:rPr>
                <w:rFonts w:cs="MyriadPro-Regular"/>
                <w:sz w:val="20"/>
                <w:szCs w:val="20"/>
                <w:lang w:val="ru-RU"/>
              </w:rPr>
              <w:lastRenderedPageBreak/>
              <w:t xml:space="preserve">2.4 </w:t>
            </w:r>
            <w:r w:rsidR="0096551F">
              <w:rPr>
                <w:rFonts w:cs="MyriadPro-Regular"/>
                <w:sz w:val="20"/>
                <w:szCs w:val="20"/>
                <w:lang w:val="ru-RU"/>
              </w:rPr>
              <w:t>Контракты</w:t>
            </w:r>
          </w:p>
          <w:p w:rsidR="00B367BC" w:rsidRPr="00484754" w:rsidRDefault="00B367B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a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   </w:t>
            </w:r>
            <w:r w:rsidR="007B5D9E" w:rsidRPr="004B58B0">
              <w:rPr>
                <w:rFonts w:cs="MyriadPro-Regular"/>
                <w:sz w:val="20"/>
                <w:szCs w:val="20"/>
                <w:lang w:val="ru-RU"/>
              </w:rPr>
              <w:t xml:space="preserve">Внедряющие страны поощряются к публичному раскрытию любых контрактов, соглашений и прочих документов, в которых представлены условия, относящиеся к добыче нефти, газа и минеральных ресурсов. </w:t>
            </w:r>
          </w:p>
          <w:p w:rsidR="00B367BC" w:rsidRPr="00484754" w:rsidRDefault="00B367B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b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  </w:t>
            </w:r>
            <w:r w:rsidR="00124CF3" w:rsidRPr="004B58B0">
              <w:rPr>
                <w:rFonts w:cs="MyriadPro-Regular"/>
                <w:sz w:val="20"/>
                <w:szCs w:val="20"/>
                <w:lang w:val="ru-RU"/>
              </w:rPr>
              <w:t xml:space="preserve">Необходимо, чтобы отчеты ИПДО документировали политику правительства по раскрытию контрактов и соглашений, которые регулируют разведку и разработку нефти, газа и минеральных ресурсов. Это должно включать необходимые правовые положения, раскрытие </w:t>
            </w:r>
            <w:r w:rsidR="003C6DA6">
              <w:rPr>
                <w:rFonts w:cs="MyriadPro-Regular"/>
                <w:sz w:val="20"/>
                <w:szCs w:val="20"/>
                <w:lang w:val="ru-RU"/>
              </w:rPr>
              <w:t xml:space="preserve">реальной </w:t>
            </w:r>
            <w:r w:rsidR="00124CF3" w:rsidRPr="004B58B0">
              <w:rPr>
                <w:rFonts w:cs="MyriadPro-Regular"/>
                <w:sz w:val="20"/>
                <w:szCs w:val="20"/>
                <w:lang w:val="ru-RU"/>
              </w:rPr>
              <w:t xml:space="preserve">практики и любых реформ, которые планируются или уже проводятся. По мере применимости отчеты ИПДО должны приводить краткое описание контрактов, где оно имеется, и включать ссылки (линии связи) на </w:t>
            </w:r>
            <w:r w:rsidR="00124CF3" w:rsidRPr="004B58B0">
              <w:rPr>
                <w:rFonts w:cs="MyriadPro-Regular"/>
                <w:sz w:val="20"/>
                <w:szCs w:val="20"/>
                <w:lang w:val="ru-RU"/>
              </w:rPr>
              <w:lastRenderedPageBreak/>
              <w:t>источники публикации контрактов</w:t>
            </w:r>
            <w:r w:rsidR="00124CF3">
              <w:rPr>
                <w:rFonts w:cs="MyriadPro-Regular"/>
                <w:sz w:val="20"/>
                <w:szCs w:val="20"/>
                <w:lang w:val="ru-RU"/>
              </w:rPr>
              <w:t>.</w:t>
            </w:r>
          </w:p>
          <w:p w:rsidR="00B367BC" w:rsidRPr="004B58B0" w:rsidRDefault="00B367B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c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   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Термин “контракт” в 2.4 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a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) означает</w:t>
            </w:r>
            <w:r w:rsidR="003B4C61" w:rsidRPr="004B58B0">
              <w:rPr>
                <w:rFonts w:cs="MyriadPro-Regular"/>
                <w:sz w:val="20"/>
                <w:szCs w:val="20"/>
                <w:lang w:val="ru-RU"/>
              </w:rPr>
              <w:t>:</w:t>
            </w:r>
          </w:p>
          <w:p w:rsidR="00B367BC" w:rsidRPr="00484754" w:rsidRDefault="003B4C61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proofErr w:type="spellStart"/>
            <w:r w:rsidRPr="008E4199">
              <w:rPr>
                <w:rFonts w:cs="MyriadPro-Regular"/>
                <w:sz w:val="20"/>
                <w:szCs w:val="20"/>
                <w:lang w:val="en-PH"/>
              </w:rPr>
              <w:t>i</w:t>
            </w:r>
            <w:proofErr w:type="spellEnd"/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 xml:space="preserve">Полный текст любого контракта, лицензии, концессии или соглашения, предоставленного или заключенного правительством и регулирующего права на добычу нефти, газа и минеральных ресурсов. </w:t>
            </w:r>
          </w:p>
          <w:p w:rsidR="00B367BC" w:rsidRPr="00484754" w:rsidRDefault="00B367B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ii</w:t>
            </w:r>
            <w:r w:rsidRPr="00484754">
              <w:rPr>
                <w:rFonts w:cs="MyriadPro-Regular"/>
                <w:sz w:val="20"/>
                <w:szCs w:val="20"/>
                <w:lang w:val="ru-RU"/>
              </w:rPr>
              <w:t xml:space="preserve">.  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Полный текст любого приложения, дополнения или дополнительного условия, которое устанавливает сведения, относящиеся к упомянутым выше правам на добычу в 2.4(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c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)(</w:t>
            </w:r>
            <w:proofErr w:type="spellStart"/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i</w:t>
            </w:r>
            <w:proofErr w:type="spellEnd"/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 xml:space="preserve">) или их реализации. </w:t>
            </w:r>
          </w:p>
          <w:p w:rsidR="00B367BC" w:rsidRPr="00484754" w:rsidRDefault="00B367B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iii</w:t>
            </w:r>
            <w:r w:rsidRPr="00484754">
              <w:rPr>
                <w:rFonts w:cs="MyriadPro-Regular"/>
                <w:sz w:val="20"/>
                <w:szCs w:val="20"/>
                <w:lang w:val="ru-RU"/>
              </w:rPr>
              <w:t xml:space="preserve">.   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Полный текст любого изменения условий описанного документа в 2.4(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c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)(</w:t>
            </w:r>
            <w:proofErr w:type="spellStart"/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i</w:t>
            </w:r>
            <w:proofErr w:type="spellEnd"/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) и в 2.4 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c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)(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ii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 xml:space="preserve">). </w:t>
            </w:r>
          </w:p>
          <w:p w:rsidR="00B367BC" w:rsidRPr="004B58B0" w:rsidRDefault="00B367B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d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   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Термин “лицензия” в 2.4(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a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) означает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>:</w:t>
            </w:r>
          </w:p>
          <w:p w:rsidR="00B367BC" w:rsidRPr="00484754" w:rsidRDefault="00B367B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proofErr w:type="spellStart"/>
            <w:r w:rsidRPr="008E4199">
              <w:rPr>
                <w:rFonts w:cs="MyriadPro-Regular"/>
                <w:sz w:val="20"/>
                <w:szCs w:val="20"/>
                <w:lang w:val="en-PH"/>
              </w:rPr>
              <w:t>i</w:t>
            </w:r>
            <w:proofErr w:type="spellEnd"/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 xml:space="preserve">Полный текст любой лицензии, аренды, названия или разрешения, при которой правительство возлагает на компанию (компании) или индивидуальное лицо (лица) 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lastRenderedPageBreak/>
              <w:t xml:space="preserve">право на использование нефти, газа и/или минеральных ресурсов. </w:t>
            </w:r>
          </w:p>
          <w:p w:rsidR="00B367BC" w:rsidRPr="004B58B0" w:rsidRDefault="003B4C61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ii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Полный текст любого приложения, дополнения или включения, который устанавливает детали, связанные с эксплуатацией прав</w:t>
            </w:r>
            <w:r w:rsidR="003C6DA6">
              <w:rPr>
                <w:rFonts w:cs="MyriadPro-Regular"/>
                <w:sz w:val="20"/>
                <w:szCs w:val="20"/>
                <w:lang w:val="ru-RU"/>
              </w:rPr>
              <w:t>а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, описанных в 2.4(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d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)(</w:t>
            </w:r>
            <w:proofErr w:type="spellStart"/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i</w:t>
            </w:r>
            <w:proofErr w:type="spellEnd"/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>)</w:t>
            </w:r>
            <w:r w:rsidR="003C6DA6">
              <w:rPr>
                <w:rFonts w:cs="MyriadPro-Regular"/>
                <w:sz w:val="20"/>
                <w:szCs w:val="20"/>
                <w:lang w:val="ru-RU"/>
              </w:rPr>
              <w:t>,</w:t>
            </w:r>
            <w:r w:rsidR="007F3AA4" w:rsidRPr="004B58B0">
              <w:rPr>
                <w:rFonts w:cs="MyriadPro-Regular"/>
                <w:sz w:val="20"/>
                <w:szCs w:val="20"/>
                <w:lang w:val="ru-RU"/>
              </w:rPr>
              <w:t xml:space="preserve"> или его исполнения. </w:t>
            </w:r>
          </w:p>
          <w:p w:rsidR="00641806" w:rsidRPr="004B58B0" w:rsidRDefault="003B4C61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ii</w:t>
            </w:r>
            <w:proofErr w:type="spellStart"/>
            <w:r w:rsidR="007F3AA4">
              <w:rPr>
                <w:rFonts w:cs="MyriadPro-Regular"/>
                <w:sz w:val="20"/>
                <w:szCs w:val="20"/>
              </w:rPr>
              <w:t>i</w:t>
            </w:r>
            <w:proofErr w:type="spellEnd"/>
            <w:r w:rsidRPr="00484754">
              <w:rPr>
                <w:rFonts w:cs="MyriadPro-Regular"/>
                <w:sz w:val="20"/>
                <w:szCs w:val="20"/>
                <w:lang w:val="ru-RU"/>
              </w:rPr>
              <w:t xml:space="preserve">.  </w:t>
            </w:r>
            <w:r w:rsidR="007F3AA4" w:rsidRPr="00484754">
              <w:rPr>
                <w:rFonts w:cs="MyriadPro-Regular"/>
                <w:sz w:val="20"/>
                <w:szCs w:val="20"/>
                <w:lang w:val="ru-RU"/>
              </w:rPr>
              <w:t>Полный текст всех изменений и поправок документов, описанных в 2.4(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d</w:t>
            </w:r>
            <w:r w:rsidR="007F3AA4" w:rsidRPr="00484754">
              <w:rPr>
                <w:rFonts w:cs="MyriadPro-Regular"/>
                <w:sz w:val="20"/>
                <w:szCs w:val="20"/>
                <w:lang w:val="ru-RU"/>
              </w:rPr>
              <w:t>)(</w:t>
            </w:r>
            <w:proofErr w:type="spellStart"/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i</w:t>
            </w:r>
            <w:proofErr w:type="spellEnd"/>
            <w:r w:rsidR="007F3AA4" w:rsidRPr="00484754">
              <w:rPr>
                <w:rFonts w:cs="MyriadPro-Regular"/>
                <w:sz w:val="20"/>
                <w:szCs w:val="20"/>
                <w:lang w:val="ru-RU"/>
              </w:rPr>
              <w:t>) и 2.4(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d</w:t>
            </w:r>
            <w:r w:rsidR="007F3AA4" w:rsidRPr="00484754">
              <w:rPr>
                <w:rFonts w:cs="MyriadPro-Regular"/>
                <w:sz w:val="20"/>
                <w:szCs w:val="20"/>
                <w:lang w:val="ru-RU"/>
              </w:rPr>
              <w:t>)(</w:t>
            </w:r>
            <w:r w:rsidR="007F3AA4" w:rsidRPr="007F3AA4">
              <w:rPr>
                <w:rFonts w:cs="MyriadPro-Regular"/>
                <w:sz w:val="20"/>
                <w:szCs w:val="20"/>
                <w:lang w:val="en-PH"/>
              </w:rPr>
              <w:t>ii</w:t>
            </w:r>
            <w:r w:rsidR="007F3AA4" w:rsidRPr="00484754">
              <w:rPr>
                <w:rFonts w:cs="MyriadPro-Regular"/>
                <w:sz w:val="20"/>
                <w:szCs w:val="20"/>
                <w:lang w:val="ru-RU"/>
              </w:rPr>
              <w:t>).</w:t>
            </w:r>
          </w:p>
        </w:tc>
        <w:tc>
          <w:tcPr>
            <w:tcW w:w="2892" w:type="dxa"/>
            <w:shd w:val="clear" w:color="auto" w:fill="auto"/>
          </w:tcPr>
          <w:p w:rsidR="00396D37" w:rsidRPr="004B58B0" w:rsidRDefault="00583C71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Согласно первоначальной оценке Международного Секретариата:</w:t>
            </w:r>
            <w:r w:rsidR="00993249" w:rsidRPr="004B58B0">
              <w:rPr>
                <w:sz w:val="20"/>
                <w:szCs w:val="20"/>
                <w:lang w:val="ru-RU"/>
              </w:rPr>
              <w:t xml:space="preserve"> “</w:t>
            </w:r>
            <w:r w:rsidRPr="004B58B0">
              <w:rPr>
                <w:sz w:val="20"/>
                <w:szCs w:val="20"/>
                <w:lang w:val="ru-RU"/>
              </w:rPr>
              <w:t xml:space="preserve">Хотя в Отчете ИПДО 2013-14 описана фактическая практика по прозрачности контрактов, политика правительства не объясняется полностью и отсутствуют ссылки на соответствующие юридические положения и комментарии по проводимым реформам. Согласно предварительной оценке Международного Секретариата, Кыргызская Республика совершила </w:t>
            </w:r>
            <w:r w:rsidRPr="004B58B0">
              <w:rPr>
                <w:b/>
                <w:sz w:val="20"/>
                <w:szCs w:val="20"/>
                <w:lang w:val="ru-RU"/>
              </w:rPr>
              <w:t>ЗНАЧИМЫЙ</w:t>
            </w:r>
            <w:r w:rsidRPr="004B58B0">
              <w:rPr>
                <w:sz w:val="20"/>
                <w:szCs w:val="20"/>
                <w:lang w:val="ru-RU"/>
              </w:rPr>
              <w:t xml:space="preserve"> прогресс в выполнении этого требования</w:t>
            </w:r>
            <w:r w:rsidR="000221D9" w:rsidRPr="004B58B0">
              <w:rPr>
                <w:sz w:val="20"/>
                <w:szCs w:val="20"/>
                <w:lang w:val="ru-RU"/>
              </w:rPr>
              <w:t>.</w:t>
            </w:r>
            <w:r w:rsidR="00993249" w:rsidRPr="004B58B0">
              <w:rPr>
                <w:sz w:val="20"/>
                <w:szCs w:val="20"/>
                <w:lang w:val="ru-RU"/>
              </w:rPr>
              <w:t>”</w:t>
            </w:r>
            <w:r w:rsidR="004944F4" w:rsidRPr="004B58B0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стр</w:t>
            </w:r>
            <w:r w:rsidR="004944F4" w:rsidRPr="004B58B0">
              <w:rPr>
                <w:sz w:val="20"/>
                <w:szCs w:val="20"/>
                <w:lang w:val="ru-RU"/>
              </w:rPr>
              <w:t>.42)</w:t>
            </w:r>
            <w:r w:rsidR="00206782">
              <w:rPr>
                <w:sz w:val="20"/>
                <w:szCs w:val="20"/>
                <w:lang w:val="ru-RU"/>
              </w:rPr>
              <w:t>.</w:t>
            </w:r>
            <w:r w:rsidR="00CE15F2"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первоначальной оценке Международного Секретариата также отмечается:</w:t>
            </w:r>
            <w:r w:rsidR="00CE15F2" w:rsidRPr="004B58B0">
              <w:rPr>
                <w:sz w:val="20"/>
                <w:szCs w:val="20"/>
                <w:lang w:val="ru-RU"/>
              </w:rPr>
              <w:t xml:space="preserve"> “</w:t>
            </w:r>
            <w:r w:rsidRPr="00583C71">
              <w:rPr>
                <w:sz w:val="20"/>
                <w:szCs w:val="20"/>
                <w:lang w:val="ru-RU"/>
              </w:rPr>
              <w:t xml:space="preserve">Рабочий план НС на 2016 год включает раскрытие лицензионных соглашений (рабочий план на 2016 год, работа 3.6). </w:t>
            </w:r>
            <w:r w:rsidR="00CE15F2" w:rsidRPr="004B58B0">
              <w:rPr>
                <w:sz w:val="20"/>
                <w:szCs w:val="20"/>
                <w:lang w:val="ru-RU"/>
              </w:rPr>
              <w:t>”.</w:t>
            </w:r>
          </w:p>
        </w:tc>
        <w:tc>
          <w:tcPr>
            <w:tcW w:w="2557" w:type="dxa"/>
            <w:shd w:val="clear" w:color="auto" w:fill="auto"/>
          </w:tcPr>
          <w:p w:rsidR="00396D37" w:rsidRPr="004B58B0" w:rsidRDefault="008E7B58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Отсутствуют</w:t>
            </w:r>
            <w:r w:rsidR="008630E1" w:rsidRPr="004B58B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6D37" w:rsidRPr="004B58B0" w:rsidRDefault="00E556BD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Валидатор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согласен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мнением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Секретариата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Кыргызская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Республика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достигла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значимого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выполнении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этого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требования</w:t>
            </w:r>
            <w:r w:rsidR="009411CB">
              <w:rPr>
                <w:sz w:val="20"/>
                <w:szCs w:val="20"/>
                <w:lang w:val="ru-RU"/>
              </w:rPr>
              <w:t>,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вместо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этого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уровень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прогресса</w:t>
            </w:r>
            <w:r w:rsidR="00E22361"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</w:t>
            </w:r>
            <w:r w:rsidR="00A3012C">
              <w:rPr>
                <w:b/>
                <w:sz w:val="20"/>
                <w:szCs w:val="20"/>
                <w:lang w:val="ru-RU"/>
              </w:rPr>
              <w:t>АДЕКВАТНЫМ</w:t>
            </w:r>
            <w:r w:rsidR="00E22361" w:rsidRPr="004B58B0">
              <w:rPr>
                <w:sz w:val="20"/>
                <w:szCs w:val="20"/>
                <w:lang w:val="ru-RU"/>
              </w:rPr>
              <w:t>.</w:t>
            </w:r>
            <w:r w:rsidR="00934CDD"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Валидатор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отмечает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="00C1680B" w:rsidRPr="004B58B0">
              <w:rPr>
                <w:sz w:val="20"/>
                <w:szCs w:val="20"/>
                <w:lang w:val="ru-RU"/>
              </w:rPr>
              <w:t xml:space="preserve"> </w:t>
            </w:r>
            <w:r w:rsidR="00934CDD" w:rsidRPr="004B58B0">
              <w:rPr>
                <w:sz w:val="20"/>
                <w:szCs w:val="20"/>
                <w:lang w:val="ru-RU"/>
              </w:rPr>
              <w:t>“</w:t>
            </w:r>
            <w:r w:rsidR="00C1680B" w:rsidRPr="004B58B0">
              <w:rPr>
                <w:sz w:val="20"/>
                <w:szCs w:val="20"/>
                <w:lang w:val="ru-RU"/>
              </w:rPr>
              <w:t>политика правительства относительно публичного раскрытия контракт</w:t>
            </w:r>
            <w:r w:rsidR="00C1680B">
              <w:rPr>
                <w:sz w:val="20"/>
                <w:szCs w:val="20"/>
                <w:lang w:val="ru-RU"/>
              </w:rPr>
              <w:t>ов</w:t>
            </w:r>
            <w:r w:rsidR="00C1680B" w:rsidRPr="004B58B0">
              <w:rPr>
                <w:sz w:val="20"/>
                <w:szCs w:val="20"/>
                <w:lang w:val="ru-RU"/>
              </w:rPr>
              <w:t xml:space="preserve"> и лицензий не описана</w:t>
            </w:r>
            <w:r w:rsidR="00C1680B">
              <w:rPr>
                <w:sz w:val="20"/>
                <w:szCs w:val="20"/>
                <w:lang w:val="ru-RU"/>
              </w:rPr>
              <w:t xml:space="preserve"> в Отчете ИПДО за 2013-14 гг</w:t>
            </w:r>
            <w:r w:rsidR="00C1680B" w:rsidRPr="004B58B0">
              <w:rPr>
                <w:sz w:val="20"/>
                <w:szCs w:val="20"/>
                <w:lang w:val="ru-RU"/>
              </w:rPr>
              <w:t xml:space="preserve">. </w:t>
            </w:r>
            <w:r w:rsidR="00C1680B">
              <w:rPr>
                <w:sz w:val="20"/>
                <w:szCs w:val="20"/>
                <w:lang w:val="ru-RU"/>
              </w:rPr>
              <w:t>и в</w:t>
            </w:r>
            <w:r w:rsidR="00C1680B" w:rsidRPr="004B58B0">
              <w:rPr>
                <w:sz w:val="20"/>
                <w:szCs w:val="20"/>
                <w:lang w:val="ru-RU"/>
              </w:rPr>
              <w:t xml:space="preserve"> отчёте недостает необходимых справочных источников касательно соответствующих правовых положений и комментариев о проводимых реформах. Хотя отчёт подтверждает то, что лицензионные соглашения, в которых сформулированы обя</w:t>
            </w:r>
            <w:r w:rsidR="009411CB" w:rsidRPr="004B58B0">
              <w:rPr>
                <w:sz w:val="20"/>
                <w:szCs w:val="20"/>
                <w:lang w:val="ru-RU"/>
              </w:rPr>
              <w:t xml:space="preserve">занности обладателей лицензии, </w:t>
            </w:r>
            <w:r w:rsidR="00C1680B" w:rsidRPr="004B58B0">
              <w:rPr>
                <w:sz w:val="20"/>
                <w:szCs w:val="20"/>
                <w:lang w:val="ru-RU"/>
              </w:rPr>
              <w:t xml:space="preserve">не являются </w:t>
            </w:r>
            <w:r w:rsidR="009411CB">
              <w:rPr>
                <w:sz w:val="20"/>
                <w:szCs w:val="20"/>
                <w:lang w:val="ru-RU"/>
              </w:rPr>
              <w:t xml:space="preserve">доступными для </w:t>
            </w:r>
            <w:r w:rsidR="00C1680B" w:rsidRPr="004B58B0">
              <w:rPr>
                <w:sz w:val="20"/>
                <w:szCs w:val="20"/>
                <w:lang w:val="ru-RU"/>
              </w:rPr>
              <w:t>общественно</w:t>
            </w:r>
            <w:r w:rsidR="009411CB">
              <w:rPr>
                <w:sz w:val="20"/>
                <w:szCs w:val="20"/>
                <w:lang w:val="ru-RU"/>
              </w:rPr>
              <w:t>сти</w:t>
            </w:r>
            <w:r w:rsidR="00C1680B" w:rsidRPr="004B58B0">
              <w:rPr>
                <w:sz w:val="20"/>
                <w:szCs w:val="20"/>
                <w:lang w:val="ru-RU"/>
              </w:rPr>
              <w:t xml:space="preserve">, мы не считаем, что данное утверждение само по себе </w:t>
            </w:r>
            <w:r w:rsidR="00C1680B" w:rsidRPr="004B58B0">
              <w:rPr>
                <w:sz w:val="20"/>
                <w:szCs w:val="20"/>
                <w:lang w:val="ru-RU"/>
              </w:rPr>
              <w:lastRenderedPageBreak/>
              <w:t>представляет значимый прогресс, преследуя, таким образом, более широкую цель прозрачности контрактов.</w:t>
            </w:r>
            <w:r w:rsidR="009B01A4" w:rsidRPr="004B58B0">
              <w:rPr>
                <w:sz w:val="20"/>
                <w:szCs w:val="20"/>
                <w:lang w:val="ru-RU"/>
              </w:rPr>
              <w:t xml:space="preserve">” </w:t>
            </w:r>
            <w:r w:rsidR="002A44B4" w:rsidRPr="004B58B0">
              <w:rPr>
                <w:sz w:val="20"/>
                <w:szCs w:val="20"/>
                <w:lang w:val="ru-RU"/>
              </w:rPr>
              <w:t>(</w:t>
            </w:r>
            <w:r w:rsidR="00C1680B">
              <w:rPr>
                <w:sz w:val="20"/>
                <w:szCs w:val="20"/>
                <w:lang w:val="ru-RU"/>
              </w:rPr>
              <w:t>стр</w:t>
            </w:r>
            <w:r w:rsidR="002A44B4" w:rsidRPr="004B58B0">
              <w:rPr>
                <w:sz w:val="20"/>
                <w:szCs w:val="20"/>
                <w:lang w:val="ru-RU"/>
              </w:rPr>
              <w:t>.5)</w:t>
            </w:r>
          </w:p>
        </w:tc>
        <w:tc>
          <w:tcPr>
            <w:tcW w:w="2410" w:type="dxa"/>
            <w:shd w:val="clear" w:color="auto" w:fill="auto"/>
          </w:tcPr>
          <w:p w:rsidR="007E74ED" w:rsidRPr="00484754" w:rsidRDefault="009450CC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Наблюдательный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Совет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согласен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оценкой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Валидатора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отмечает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что</w:t>
            </w:r>
            <w:r w:rsidR="00DA0A43" w:rsidRPr="004B58B0">
              <w:rPr>
                <w:bCs/>
                <w:sz w:val="20"/>
                <w:szCs w:val="20"/>
                <w:lang w:val="ru-RU"/>
              </w:rPr>
              <w:t xml:space="preserve"> “</w:t>
            </w:r>
            <w:r>
              <w:rPr>
                <w:bCs/>
                <w:sz w:val="20"/>
                <w:szCs w:val="20"/>
                <w:lang w:val="ru-RU"/>
              </w:rPr>
              <w:t>политика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нормативные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законные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акты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лицензированию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подробно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описаны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Отчете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ИПДО</w:t>
            </w:r>
            <w:r w:rsidR="00160AA4" w:rsidRPr="004B58B0">
              <w:rPr>
                <w:bCs/>
                <w:sz w:val="20"/>
                <w:szCs w:val="20"/>
                <w:lang w:val="ru-RU"/>
              </w:rPr>
              <w:t xml:space="preserve"> 2013-2014</w:t>
            </w:r>
            <w:r w:rsidR="00DA0A43" w:rsidRPr="004B58B0">
              <w:rPr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bCs/>
                <w:sz w:val="20"/>
                <w:szCs w:val="20"/>
                <w:lang w:val="ru-RU"/>
              </w:rPr>
              <w:t>стр</w:t>
            </w:r>
            <w:r w:rsidR="00DA0A43" w:rsidRPr="004B58B0">
              <w:rPr>
                <w:bCs/>
                <w:sz w:val="20"/>
                <w:szCs w:val="20"/>
                <w:lang w:val="ru-RU"/>
              </w:rPr>
              <w:t>. 120-130)</w:t>
            </w:r>
            <w:r w:rsidR="00160AA4" w:rsidRPr="004B58B0">
              <w:rPr>
                <w:bCs/>
                <w:sz w:val="20"/>
                <w:szCs w:val="20"/>
                <w:lang w:val="ru-RU"/>
              </w:rPr>
              <w:t>.</w:t>
            </w:r>
            <w:r w:rsidR="00C565A3" w:rsidRPr="004B58B0">
              <w:rPr>
                <w:bCs/>
                <w:sz w:val="20"/>
                <w:szCs w:val="20"/>
                <w:lang w:val="ru-RU"/>
              </w:rPr>
              <w:t xml:space="preserve">” </w:t>
            </w:r>
            <w:r>
              <w:rPr>
                <w:bCs/>
                <w:sz w:val="20"/>
                <w:szCs w:val="20"/>
                <w:lang w:val="ru-RU"/>
              </w:rPr>
              <w:t>Наблюдательный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Совет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далее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объясняет</w:t>
            </w:r>
            <w:r w:rsidRPr="004B58B0">
              <w:rPr>
                <w:bCs/>
                <w:sz w:val="20"/>
                <w:szCs w:val="20"/>
                <w:lang w:val="ru-RU"/>
              </w:rPr>
              <w:t>:</w:t>
            </w:r>
            <w:r w:rsidR="007E74ED" w:rsidRPr="004B58B0">
              <w:rPr>
                <w:bCs/>
                <w:sz w:val="20"/>
                <w:szCs w:val="20"/>
                <w:lang w:val="ru-RU"/>
              </w:rPr>
              <w:t xml:space="preserve"> “</w:t>
            </w:r>
            <w:r>
              <w:rPr>
                <w:bCs/>
                <w:sz w:val="20"/>
                <w:szCs w:val="20"/>
                <w:lang w:val="ru-RU"/>
              </w:rPr>
              <w:t>Текст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формат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лицензий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стандартный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1090F" w:rsidRPr="004B58B0">
              <w:rPr>
                <w:bCs/>
                <w:sz w:val="20"/>
                <w:szCs w:val="20"/>
                <w:lang w:val="ru-RU"/>
              </w:rPr>
              <w:t>[</w:t>
            </w:r>
            <w:r>
              <w:rPr>
                <w:bCs/>
                <w:sz w:val="20"/>
                <w:szCs w:val="20"/>
                <w:lang w:val="ru-RU"/>
              </w:rPr>
              <w:t>как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описано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приложениях</w:t>
            </w:r>
            <w:r w:rsidR="0091090F" w:rsidRPr="004B58B0">
              <w:rPr>
                <w:bCs/>
                <w:sz w:val="20"/>
                <w:szCs w:val="20"/>
                <w:lang w:val="ru-RU"/>
              </w:rPr>
              <w:t>]</w:t>
            </w:r>
            <w:r w:rsidR="00160AA4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="00160AA4" w:rsidRPr="004B58B0">
              <w:rPr>
                <w:bCs/>
                <w:sz w:val="20"/>
                <w:szCs w:val="20"/>
                <w:lang w:val="ru-RU"/>
              </w:rPr>
              <w:t xml:space="preserve"> 99% </w:t>
            </w:r>
            <w:r>
              <w:rPr>
                <w:bCs/>
                <w:sz w:val="20"/>
                <w:szCs w:val="20"/>
                <w:lang w:val="ru-RU"/>
              </w:rPr>
              <w:t>случаев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правительство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Кыргызский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Республики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предоставляет право на недропользование посредством лицензионных соглашений в соответствии с Постановлением о Лицензировании права на использование недр (приводится на сайте</w:t>
            </w:r>
            <w:r w:rsidR="00C42326">
              <w:rPr>
                <w:bCs/>
                <w:sz w:val="20"/>
                <w:szCs w:val="20"/>
                <w:lang w:val="ru-RU"/>
              </w:rPr>
              <w:t xml:space="preserve"> и описан в Отчете </w:t>
            </w:r>
            <w:r w:rsidR="00160AA4" w:rsidRPr="004B58B0">
              <w:rPr>
                <w:bCs/>
                <w:sz w:val="20"/>
                <w:szCs w:val="20"/>
                <w:lang w:val="ru-RU"/>
              </w:rPr>
              <w:t>2013-2014).</w:t>
            </w:r>
            <w:r w:rsidR="007E74ED" w:rsidRPr="004B58B0">
              <w:rPr>
                <w:bCs/>
                <w:sz w:val="20"/>
                <w:szCs w:val="20"/>
                <w:lang w:val="ru-RU"/>
              </w:rPr>
              <w:t xml:space="preserve">” </w:t>
            </w:r>
            <w:r w:rsidR="00C42326">
              <w:rPr>
                <w:bCs/>
                <w:sz w:val="20"/>
                <w:szCs w:val="20"/>
                <w:lang w:val="ru-RU"/>
              </w:rPr>
              <w:t>НС</w:t>
            </w:r>
            <w:r w:rsidR="00C4232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C42326">
              <w:rPr>
                <w:bCs/>
                <w:sz w:val="20"/>
                <w:szCs w:val="20"/>
                <w:lang w:val="ru-RU"/>
              </w:rPr>
              <w:t>отмечает</w:t>
            </w:r>
            <w:r w:rsidR="00C42326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C42326">
              <w:rPr>
                <w:bCs/>
                <w:sz w:val="20"/>
                <w:szCs w:val="20"/>
                <w:lang w:val="ru-RU"/>
              </w:rPr>
              <w:t>что</w:t>
            </w:r>
            <w:r w:rsidR="00C4232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C42326">
              <w:rPr>
                <w:bCs/>
                <w:sz w:val="20"/>
                <w:szCs w:val="20"/>
                <w:lang w:val="ru-RU"/>
              </w:rPr>
              <w:t>Открытый</w:t>
            </w:r>
            <w:r w:rsidR="00C4232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C42326">
              <w:rPr>
                <w:bCs/>
                <w:sz w:val="20"/>
                <w:szCs w:val="20"/>
                <w:lang w:val="ru-RU"/>
              </w:rPr>
              <w:t>Реестр</w:t>
            </w:r>
            <w:r w:rsidR="00C4232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C42326">
              <w:rPr>
                <w:bCs/>
                <w:sz w:val="20"/>
                <w:szCs w:val="20"/>
                <w:lang w:val="ru-RU"/>
              </w:rPr>
              <w:t>Лицензий</w:t>
            </w:r>
            <w:r w:rsidR="00C42326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C42326">
              <w:rPr>
                <w:bCs/>
                <w:sz w:val="20"/>
                <w:szCs w:val="20"/>
                <w:lang w:val="ru-RU"/>
              </w:rPr>
              <w:t xml:space="preserve">предоставляет </w:t>
            </w:r>
            <w:r w:rsidR="00C42326">
              <w:rPr>
                <w:bCs/>
                <w:sz w:val="20"/>
                <w:szCs w:val="20"/>
                <w:lang w:val="ru-RU"/>
              </w:rPr>
              <w:lastRenderedPageBreak/>
              <w:t>информацию по лицензионным соглашениям, уместную для общественности.</w:t>
            </w:r>
            <w:r w:rsidR="00EE07B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0A06DC" w:rsidRPr="004B58B0" w:rsidRDefault="00F859AE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bCs/>
                <w:strike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Кроме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того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как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отмечается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Предварительном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Отчете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где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это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технически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возможно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правительство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рассматривает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возможность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раскрытия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лицензий, и правовые препятствия к этому отсутствуют. Раскрытие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лицензий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было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включено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Рабочий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план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2016</w:t>
            </w:r>
            <w:r>
              <w:rPr>
                <w:bCs/>
                <w:sz w:val="20"/>
                <w:szCs w:val="20"/>
                <w:lang w:val="ru-RU"/>
              </w:rPr>
              <w:t xml:space="preserve"> г.</w:t>
            </w:r>
            <w:r w:rsidR="002B5FD2" w:rsidRPr="004B58B0" w:rsidDel="002B5FD2">
              <w:rPr>
                <w:bCs/>
                <w:strike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6D37" w:rsidRPr="004B58B0" w:rsidRDefault="00961FE7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Комитет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представить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рекомендацию о том, должна ли рекомендация по оценке Правлением требования 2.4 быть</w:t>
            </w:r>
            <w:r w:rsidRPr="00F41D3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прогрессом</w:t>
            </w:r>
            <w:r w:rsidRPr="00F41D30">
              <w:rPr>
                <w:sz w:val="20"/>
                <w:szCs w:val="20"/>
                <w:lang w:val="ru-RU"/>
              </w:rPr>
              <w:t xml:space="preserve">” </w:t>
            </w:r>
            <w:r>
              <w:rPr>
                <w:sz w:val="20"/>
                <w:szCs w:val="20"/>
                <w:lang w:val="ru-RU"/>
              </w:rPr>
              <w:t xml:space="preserve">или </w:t>
            </w:r>
            <w:r w:rsidR="0020751B" w:rsidRPr="004B58B0">
              <w:rPr>
                <w:sz w:val="20"/>
                <w:szCs w:val="20"/>
                <w:lang w:val="ru-RU"/>
              </w:rPr>
              <w:t>“</w:t>
            </w:r>
            <w:r>
              <w:rPr>
                <w:sz w:val="20"/>
                <w:szCs w:val="20"/>
                <w:lang w:val="ru-RU"/>
              </w:rPr>
              <w:t>неадекватным прогрессом</w:t>
            </w:r>
            <w:r w:rsidR="00A03321" w:rsidRPr="004B58B0">
              <w:rPr>
                <w:sz w:val="20"/>
                <w:szCs w:val="20"/>
                <w:lang w:val="ru-RU"/>
              </w:rPr>
              <w:t>”</w:t>
            </w:r>
            <w:r>
              <w:rPr>
                <w:sz w:val="20"/>
                <w:szCs w:val="20"/>
                <w:lang w:val="ru-RU"/>
              </w:rPr>
              <w:t>, и согласовать исправительные действия.</w:t>
            </w:r>
          </w:p>
        </w:tc>
      </w:tr>
      <w:tr w:rsidR="0048592D" w:rsidRPr="004B58B0" w:rsidTr="008E4199">
        <w:tc>
          <w:tcPr>
            <w:tcW w:w="2768" w:type="dxa"/>
            <w:shd w:val="clear" w:color="auto" w:fill="auto"/>
          </w:tcPr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4B58B0">
              <w:rPr>
                <w:sz w:val="20"/>
                <w:szCs w:val="20"/>
                <w:lang w:val="ru-RU"/>
              </w:rPr>
              <w:lastRenderedPageBreak/>
              <w:t xml:space="preserve">3.2 </w:t>
            </w:r>
            <w:r w:rsidR="00F32665">
              <w:rPr>
                <w:sz w:val="20"/>
                <w:szCs w:val="20"/>
                <w:lang w:val="ru-RU"/>
              </w:rPr>
              <w:t>Производство</w:t>
            </w:r>
          </w:p>
          <w:p w:rsidR="00A03321" w:rsidRPr="00484754" w:rsidRDefault="00EA2A25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4B58B0">
              <w:rPr>
                <w:sz w:val="20"/>
                <w:szCs w:val="20"/>
                <w:lang w:val="ru-RU"/>
              </w:rPr>
              <w:t>Внедр</w:t>
            </w:r>
            <w:r w:rsidR="003C6DA6" w:rsidRPr="004B58B0">
              <w:rPr>
                <w:sz w:val="20"/>
                <w:szCs w:val="20"/>
                <w:lang w:val="ru-RU"/>
              </w:rPr>
              <w:t>яющие страны должны раскрывать</w:t>
            </w:r>
            <w:r w:rsidRPr="004B58B0">
              <w:rPr>
                <w:sz w:val="20"/>
                <w:szCs w:val="20"/>
                <w:lang w:val="ru-RU"/>
              </w:rPr>
              <w:t xml:space="preserve"> сведения об объеме добычи за финансовый год, охватываемый Отчетом ИПДО, включая </w:t>
            </w:r>
            <w:r w:rsidRPr="00EA2A25">
              <w:rPr>
                <w:sz w:val="20"/>
                <w:szCs w:val="20"/>
              </w:rPr>
              <w:t>c</w:t>
            </w:r>
            <w:r w:rsidRPr="004B58B0">
              <w:rPr>
                <w:sz w:val="20"/>
                <w:szCs w:val="20"/>
                <w:lang w:val="ru-RU"/>
              </w:rPr>
              <w:t xml:space="preserve">уммарные объемы добычи и стоимость продукции по видам продукции и, когда это уместно, по штатам/регионам. Это могло бы включать обсуждение возможных источников данных по объемам и стоимости добычи, а также информацию о том, как рассчитывались объемы и стоимости добычи, </w:t>
            </w:r>
            <w:r w:rsidRPr="004B58B0">
              <w:rPr>
                <w:sz w:val="20"/>
                <w:szCs w:val="20"/>
                <w:lang w:val="ru-RU"/>
              </w:rPr>
              <w:lastRenderedPageBreak/>
              <w:t xml:space="preserve">раскрываемые в Отчете ИПДО. </w:t>
            </w:r>
          </w:p>
        </w:tc>
        <w:tc>
          <w:tcPr>
            <w:tcW w:w="2892" w:type="dxa"/>
            <w:shd w:val="clear" w:color="auto" w:fill="auto"/>
          </w:tcPr>
          <w:p w:rsidR="00A03321" w:rsidRPr="008E4199" w:rsidRDefault="00D32B4F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Первоначальная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 Секретариата заключает: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“</w:t>
            </w:r>
            <w:r w:rsidR="003F48CB" w:rsidRPr="004B58B0">
              <w:rPr>
                <w:sz w:val="20"/>
                <w:szCs w:val="20"/>
                <w:lang w:val="ru-RU"/>
              </w:rPr>
              <w:t>Представляется, что Отчет ИПДО 2013-14 полно раскрывает объемы добычи для всех видов продукции. Объемы добычи разукрупнены по позициям продуктов, но не по регионам добычи. Стоимости добычи не представлены. Согласно предварительной оценке Международного Секретариата, К</w:t>
            </w:r>
            <w:r w:rsidRPr="004B58B0">
              <w:rPr>
                <w:sz w:val="20"/>
                <w:szCs w:val="20"/>
                <w:lang w:val="ru-RU"/>
              </w:rPr>
              <w:t xml:space="preserve">ыргызская Республика совершила </w:t>
            </w:r>
            <w:r w:rsidRPr="004B58B0">
              <w:rPr>
                <w:b/>
                <w:sz w:val="20"/>
                <w:szCs w:val="20"/>
                <w:lang w:val="ru-RU"/>
              </w:rPr>
              <w:t>ЗНАЧИМЫЙ</w:t>
            </w:r>
            <w:r w:rsidR="003F48CB" w:rsidRPr="004B58B0">
              <w:rPr>
                <w:sz w:val="20"/>
                <w:szCs w:val="20"/>
                <w:lang w:val="ru-RU"/>
              </w:rPr>
              <w:t xml:space="preserve"> прогресс в выполнении этого требования.</w:t>
            </w:r>
            <w:r w:rsidR="00A03321" w:rsidRPr="00484754">
              <w:rPr>
                <w:sz w:val="20"/>
                <w:szCs w:val="20"/>
                <w:lang w:val="ru-RU"/>
              </w:rPr>
              <w:cr/>
            </w:r>
            <w:r w:rsidR="00A03321" w:rsidRPr="008E4199">
              <w:rPr>
                <w:sz w:val="20"/>
                <w:szCs w:val="20"/>
              </w:rPr>
              <w:t>“(</w:t>
            </w:r>
            <w:r>
              <w:rPr>
                <w:sz w:val="20"/>
                <w:szCs w:val="20"/>
                <w:lang w:val="ru-RU"/>
              </w:rPr>
              <w:t>стр</w:t>
            </w:r>
            <w:r w:rsidR="00A03321" w:rsidRPr="008E4199">
              <w:rPr>
                <w:sz w:val="20"/>
                <w:szCs w:val="20"/>
              </w:rPr>
              <w:t>.49)</w:t>
            </w:r>
          </w:p>
        </w:tc>
        <w:tc>
          <w:tcPr>
            <w:tcW w:w="2557" w:type="dxa"/>
            <w:shd w:val="clear" w:color="auto" w:fill="auto"/>
          </w:tcPr>
          <w:p w:rsidR="00A03321" w:rsidRPr="008E4199" w:rsidRDefault="008E7B58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Отсутствуют</w:t>
            </w:r>
            <w:r w:rsidR="00A03321" w:rsidRPr="008E419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03321" w:rsidRPr="004B58B0" w:rsidRDefault="003C0939" w:rsidP="008E4199">
            <w:pPr>
              <w:tabs>
                <w:tab w:val="left" w:pos="5580"/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rFonts w:cs="Calibri"/>
                <w:sz w:val="20"/>
                <w:szCs w:val="20"/>
                <w:lang w:val="ru-RU" w:bidi="en-US"/>
              </w:rPr>
            </w:pPr>
            <w:r>
              <w:rPr>
                <w:sz w:val="20"/>
                <w:szCs w:val="20"/>
                <w:lang w:val="ru-RU"/>
              </w:rPr>
              <w:t>Валидатор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согласен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мнением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Секретариата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Кыргызская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Республика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достигла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значимого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выполнении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этого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требования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вместо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этого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уровень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прогресса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ru-RU" w:bidi="en-US"/>
              </w:rPr>
              <w:t>НЕ</w:t>
            </w:r>
            <w:r w:rsidR="00A3012C">
              <w:rPr>
                <w:rFonts w:cs="Calibri"/>
                <w:b/>
                <w:sz w:val="20"/>
                <w:szCs w:val="20"/>
                <w:lang w:val="ru-RU" w:bidi="en-US"/>
              </w:rPr>
              <w:t>АДЕКВАТНЫМ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 xml:space="preserve">.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Валидатор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отмечает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,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что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>“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Отчет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ИПДО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2013–14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не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содержит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данных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по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стоимости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добычи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и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что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данные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по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объемам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добычи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,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представленные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в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отчете</w:t>
            </w:r>
            <w:r w:rsidR="00FE143D" w:rsidRPr="004B58B0">
              <w:rPr>
                <w:rFonts w:cs="Calibri"/>
                <w:sz w:val="20"/>
                <w:szCs w:val="20"/>
                <w:lang w:val="ru-RU" w:bidi="en-US"/>
              </w:rPr>
              <w:t xml:space="preserve">, 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неполные и не разукрупнены по регионам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>.” (</w:t>
            </w:r>
            <w:r w:rsidR="00FE143D">
              <w:rPr>
                <w:rFonts w:cs="Calibri"/>
                <w:sz w:val="20"/>
                <w:szCs w:val="20"/>
                <w:lang w:val="ru-RU" w:bidi="en-US"/>
              </w:rPr>
              <w:t>стр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>.5)</w:t>
            </w:r>
          </w:p>
        </w:tc>
        <w:tc>
          <w:tcPr>
            <w:tcW w:w="2410" w:type="dxa"/>
            <w:shd w:val="clear" w:color="auto" w:fill="auto"/>
          </w:tcPr>
          <w:p w:rsidR="00A03321" w:rsidRPr="008E4199" w:rsidRDefault="00F859AE" w:rsidP="008E4199">
            <w:pPr>
              <w:tabs>
                <w:tab w:val="left" w:pos="5580"/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sz w:val="20"/>
                <w:szCs w:val="20"/>
                <w:lang w:val="ru-RU" w:eastAsia="en-AU"/>
              </w:rPr>
              <w:t>Отсутствуют</w:t>
            </w:r>
            <w:r w:rsidR="00A03321" w:rsidRPr="008E4199">
              <w:rPr>
                <w:rFonts w:eastAsia="Times New Roman" w:cs="Calibri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03321" w:rsidRPr="004B58B0" w:rsidRDefault="003A7794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представить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рекомендацию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том</w:t>
            </w:r>
            <w:r w:rsidRPr="004B58B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должна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Правлением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требования</w:t>
            </w:r>
            <w:r w:rsidRPr="004B58B0">
              <w:rPr>
                <w:sz w:val="20"/>
                <w:szCs w:val="20"/>
                <w:lang w:val="ru-RU"/>
              </w:rPr>
              <w:t xml:space="preserve"> 3.2 </w:t>
            </w:r>
            <w:r>
              <w:rPr>
                <w:sz w:val="20"/>
                <w:szCs w:val="20"/>
                <w:lang w:val="ru-RU"/>
              </w:rPr>
              <w:t>быть</w:t>
            </w:r>
            <w:r w:rsidRPr="004B58B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значимым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прогрессом</w:t>
            </w:r>
            <w:r w:rsidRPr="004B58B0">
              <w:rPr>
                <w:sz w:val="20"/>
                <w:szCs w:val="20"/>
                <w:lang w:val="ru-RU"/>
              </w:rPr>
              <w:t xml:space="preserve">”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4B58B0"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  <w:lang w:val="ru-RU"/>
              </w:rPr>
              <w:t>неадекватным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прогрессом</w:t>
            </w:r>
            <w:r w:rsidRPr="004B58B0">
              <w:rPr>
                <w:sz w:val="20"/>
                <w:szCs w:val="20"/>
                <w:lang w:val="ru-RU"/>
              </w:rPr>
              <w:t xml:space="preserve">”, </w:t>
            </w:r>
            <w:r>
              <w:rPr>
                <w:sz w:val="20"/>
                <w:szCs w:val="20"/>
                <w:lang w:val="ru-RU"/>
              </w:rPr>
              <w:t>и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согласовать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исправительные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действия</w:t>
            </w:r>
            <w:r w:rsidRPr="004B58B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8592D" w:rsidRPr="00484754" w:rsidTr="008E4199">
        <w:tc>
          <w:tcPr>
            <w:tcW w:w="2768" w:type="dxa"/>
            <w:shd w:val="clear" w:color="auto" w:fill="auto"/>
          </w:tcPr>
          <w:p w:rsidR="00A03321" w:rsidRPr="00484754" w:rsidRDefault="00A03321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484754">
              <w:rPr>
                <w:sz w:val="20"/>
                <w:szCs w:val="20"/>
                <w:lang w:val="ru-RU"/>
              </w:rPr>
              <w:t xml:space="preserve">4.1 </w:t>
            </w:r>
            <w:r w:rsidR="00024506">
              <w:rPr>
                <w:sz w:val="20"/>
                <w:szCs w:val="20"/>
                <w:lang w:val="ru-RU"/>
              </w:rPr>
              <w:t>Комплексное</w:t>
            </w:r>
            <w:r w:rsidR="00024506" w:rsidRPr="00484754">
              <w:rPr>
                <w:sz w:val="20"/>
                <w:szCs w:val="20"/>
                <w:lang w:val="ru-RU"/>
              </w:rPr>
              <w:t xml:space="preserve"> </w:t>
            </w:r>
            <w:r w:rsidR="00024506">
              <w:rPr>
                <w:sz w:val="20"/>
                <w:szCs w:val="20"/>
                <w:lang w:val="ru-RU"/>
              </w:rPr>
              <w:t>раскрытие</w:t>
            </w:r>
            <w:r w:rsidR="00024506" w:rsidRPr="00484754">
              <w:rPr>
                <w:sz w:val="20"/>
                <w:szCs w:val="20"/>
                <w:lang w:val="ru-RU"/>
              </w:rPr>
              <w:t xml:space="preserve"> </w:t>
            </w:r>
            <w:r w:rsidR="00024506">
              <w:rPr>
                <w:sz w:val="20"/>
                <w:szCs w:val="20"/>
                <w:lang w:val="ru-RU"/>
              </w:rPr>
              <w:t>налогов</w:t>
            </w:r>
            <w:r w:rsidR="00024506" w:rsidRPr="00484754">
              <w:rPr>
                <w:sz w:val="20"/>
                <w:szCs w:val="20"/>
                <w:lang w:val="ru-RU"/>
              </w:rPr>
              <w:t xml:space="preserve"> </w:t>
            </w:r>
            <w:r w:rsidR="00024506">
              <w:rPr>
                <w:sz w:val="20"/>
                <w:szCs w:val="20"/>
                <w:lang w:val="ru-RU"/>
              </w:rPr>
              <w:t>и</w:t>
            </w:r>
            <w:r w:rsidR="00024506" w:rsidRPr="00484754">
              <w:rPr>
                <w:sz w:val="20"/>
                <w:szCs w:val="20"/>
                <w:lang w:val="ru-RU"/>
              </w:rPr>
              <w:t xml:space="preserve"> </w:t>
            </w:r>
            <w:r w:rsidR="00024506">
              <w:rPr>
                <w:sz w:val="20"/>
                <w:szCs w:val="20"/>
                <w:lang w:val="ru-RU"/>
              </w:rPr>
              <w:t>доходов</w:t>
            </w:r>
          </w:p>
          <w:p w:rsidR="00A03321" w:rsidRPr="00484754" w:rsidRDefault="00A03321" w:rsidP="004B58B0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a</w:t>
            </w:r>
            <w:r w:rsidRPr="00484754">
              <w:rPr>
                <w:rFonts w:cs="MyriadPro-Regular"/>
                <w:sz w:val="20"/>
                <w:szCs w:val="20"/>
                <w:lang w:val="ru-RU"/>
              </w:rPr>
              <w:t xml:space="preserve">) </w:t>
            </w:r>
            <w:r w:rsidR="00EA2A25" w:rsidRPr="004B58B0">
              <w:rPr>
                <w:rFonts w:cs="MyriadPro-Regular"/>
                <w:sz w:val="20"/>
                <w:szCs w:val="20"/>
                <w:lang w:val="ru-RU"/>
              </w:rPr>
              <w:t>Заблаговременно</w:t>
            </w:r>
            <w:r w:rsidR="00EA2A25" w:rsidRPr="00484754">
              <w:rPr>
                <w:rFonts w:cs="MyriadPro-Regular"/>
                <w:sz w:val="20"/>
                <w:szCs w:val="20"/>
                <w:lang w:val="ru-RU"/>
              </w:rPr>
              <w:t xml:space="preserve"> </w:t>
            </w:r>
            <w:r w:rsidR="00EA2A25" w:rsidRPr="004B58B0">
              <w:rPr>
                <w:rFonts w:cs="MyriadPro-Regular"/>
                <w:sz w:val="20"/>
                <w:szCs w:val="20"/>
                <w:lang w:val="ru-RU"/>
              </w:rPr>
              <w:t>до</w:t>
            </w:r>
            <w:r w:rsidR="00EA2A25" w:rsidRPr="00484754">
              <w:rPr>
                <w:rFonts w:cs="MyriadPro-Regular"/>
                <w:sz w:val="20"/>
                <w:szCs w:val="20"/>
                <w:lang w:val="ru-RU"/>
              </w:rPr>
              <w:t xml:space="preserve"> </w:t>
            </w:r>
            <w:r w:rsidR="00EA2A25" w:rsidRPr="004B58B0">
              <w:rPr>
                <w:rFonts w:cs="MyriadPro-Regular"/>
                <w:sz w:val="20"/>
                <w:szCs w:val="20"/>
                <w:lang w:val="ru-RU"/>
              </w:rPr>
              <w:t>начала</w:t>
            </w:r>
            <w:r w:rsidR="00EA2A25" w:rsidRPr="00484754">
              <w:rPr>
                <w:rFonts w:cs="MyriadPro-Regular"/>
                <w:sz w:val="20"/>
                <w:szCs w:val="20"/>
                <w:lang w:val="ru-RU"/>
              </w:rPr>
              <w:t xml:space="preserve"> </w:t>
            </w:r>
            <w:r w:rsidR="00EA2A25" w:rsidRPr="004B58B0">
              <w:rPr>
                <w:rFonts w:cs="MyriadPro-Regular"/>
                <w:sz w:val="20"/>
                <w:szCs w:val="20"/>
                <w:lang w:val="ru-RU"/>
              </w:rPr>
              <w:t>процесса</w:t>
            </w:r>
            <w:r w:rsidR="00EA2A25" w:rsidRPr="00484754">
              <w:rPr>
                <w:rFonts w:cs="MyriadPro-Regular"/>
                <w:sz w:val="20"/>
                <w:szCs w:val="20"/>
                <w:lang w:val="ru-RU"/>
              </w:rPr>
              <w:t xml:space="preserve"> </w:t>
            </w:r>
            <w:r w:rsidR="00EA2A25" w:rsidRPr="004B58B0">
              <w:rPr>
                <w:rFonts w:cs="MyriadPro-Regular"/>
                <w:sz w:val="20"/>
                <w:szCs w:val="20"/>
                <w:lang w:val="ru-RU"/>
              </w:rPr>
              <w:t>отчетности</w:t>
            </w:r>
            <w:r w:rsidR="00EA2A25" w:rsidRPr="00484754">
              <w:rPr>
                <w:rFonts w:cs="MyriadPro-Regular"/>
                <w:sz w:val="20"/>
                <w:szCs w:val="20"/>
                <w:lang w:val="ru-RU"/>
              </w:rPr>
              <w:t xml:space="preserve"> </w:t>
            </w:r>
            <w:r w:rsidR="00EA2A25" w:rsidRPr="004B58B0">
              <w:rPr>
                <w:rFonts w:cs="MyriadPro-Regular"/>
                <w:sz w:val="20"/>
                <w:szCs w:val="20"/>
                <w:lang w:val="ru-RU"/>
              </w:rPr>
              <w:t>многосторонняя</w:t>
            </w:r>
            <w:r w:rsidR="00EA2A25" w:rsidRPr="00484754">
              <w:rPr>
                <w:rFonts w:cs="MyriadPro-Regular"/>
                <w:sz w:val="20"/>
                <w:szCs w:val="20"/>
                <w:lang w:val="ru-RU"/>
              </w:rPr>
              <w:t xml:space="preserve"> </w:t>
            </w:r>
            <w:r w:rsidR="00EA2A25" w:rsidRPr="004B58B0">
              <w:rPr>
                <w:rFonts w:cs="MyriadPro-Regular"/>
                <w:sz w:val="20"/>
                <w:szCs w:val="20"/>
                <w:lang w:val="ru-RU"/>
              </w:rPr>
              <w:t xml:space="preserve">группа заинтересованных сторон должна решить, какие платежи и доходы являются существенными и, следовательно, должны быть раскрыты, включая соответствующие определения и пороговые значения </w:t>
            </w:r>
            <w:r w:rsidR="00024506" w:rsidRPr="004B58B0">
              <w:rPr>
                <w:rFonts w:cs="MyriadPro-Regular"/>
                <w:sz w:val="20"/>
                <w:szCs w:val="20"/>
                <w:lang w:val="ru-RU"/>
              </w:rPr>
              <w:t xml:space="preserve">существенности. Платежи и доходы считаются существенными, если их упущение или неправильное указание может существенно повлиять на полноту Отчета ИПДО. </w:t>
            </w:r>
            <w:r w:rsidR="00024506" w:rsidRPr="00024506">
              <w:rPr>
                <w:rFonts w:cs="MyriadPro-Regular"/>
                <w:sz w:val="20"/>
                <w:szCs w:val="20"/>
              </w:rPr>
              <w:t>O</w:t>
            </w:r>
            <w:r w:rsidR="00024506" w:rsidRPr="004B58B0">
              <w:rPr>
                <w:rFonts w:cs="MyriadPro-Regular"/>
                <w:sz w:val="20"/>
                <w:szCs w:val="20"/>
                <w:lang w:val="ru-RU"/>
              </w:rPr>
              <w:t xml:space="preserve">писание каждого потока доходов и относящиеся к ним определения и пороги существенности должны быть раскрыты. При установлении определений и порогов существенности МГЗС должна рассматривать размер потоков доходов в сопоставлении с суммарными доходами. </w:t>
            </w:r>
            <w:r w:rsidR="00024506" w:rsidRPr="004B58B0">
              <w:rPr>
                <w:rFonts w:cs="MyriadPro-Regular"/>
                <w:sz w:val="20"/>
                <w:szCs w:val="20"/>
                <w:lang w:val="ru-RU"/>
              </w:rPr>
              <w:lastRenderedPageBreak/>
              <w:t>МГЗС должна документально представить рассмотренные варианты и обосновать установление определений и порогов</w:t>
            </w:r>
            <w:r w:rsidRPr="00484754">
              <w:rPr>
                <w:rFonts w:cs="MyriadPro-Regular"/>
                <w:sz w:val="20"/>
                <w:szCs w:val="20"/>
                <w:lang w:val="ru-RU"/>
              </w:rPr>
              <w:t>.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b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</w:t>
            </w:r>
            <w:r w:rsidR="00C46FEE" w:rsidRPr="004B58B0">
              <w:rPr>
                <w:rFonts w:cs="MyriadPro-Regular"/>
                <w:sz w:val="20"/>
                <w:szCs w:val="20"/>
                <w:lang w:val="ru-RU"/>
              </w:rPr>
              <w:t>Должны быть включены следующие потоки доходов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>: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proofErr w:type="spellStart"/>
            <w:r w:rsidRPr="008E4199">
              <w:rPr>
                <w:rFonts w:cs="MyriadPro-Regular"/>
                <w:sz w:val="20"/>
                <w:szCs w:val="20"/>
                <w:lang w:val="en-PH"/>
              </w:rPr>
              <w:t>i</w:t>
            </w:r>
            <w:proofErr w:type="spellEnd"/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C46FEE" w:rsidRPr="004B58B0">
              <w:rPr>
                <w:rFonts w:cs="MyriadPro-Regular"/>
                <w:sz w:val="20"/>
                <w:szCs w:val="20"/>
                <w:lang w:val="ru-RU"/>
              </w:rPr>
              <w:t xml:space="preserve">Доля продукции, причитающаяся государству-собственнику недр, (например, так называемая “прибыльная нефть”) 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ii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C46FEE" w:rsidRPr="004B58B0">
              <w:rPr>
                <w:rFonts w:cs="MyriadPro-Regular"/>
                <w:sz w:val="20"/>
                <w:szCs w:val="20"/>
                <w:lang w:val="ru-RU"/>
              </w:rPr>
              <w:t xml:space="preserve">Доля продукции, причитающаяся национальным государственным компаниям 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iii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C46FEE" w:rsidRPr="00C46FEE">
              <w:rPr>
                <w:rFonts w:cs="MyriadPro-Regular"/>
                <w:sz w:val="20"/>
                <w:szCs w:val="20"/>
                <w:lang w:val="en-PH"/>
              </w:rPr>
              <w:t>H</w:t>
            </w:r>
            <w:r w:rsidR="00C46FEE" w:rsidRPr="004B58B0">
              <w:rPr>
                <w:rFonts w:cs="MyriadPro-Regular"/>
                <w:sz w:val="20"/>
                <w:szCs w:val="20"/>
                <w:lang w:val="ru-RU"/>
              </w:rPr>
              <w:t xml:space="preserve">алоги на прибыль 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iv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C46FEE">
              <w:rPr>
                <w:rFonts w:cs="MyriadPro-Regular"/>
                <w:sz w:val="20"/>
                <w:szCs w:val="20"/>
                <w:lang w:val="ru-RU"/>
              </w:rPr>
              <w:t>Роялти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v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C46FEE">
              <w:rPr>
                <w:rFonts w:cs="MyriadPro-Regular"/>
                <w:sz w:val="20"/>
                <w:szCs w:val="20"/>
                <w:lang w:val="ru-RU"/>
              </w:rPr>
              <w:t>Дивиденды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vi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C46FEE" w:rsidRPr="004B58B0">
              <w:rPr>
                <w:rFonts w:cs="MyriadPro-Regular"/>
                <w:sz w:val="20"/>
                <w:szCs w:val="20"/>
                <w:lang w:val="ru-RU"/>
              </w:rPr>
              <w:t>Б</w:t>
            </w:r>
            <w:r w:rsidR="00C46FEE" w:rsidRPr="00C46FEE">
              <w:rPr>
                <w:rFonts w:cs="MyriadPro-Regular"/>
                <w:sz w:val="20"/>
                <w:szCs w:val="20"/>
                <w:lang w:val="en-PH"/>
              </w:rPr>
              <w:t>o</w:t>
            </w:r>
            <w:r w:rsidR="00C46FEE" w:rsidRPr="004B58B0">
              <w:rPr>
                <w:rFonts w:cs="MyriadPro-Regular"/>
                <w:sz w:val="20"/>
                <w:szCs w:val="20"/>
                <w:lang w:val="ru-RU"/>
              </w:rPr>
              <w:t>нусы, такие как сигнатурные, за открытие месторождения, добычу.</w:t>
            </w:r>
          </w:p>
          <w:p w:rsidR="00A03321" w:rsidRPr="00484754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vii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C46FEE" w:rsidRPr="004B58B0">
              <w:rPr>
                <w:rFonts w:cs="MyriadPro-Regular"/>
                <w:sz w:val="20"/>
                <w:szCs w:val="20"/>
                <w:lang w:val="ru-RU"/>
              </w:rPr>
              <w:t xml:space="preserve">Лицензионные платежи, арендные платежи, плата за доступ и прочие лицензионные и/или концессионные зачеты </w:t>
            </w:r>
            <w:r w:rsidR="00C46FEE">
              <w:rPr>
                <w:rFonts w:cs="MyriadPro-Regular"/>
                <w:sz w:val="20"/>
                <w:szCs w:val="20"/>
                <w:lang w:val="ru-RU"/>
              </w:rPr>
              <w:t>и/или концессии</w:t>
            </w:r>
            <w:r w:rsidRPr="00484754">
              <w:rPr>
                <w:rFonts w:cs="MyriadPro-Regular"/>
                <w:sz w:val="20"/>
                <w:szCs w:val="20"/>
                <w:lang w:val="ru-RU"/>
              </w:rPr>
              <w:t xml:space="preserve"> </w:t>
            </w:r>
          </w:p>
          <w:p w:rsidR="00A03321" w:rsidRPr="00484754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viii</w:t>
            </w:r>
            <w:r w:rsidRPr="00484754">
              <w:rPr>
                <w:rFonts w:cs="MyriadPro-Regular"/>
                <w:sz w:val="20"/>
                <w:szCs w:val="20"/>
                <w:lang w:val="ru-RU"/>
              </w:rPr>
              <w:t xml:space="preserve">. </w:t>
            </w:r>
            <w:r w:rsidR="00C46FEE" w:rsidRPr="00484754">
              <w:rPr>
                <w:rFonts w:cs="MyriadPro-Regular"/>
                <w:sz w:val="20"/>
                <w:szCs w:val="20"/>
                <w:lang w:val="ru-RU"/>
              </w:rPr>
              <w:t xml:space="preserve">Любые прочие значительные платежи и существенные выгоды для правительства </w:t>
            </w:r>
          </w:p>
          <w:p w:rsidR="00A03321" w:rsidRPr="00484754" w:rsidRDefault="00DF4B1F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484754">
              <w:rPr>
                <w:rFonts w:cs="MyriadPro-Regular"/>
                <w:sz w:val="20"/>
                <w:szCs w:val="20"/>
                <w:lang w:val="ru-RU"/>
              </w:rPr>
              <w:lastRenderedPageBreak/>
              <w:t>Любые потоки доходов или выгод должны исключаться только в том случае, когда они несущественны или когда МГЗС решит, что их исключение не повлияет существенно на полноту Отчета ИПДО</w:t>
            </w:r>
            <w:r w:rsidR="00A03321" w:rsidRPr="00484754">
              <w:rPr>
                <w:rFonts w:cs="MyriadPro-Regular"/>
                <w:sz w:val="20"/>
                <w:szCs w:val="20"/>
                <w:lang w:val="ru-RU"/>
              </w:rPr>
              <w:t>.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c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</w:t>
            </w:r>
            <w:r w:rsidR="00DF4B1F" w:rsidRPr="004B58B0">
              <w:rPr>
                <w:rFonts w:cs="MyriadPro-Regular"/>
                <w:sz w:val="20"/>
                <w:szCs w:val="20"/>
                <w:lang w:val="ru-RU"/>
              </w:rPr>
              <w:t xml:space="preserve">Внедряющие страны должны обеспечивать исчерпывающую выверку доходов правительства и платежей компаний, включая платежи государственным предприятиям и от государственных предприятий, в соответствии с согласованным охватом отчетности. Все компании, осуществляющие существенные платежи правительству, обязаны полностью раскрывать эти платежи в соответствии с согласованным охватом отчетности. Организация должна освобождаться от отчетности только в том случае, если может быть продемонстрировано, что ее платежи и доходы не являются существенными. Все государственные </w:t>
            </w:r>
            <w:r w:rsidR="00DF4B1F" w:rsidRPr="004B58B0">
              <w:rPr>
                <w:rFonts w:cs="MyriadPro-Regular"/>
                <w:sz w:val="20"/>
                <w:szCs w:val="20"/>
                <w:lang w:val="ru-RU"/>
              </w:rPr>
              <w:lastRenderedPageBreak/>
              <w:t>организации, получающие существенные доходы, должны полностью раскрывать эти доходы в соответствии с согласованным охватом отчетности</w:t>
            </w:r>
            <w:r w:rsidR="00DF4B1F">
              <w:rPr>
                <w:rFonts w:cs="MyriadPro-Regular"/>
                <w:sz w:val="20"/>
                <w:szCs w:val="20"/>
                <w:lang w:val="ru-RU"/>
              </w:rPr>
              <w:t>.</w:t>
            </w:r>
          </w:p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rFonts w:cs="MyriadPro-Regular"/>
                <w:sz w:val="20"/>
                <w:szCs w:val="20"/>
                <w:lang w:val="ru-RU"/>
              </w:rPr>
            </w:pPr>
            <w:r w:rsidRPr="008E4199">
              <w:rPr>
                <w:rFonts w:cs="MyriadPro-Regular"/>
                <w:sz w:val="20"/>
                <w:szCs w:val="20"/>
                <w:lang w:val="en-PH"/>
              </w:rPr>
              <w:t>d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 xml:space="preserve">) </w:t>
            </w:r>
            <w:r w:rsidR="00DF4B1F" w:rsidRPr="004B58B0">
              <w:rPr>
                <w:rFonts w:cs="MyriadPro-Regular"/>
                <w:sz w:val="20"/>
                <w:szCs w:val="20"/>
                <w:lang w:val="ru-RU"/>
              </w:rPr>
              <w:t>Если не имеется значительных практических препятствий, правительство должно полностью раскрывать все доходы, получаемые от нефтяных, газовых и горнодобывающих компаний, в соответствии с согласованным охватом отчетности, т.е. полные доходы правительства для каждого из согласованных потоков выгод, включая доходы от компаний, которые не рассматриваются как существенные. В случае когда эта информация недоступна, Независимый Администратор должен обратит</w:t>
            </w:r>
            <w:r w:rsidR="00206782">
              <w:rPr>
                <w:rFonts w:cs="MyriadPro-Regular"/>
                <w:sz w:val="20"/>
                <w:szCs w:val="20"/>
                <w:lang w:val="ru-RU"/>
              </w:rPr>
              <w:t>ь</w:t>
            </w:r>
            <w:r w:rsidR="00DF4B1F" w:rsidRPr="004B58B0">
              <w:rPr>
                <w:rFonts w:cs="MyriadPro-Regular"/>
                <w:sz w:val="20"/>
                <w:szCs w:val="20"/>
                <w:lang w:val="ru-RU"/>
              </w:rPr>
              <w:t>ся к дополнительным источникам и предоставить исчерпывающую информацию о доходах правительства</w:t>
            </w:r>
            <w:r w:rsidRPr="004B58B0">
              <w:rPr>
                <w:rFonts w:cs="MyriadPro-Regular"/>
                <w:sz w:val="20"/>
                <w:szCs w:val="20"/>
                <w:lang w:val="ru-RU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:rsidR="00A03321" w:rsidRPr="004B58B0" w:rsidRDefault="00D32B4F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Первоначальная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оценка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 Секретариата заключает: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sz w:val="20"/>
                <w:szCs w:val="20"/>
                <w:lang w:val="ru-RU"/>
              </w:rPr>
              <w:t>“</w:t>
            </w:r>
            <w:r w:rsidRPr="004B58B0">
              <w:rPr>
                <w:sz w:val="20"/>
                <w:szCs w:val="20"/>
                <w:lang w:val="ru-RU"/>
              </w:rPr>
              <w:t>В соответствии с требованием 4.1 НС согласовал спис</w:t>
            </w:r>
            <w:r w:rsidR="0081477B" w:rsidRPr="004B58B0">
              <w:rPr>
                <w:sz w:val="20"/>
                <w:szCs w:val="20"/>
                <w:lang w:val="ru-RU"/>
              </w:rPr>
              <w:t>ок потоков существенных доходов.</w:t>
            </w:r>
            <w:r w:rsidR="0081477B">
              <w:rPr>
                <w:sz w:val="20"/>
                <w:szCs w:val="20"/>
                <w:lang w:val="ru-RU"/>
              </w:rPr>
              <w:t xml:space="preserve"> Некоторые, но не все из них</w:t>
            </w:r>
            <w:r w:rsidR="00CB684B">
              <w:rPr>
                <w:sz w:val="20"/>
                <w:szCs w:val="20"/>
                <w:lang w:val="ru-RU"/>
              </w:rPr>
              <w:t>,</w:t>
            </w:r>
            <w:r w:rsidR="0081477B">
              <w:rPr>
                <w:sz w:val="20"/>
                <w:szCs w:val="20"/>
                <w:lang w:val="ru-RU"/>
              </w:rPr>
              <w:t xml:space="preserve"> описаны в Отчете ИПДО. </w:t>
            </w:r>
            <w:r w:rsidR="0081477B" w:rsidRPr="004B58B0">
              <w:rPr>
                <w:sz w:val="20"/>
                <w:szCs w:val="20"/>
                <w:lang w:val="ru-RU"/>
              </w:rPr>
              <w:t>Н</w:t>
            </w:r>
            <w:r w:rsidR="0081477B">
              <w:rPr>
                <w:sz w:val="20"/>
                <w:szCs w:val="20"/>
                <w:lang w:val="ru-RU"/>
              </w:rPr>
              <w:t xml:space="preserve">аблюдательный Совет также </w:t>
            </w:r>
            <w:r w:rsidRPr="004B58B0">
              <w:rPr>
                <w:sz w:val="20"/>
                <w:szCs w:val="20"/>
                <w:lang w:val="ru-RU"/>
              </w:rPr>
              <w:t>согласовал пороги отчетности для компаний и идентифицировал отчитывающиеся субъекты. Хотя консультации с Независимым Администратором по шаблонам не были проведены, ни Независимый Администратор, ни другие заинтересованные стороны не выразили озабоченности по поводу доходов, охваченных в шаблоне. Некоторые государственные органы и компа</w:t>
            </w:r>
            <w:r w:rsidR="0081477B" w:rsidRPr="004B58B0">
              <w:rPr>
                <w:sz w:val="20"/>
                <w:szCs w:val="20"/>
                <w:lang w:val="ru-RU"/>
              </w:rPr>
              <w:t>нии не приняли участия в отчете.</w:t>
            </w:r>
            <w:r w:rsidR="0081477B">
              <w:rPr>
                <w:sz w:val="20"/>
                <w:szCs w:val="20"/>
                <w:lang w:val="ru-RU"/>
              </w:rPr>
              <w:t xml:space="preserve"> П</w:t>
            </w:r>
            <w:r w:rsidRPr="004B58B0">
              <w:rPr>
                <w:sz w:val="20"/>
                <w:szCs w:val="20"/>
                <w:lang w:val="ru-RU"/>
              </w:rPr>
              <w:t xml:space="preserve">равительство не раскрыло суммарные доходы правительства. Однако, согласно консультациям с Независимым Администратором, упущения представляются </w:t>
            </w:r>
            <w:r w:rsidRPr="004B58B0">
              <w:rPr>
                <w:sz w:val="20"/>
                <w:szCs w:val="20"/>
                <w:lang w:val="ru-RU"/>
              </w:rPr>
              <w:t xml:space="preserve">несущественными, и доступ к платежам компаний может быть получен с портала </w:t>
            </w:r>
            <w:hyperlink r:id="rId17" w:history="1">
              <w:r w:rsidR="0081477B" w:rsidRPr="008E4199">
                <w:rPr>
                  <w:rStyle w:val="Hyperlink"/>
                  <w:sz w:val="20"/>
                  <w:szCs w:val="20"/>
                </w:rPr>
                <w:t>www</w:t>
              </w:r>
              <w:r w:rsidR="0081477B" w:rsidRPr="004B58B0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81477B" w:rsidRPr="008E4199">
                <w:rPr>
                  <w:rStyle w:val="Hyperlink"/>
                  <w:sz w:val="20"/>
                  <w:szCs w:val="20"/>
                </w:rPr>
                <w:t>budget</w:t>
              </w:r>
              <w:r w:rsidR="0081477B" w:rsidRPr="004B58B0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="0081477B" w:rsidRPr="008E4199">
                <w:rPr>
                  <w:rStyle w:val="Hyperlink"/>
                  <w:sz w:val="20"/>
                  <w:szCs w:val="20"/>
                </w:rPr>
                <w:t>okmot</w:t>
              </w:r>
              <w:proofErr w:type="spellEnd"/>
              <w:r w:rsidR="0081477B" w:rsidRPr="004B58B0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81477B" w:rsidRPr="008E4199">
                <w:rPr>
                  <w:rStyle w:val="Hyperlink"/>
                  <w:sz w:val="20"/>
                  <w:szCs w:val="20"/>
                </w:rPr>
                <w:t>kg</w:t>
              </w:r>
            </w:hyperlink>
            <w:r w:rsidRPr="004B58B0">
              <w:rPr>
                <w:sz w:val="20"/>
                <w:szCs w:val="20"/>
                <w:lang w:val="ru-RU"/>
              </w:rPr>
              <w:t xml:space="preserve">. </w:t>
            </w:r>
            <w:r w:rsidR="0081477B">
              <w:rPr>
                <w:sz w:val="20"/>
                <w:szCs w:val="20"/>
                <w:lang w:val="ru-RU"/>
              </w:rPr>
              <w:t>Ввиду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 </w:t>
            </w:r>
            <w:r w:rsidR="0081477B">
              <w:rPr>
                <w:sz w:val="20"/>
                <w:szCs w:val="20"/>
                <w:lang w:val="ru-RU"/>
              </w:rPr>
              <w:t>этого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 </w:t>
            </w:r>
            <w:r w:rsidR="0081477B">
              <w:rPr>
                <w:sz w:val="20"/>
                <w:szCs w:val="20"/>
                <w:lang w:val="ru-RU"/>
              </w:rPr>
              <w:t>Международный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 </w:t>
            </w:r>
            <w:r w:rsidR="0081477B">
              <w:rPr>
                <w:sz w:val="20"/>
                <w:szCs w:val="20"/>
                <w:lang w:val="ru-RU"/>
              </w:rPr>
              <w:t>Секретариат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 </w:t>
            </w:r>
            <w:r w:rsidR="0081477B">
              <w:rPr>
                <w:sz w:val="20"/>
                <w:szCs w:val="20"/>
                <w:lang w:val="ru-RU"/>
              </w:rPr>
              <w:t>заключает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, </w:t>
            </w:r>
            <w:r w:rsidR="0081477B">
              <w:rPr>
                <w:sz w:val="20"/>
                <w:szCs w:val="20"/>
                <w:lang w:val="ru-RU"/>
              </w:rPr>
              <w:t>что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 </w:t>
            </w:r>
            <w:r w:rsidR="0081477B">
              <w:rPr>
                <w:sz w:val="20"/>
                <w:szCs w:val="20"/>
                <w:lang w:val="ru-RU"/>
              </w:rPr>
              <w:t>Кыргызская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 </w:t>
            </w:r>
            <w:r w:rsidR="0081477B">
              <w:rPr>
                <w:sz w:val="20"/>
                <w:szCs w:val="20"/>
                <w:lang w:val="ru-RU"/>
              </w:rPr>
              <w:t>Республика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 </w:t>
            </w:r>
            <w:r w:rsidR="0081477B">
              <w:rPr>
                <w:sz w:val="20"/>
                <w:szCs w:val="20"/>
                <w:lang w:val="ru-RU"/>
              </w:rPr>
              <w:t>совершила</w:t>
            </w:r>
            <w:r w:rsidR="0081477B" w:rsidRPr="004B58B0">
              <w:rPr>
                <w:sz w:val="20"/>
                <w:szCs w:val="20"/>
                <w:lang w:val="ru-RU"/>
              </w:rPr>
              <w:t xml:space="preserve"> </w:t>
            </w:r>
            <w:r w:rsidR="005861CC" w:rsidRPr="004B58B0">
              <w:rPr>
                <w:b/>
                <w:sz w:val="20"/>
                <w:szCs w:val="20"/>
                <w:lang w:val="ru-RU"/>
              </w:rPr>
              <w:t>УДОВЛЕТВОРИТЕЛЬНЫЙ</w:t>
            </w:r>
            <w:r w:rsidR="005861CC" w:rsidRPr="004B58B0">
              <w:rPr>
                <w:sz w:val="20"/>
                <w:szCs w:val="20"/>
                <w:lang w:val="ru-RU"/>
              </w:rPr>
              <w:t xml:space="preserve"> </w:t>
            </w:r>
            <w:r w:rsidR="005861CC">
              <w:rPr>
                <w:sz w:val="20"/>
                <w:szCs w:val="20"/>
                <w:lang w:val="ru-RU"/>
              </w:rPr>
              <w:t>прогресс</w:t>
            </w:r>
            <w:r w:rsidR="005861CC" w:rsidRPr="004B58B0">
              <w:rPr>
                <w:sz w:val="20"/>
                <w:szCs w:val="20"/>
                <w:lang w:val="ru-RU"/>
              </w:rPr>
              <w:t xml:space="preserve"> </w:t>
            </w:r>
            <w:r w:rsidR="005861CC">
              <w:rPr>
                <w:sz w:val="20"/>
                <w:szCs w:val="20"/>
                <w:lang w:val="ru-RU"/>
              </w:rPr>
              <w:t>в</w:t>
            </w:r>
            <w:r w:rsidR="005861CC" w:rsidRPr="004B58B0">
              <w:rPr>
                <w:sz w:val="20"/>
                <w:szCs w:val="20"/>
                <w:lang w:val="ru-RU"/>
              </w:rPr>
              <w:t xml:space="preserve"> </w:t>
            </w:r>
            <w:r w:rsidR="005861CC">
              <w:rPr>
                <w:sz w:val="20"/>
                <w:szCs w:val="20"/>
                <w:lang w:val="ru-RU"/>
              </w:rPr>
              <w:t>выполнении</w:t>
            </w:r>
            <w:r w:rsidR="005861CC" w:rsidRPr="004B58B0">
              <w:rPr>
                <w:sz w:val="20"/>
                <w:szCs w:val="20"/>
                <w:lang w:val="ru-RU"/>
              </w:rPr>
              <w:t xml:space="preserve"> </w:t>
            </w:r>
            <w:r w:rsidR="005861CC">
              <w:rPr>
                <w:sz w:val="20"/>
                <w:szCs w:val="20"/>
                <w:lang w:val="ru-RU"/>
              </w:rPr>
              <w:t>этого требования (стр.</w:t>
            </w:r>
            <w:r w:rsidR="005861CC" w:rsidRPr="004B58B0" w:rsidDel="005861CC">
              <w:rPr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sz w:val="20"/>
                <w:szCs w:val="20"/>
                <w:lang w:val="ru-RU"/>
              </w:rPr>
              <w:t>53)</w:t>
            </w:r>
          </w:p>
        </w:tc>
        <w:tc>
          <w:tcPr>
            <w:tcW w:w="2557" w:type="dxa"/>
            <w:shd w:val="clear" w:color="auto" w:fill="auto"/>
          </w:tcPr>
          <w:p w:rsidR="00A03321" w:rsidRPr="008E4199" w:rsidRDefault="008E7B58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Отсутствуют</w:t>
            </w:r>
            <w:r w:rsidR="00A03321" w:rsidRPr="008E419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03321" w:rsidRPr="004B58B0" w:rsidRDefault="001F5120" w:rsidP="008D0394">
            <w:pPr>
              <w:tabs>
                <w:tab w:val="left" w:pos="5580"/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Валидатор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согласен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мнением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Секретариата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считает</w:t>
            </w:r>
            <w:r w:rsidRPr="00F41D3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Кыргызская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Республика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достигла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ru-RU" w:bidi="en-US"/>
              </w:rPr>
              <w:t>ЗНАЧИМОГО</w:t>
            </w:r>
            <w:r w:rsidRPr="00F41D30">
              <w:rPr>
                <w:rFonts w:cs="Calibri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 w:bidi="en-US"/>
              </w:rPr>
              <w:t>прогресса.</w:t>
            </w:r>
            <w:r w:rsidR="00A03321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A506F0">
              <w:rPr>
                <w:rFonts w:cs="Calibri"/>
                <w:sz w:val="20"/>
                <w:szCs w:val="20"/>
                <w:lang w:val="ru-RU"/>
              </w:rPr>
              <w:t>Валидатор</w:t>
            </w:r>
            <w:r w:rsidR="00A506F0"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A506F0">
              <w:rPr>
                <w:rFonts w:cs="Calibri"/>
                <w:sz w:val="20"/>
                <w:szCs w:val="20"/>
                <w:lang w:val="ru-RU"/>
              </w:rPr>
              <w:t>считает</w:t>
            </w:r>
            <w:r w:rsidR="00B07AFF">
              <w:rPr>
                <w:rFonts w:cs="Calibri"/>
                <w:sz w:val="20"/>
                <w:szCs w:val="20"/>
                <w:lang w:val="ru-RU"/>
              </w:rPr>
              <w:t>:</w:t>
            </w:r>
            <w:r w:rsidR="00A03321" w:rsidRPr="004B58B0">
              <w:rPr>
                <w:rFonts w:cs="Calibri"/>
                <w:sz w:val="20"/>
                <w:szCs w:val="20"/>
                <w:lang w:val="ru-RU"/>
              </w:rPr>
              <w:t xml:space="preserve"> “</w:t>
            </w:r>
            <w:r w:rsidR="008D0394" w:rsidRPr="004B58B0">
              <w:rPr>
                <w:rFonts w:cs="Calibri"/>
                <w:sz w:val="20"/>
                <w:szCs w:val="20"/>
                <w:lang w:val="ru-RU"/>
              </w:rPr>
              <w:t>Согласно Первоначальной Оценке Международного Секретариата, НС не задокументировал рассмотренные варианты и обоснование для установки определения существенности, а также порогов отчетности. В Отчёте ИПДО за 2013-14 г</w:t>
            </w:r>
            <w:r w:rsidR="00B07AFF">
              <w:rPr>
                <w:rFonts w:cs="Calibri"/>
                <w:sz w:val="20"/>
                <w:szCs w:val="20"/>
                <w:lang w:val="ru-RU"/>
              </w:rPr>
              <w:t>г.</w:t>
            </w:r>
            <w:r w:rsidR="008D0394" w:rsidRPr="004B58B0">
              <w:rPr>
                <w:rFonts w:cs="Calibri"/>
                <w:sz w:val="20"/>
                <w:szCs w:val="20"/>
                <w:lang w:val="ru-RU"/>
              </w:rPr>
              <w:t xml:space="preserve"> также нет описания каждого потока платежей/доходов и нет раскрытых данных о пол</w:t>
            </w:r>
            <w:r w:rsidR="00206782" w:rsidRPr="004B58B0">
              <w:rPr>
                <w:rFonts w:cs="Calibri"/>
                <w:sz w:val="20"/>
                <w:szCs w:val="20"/>
                <w:lang w:val="ru-RU"/>
              </w:rPr>
              <w:t xml:space="preserve">ученных суммарных поступлениях </w:t>
            </w:r>
            <w:r w:rsidR="00B07AFF" w:rsidRPr="004B58B0">
              <w:rPr>
                <w:rFonts w:cs="Calibri"/>
                <w:sz w:val="20"/>
                <w:szCs w:val="20"/>
                <w:lang w:val="ru-RU"/>
              </w:rPr>
              <w:t>(су</w:t>
            </w:r>
            <w:r w:rsidR="00B07AFF">
              <w:rPr>
                <w:rFonts w:cs="Calibri"/>
                <w:sz w:val="20"/>
                <w:szCs w:val="20"/>
                <w:lang w:val="ru-RU"/>
              </w:rPr>
              <w:t>щественных и несущественных</w:t>
            </w:r>
            <w:r w:rsidR="008D0394" w:rsidRPr="004B58B0">
              <w:rPr>
                <w:rFonts w:cs="Calibri"/>
                <w:sz w:val="20"/>
                <w:szCs w:val="20"/>
                <w:lang w:val="ru-RU"/>
              </w:rPr>
              <w:t>) по каждому согласованному потоку платежей/доходов. Вопросы, связанные с отчётностью по тра</w:t>
            </w:r>
            <w:r w:rsidR="008D0394">
              <w:rPr>
                <w:rFonts w:cs="Calibri"/>
                <w:sz w:val="20"/>
                <w:szCs w:val="20"/>
                <w:lang w:val="ru-RU"/>
              </w:rPr>
              <w:t>нз</w:t>
            </w:r>
            <w:r w:rsidR="008D0394" w:rsidRPr="004B58B0">
              <w:rPr>
                <w:rFonts w:cs="Calibri"/>
                <w:sz w:val="20"/>
                <w:szCs w:val="20"/>
                <w:lang w:val="ru-RU"/>
              </w:rPr>
              <w:t>акциям с участием Государственных Предприятий, которые должны быть включены с</w:t>
            </w:r>
            <w:r w:rsidR="00B07AFF" w:rsidRPr="004B58B0">
              <w:rPr>
                <w:rFonts w:cs="Calibri"/>
                <w:sz w:val="20"/>
                <w:szCs w:val="20"/>
                <w:lang w:val="ru-RU"/>
              </w:rPr>
              <w:t>огласно пункту 4.1 в подробную вы</w:t>
            </w:r>
            <w:r w:rsidR="008D0394" w:rsidRPr="004B58B0">
              <w:rPr>
                <w:rFonts w:cs="Calibri"/>
                <w:sz w:val="20"/>
                <w:szCs w:val="20"/>
                <w:lang w:val="ru-RU"/>
              </w:rPr>
              <w:t xml:space="preserve">верку, </w:t>
            </w:r>
            <w:r w:rsidR="008D0394" w:rsidRPr="004B58B0">
              <w:rPr>
                <w:rFonts w:cs="Calibri"/>
                <w:sz w:val="20"/>
                <w:szCs w:val="20"/>
                <w:lang w:val="ru-RU"/>
              </w:rPr>
              <w:lastRenderedPageBreak/>
              <w:t>рассмотрены в положении 4.5 Первоначальной Оценки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>” (</w:t>
            </w:r>
            <w:r w:rsidR="008D0394">
              <w:rPr>
                <w:rFonts w:cs="Calibri"/>
                <w:sz w:val="20"/>
                <w:szCs w:val="20"/>
                <w:lang w:val="ru-RU" w:bidi="en-US"/>
              </w:rPr>
              <w:t>стр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>.5).</w:t>
            </w:r>
          </w:p>
          <w:p w:rsidR="00A03321" w:rsidRPr="004B58B0" w:rsidRDefault="00A03321" w:rsidP="008E4199">
            <w:pPr>
              <w:tabs>
                <w:tab w:val="left" w:pos="5580"/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rFonts w:cs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A03321" w:rsidRPr="00484754" w:rsidRDefault="00A258FA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Члены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</w:t>
            </w:r>
            <w:r w:rsidR="005956CA">
              <w:rPr>
                <w:bCs/>
                <w:sz w:val="20"/>
                <w:szCs w:val="20"/>
                <w:lang w:val="ru-RU"/>
              </w:rPr>
              <w:t>аблюдател</w:t>
            </w:r>
            <w:r>
              <w:rPr>
                <w:bCs/>
                <w:sz w:val="20"/>
                <w:szCs w:val="20"/>
                <w:lang w:val="ru-RU"/>
              </w:rPr>
              <w:t>ьного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Совета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согласны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Валидатором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адресуются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протокол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своего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заседания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9 </w:t>
            </w:r>
            <w:r>
              <w:rPr>
                <w:bCs/>
                <w:sz w:val="20"/>
                <w:szCs w:val="20"/>
                <w:lang w:val="ru-RU"/>
              </w:rPr>
              <w:t>декабря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2014 </w:t>
            </w:r>
            <w:r>
              <w:rPr>
                <w:bCs/>
                <w:sz w:val="20"/>
                <w:szCs w:val="20"/>
                <w:lang w:val="ru-RU"/>
              </w:rPr>
              <w:t>г</w:t>
            </w:r>
            <w:r w:rsidRPr="004B58B0">
              <w:rPr>
                <w:bCs/>
                <w:sz w:val="20"/>
                <w:szCs w:val="20"/>
                <w:lang w:val="ru-RU"/>
              </w:rPr>
              <w:t>.,</w:t>
            </w:r>
            <w:r>
              <w:rPr>
                <w:bCs/>
                <w:sz w:val="20"/>
                <w:szCs w:val="20"/>
                <w:lang w:val="ru-RU"/>
              </w:rPr>
              <w:t xml:space="preserve"> который предоставляет документацию дискуссий, приведших к решению о пороге существенности. Они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также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адресуют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к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документации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указанной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Первоначальном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отчете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оценке</w:t>
            </w:r>
            <w:r w:rsidRPr="004B58B0">
              <w:rPr>
                <w:bCs/>
                <w:sz w:val="20"/>
                <w:szCs w:val="20"/>
                <w:lang w:val="ru-RU"/>
              </w:rPr>
              <w:t>.</w:t>
            </w:r>
            <w:r w:rsidRPr="004B58B0" w:rsidDel="00A258FA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bCs/>
                <w:sz w:val="20"/>
                <w:szCs w:val="20"/>
                <w:lang w:val="ru-RU"/>
              </w:rPr>
              <w:t>“</w:t>
            </w:r>
            <w:r w:rsidR="00605EB2">
              <w:rPr>
                <w:bCs/>
                <w:sz w:val="20"/>
                <w:szCs w:val="20"/>
                <w:lang w:val="ru-RU"/>
              </w:rPr>
              <w:t>В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5EB2">
              <w:rPr>
                <w:bCs/>
                <w:sz w:val="20"/>
                <w:szCs w:val="20"/>
                <w:lang w:val="ru-RU"/>
              </w:rPr>
              <w:t>связи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5EB2">
              <w:rPr>
                <w:bCs/>
                <w:sz w:val="20"/>
                <w:szCs w:val="20"/>
                <w:lang w:val="ru-RU"/>
              </w:rPr>
              <w:t>с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5EB2">
              <w:rPr>
                <w:bCs/>
                <w:sz w:val="20"/>
                <w:szCs w:val="20"/>
                <w:lang w:val="ru-RU"/>
              </w:rPr>
              <w:t>информацией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605EB2">
              <w:rPr>
                <w:bCs/>
                <w:sz w:val="20"/>
                <w:szCs w:val="20"/>
                <w:lang w:val="ru-RU"/>
              </w:rPr>
              <w:t>приведенной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5EB2">
              <w:rPr>
                <w:bCs/>
                <w:sz w:val="20"/>
                <w:szCs w:val="20"/>
                <w:lang w:val="ru-RU"/>
              </w:rPr>
              <w:t>в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5EB2">
              <w:rPr>
                <w:bCs/>
                <w:sz w:val="20"/>
                <w:szCs w:val="20"/>
                <w:lang w:val="ru-RU"/>
              </w:rPr>
              <w:t>Первоначальном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5EB2">
              <w:rPr>
                <w:bCs/>
                <w:sz w:val="20"/>
                <w:szCs w:val="20"/>
                <w:lang w:val="ru-RU"/>
              </w:rPr>
              <w:t>отчете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5EB2">
              <w:rPr>
                <w:bCs/>
                <w:sz w:val="20"/>
                <w:szCs w:val="20"/>
                <w:lang w:val="ru-RU"/>
              </w:rPr>
              <w:t>по</w:t>
            </w:r>
            <w:r w:rsidR="00605EB2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605EB2">
              <w:rPr>
                <w:bCs/>
                <w:sz w:val="20"/>
                <w:szCs w:val="20"/>
                <w:lang w:val="ru-RU"/>
              </w:rPr>
              <w:t>оценке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E31F85">
              <w:rPr>
                <w:bCs/>
                <w:sz w:val="20"/>
                <w:szCs w:val="20"/>
                <w:lang w:val="ru-RU"/>
              </w:rPr>
              <w:t>мы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считаем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E31F85">
              <w:rPr>
                <w:bCs/>
                <w:sz w:val="20"/>
                <w:szCs w:val="20"/>
                <w:lang w:val="ru-RU"/>
              </w:rPr>
              <w:t>что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Наблюдательный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Совет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имеет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достаточные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основания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для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использования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порогов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существенности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(</w:t>
            </w:r>
            <w:r w:rsidR="00E31F85">
              <w:rPr>
                <w:bCs/>
                <w:sz w:val="20"/>
                <w:szCs w:val="20"/>
                <w:lang w:val="ru-RU"/>
              </w:rPr>
              <w:t>Резолюция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правительства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E31F85">
              <w:rPr>
                <w:bCs/>
                <w:sz w:val="20"/>
                <w:szCs w:val="20"/>
                <w:lang w:val="ru-RU"/>
              </w:rPr>
              <w:t>Протокол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заседания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Наблюдательного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Совета</w:t>
            </w:r>
            <w:r w:rsidR="00E31F85" w:rsidRPr="004B58B0">
              <w:rPr>
                <w:bCs/>
                <w:sz w:val="20"/>
                <w:szCs w:val="20"/>
                <w:lang w:val="ru-RU"/>
              </w:rPr>
              <w:t xml:space="preserve"> № 14,</w:t>
            </w:r>
            <w:r w:rsidR="00E31F85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bCs/>
                <w:sz w:val="20"/>
                <w:szCs w:val="20"/>
                <w:lang w:val="ru-RU"/>
              </w:rPr>
              <w:t xml:space="preserve">21). </w:t>
            </w:r>
            <w:r w:rsidR="00A03321" w:rsidRPr="00484754">
              <w:rPr>
                <w:bCs/>
                <w:sz w:val="20"/>
                <w:szCs w:val="20"/>
                <w:lang w:val="ru-RU"/>
              </w:rPr>
              <w:t>“</w:t>
            </w:r>
            <w:r w:rsidR="00E31F85">
              <w:rPr>
                <w:bCs/>
                <w:sz w:val="20"/>
                <w:szCs w:val="20"/>
                <w:lang w:val="ru-RU"/>
              </w:rPr>
              <w:t>Критерий</w:t>
            </w:r>
            <w:r w:rsidR="00A03321" w:rsidRPr="00484754">
              <w:rPr>
                <w:bCs/>
                <w:sz w:val="20"/>
                <w:szCs w:val="20"/>
                <w:lang w:val="ru-RU"/>
              </w:rPr>
              <w:t>”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E31F85">
              <w:rPr>
                <w:bCs/>
                <w:sz w:val="20"/>
                <w:szCs w:val="20"/>
                <w:lang w:val="ru-RU"/>
              </w:rPr>
              <w:t>к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которому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адресует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Первоначальный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отчет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lastRenderedPageBreak/>
              <w:t>по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оценке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E31F85">
              <w:rPr>
                <w:bCs/>
                <w:sz w:val="20"/>
                <w:szCs w:val="20"/>
                <w:lang w:val="ru-RU"/>
              </w:rPr>
              <w:t>не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упоминается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в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требованиях</w:t>
            </w:r>
            <w:r w:rsidR="00E31F85" w:rsidRPr="00484754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31F85">
              <w:rPr>
                <w:bCs/>
                <w:sz w:val="20"/>
                <w:szCs w:val="20"/>
                <w:lang w:val="ru-RU"/>
              </w:rPr>
              <w:t>ИПДО</w:t>
            </w:r>
            <w:r w:rsidR="00A03321" w:rsidRPr="00484754">
              <w:rPr>
                <w:bCs/>
                <w:sz w:val="20"/>
                <w:szCs w:val="20"/>
                <w:lang w:val="ru-RU"/>
              </w:rPr>
              <w:t xml:space="preserve">.”  </w:t>
            </w:r>
            <w:r w:rsidR="00A03321" w:rsidRPr="00484754">
              <w:rPr>
                <w:bCs/>
                <w:strike/>
                <w:sz w:val="20"/>
                <w:szCs w:val="20"/>
                <w:lang w:val="ru-RU"/>
              </w:rPr>
              <w:t>.</w:t>
            </w:r>
          </w:p>
          <w:p w:rsidR="00A03321" w:rsidRPr="004B58B0" w:rsidRDefault="00370741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Независимый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Администратор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который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был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вовлечен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 публикацию Отчета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bCs/>
                <w:sz w:val="20"/>
                <w:szCs w:val="20"/>
                <w:lang w:val="ru-RU"/>
              </w:rPr>
              <w:t>2013-2014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был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также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согласен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Валидатором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отметил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  <w:lang w:val="ru-RU"/>
              </w:rPr>
              <w:t>что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отчет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предоставляет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объяснение того, почему ряд компаний не приняли участия в отчетности. В отчете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указано</w:t>
            </w:r>
            <w:r w:rsidRPr="004B58B0">
              <w:rPr>
                <w:bCs/>
                <w:sz w:val="20"/>
                <w:szCs w:val="20"/>
                <w:lang w:val="ru-RU"/>
              </w:rPr>
              <w:t>:</w:t>
            </w:r>
            <w:r w:rsidRPr="004B58B0" w:rsidDel="00370741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bCs/>
                <w:sz w:val="20"/>
                <w:szCs w:val="20"/>
                <w:lang w:val="ru-RU"/>
              </w:rPr>
              <w:t xml:space="preserve">“89 </w:t>
            </w:r>
            <w:r>
              <w:rPr>
                <w:bCs/>
                <w:sz w:val="20"/>
                <w:szCs w:val="20"/>
                <w:lang w:val="ru-RU"/>
              </w:rPr>
              <w:t>компаний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представили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свои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данные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за</w:t>
            </w:r>
            <w:r w:rsidRPr="004B58B0">
              <w:rPr>
                <w:bCs/>
                <w:sz w:val="20"/>
                <w:szCs w:val="20"/>
                <w:lang w:val="ru-RU"/>
              </w:rPr>
              <w:t xml:space="preserve"> 2014 </w:t>
            </w:r>
            <w:r>
              <w:rPr>
                <w:bCs/>
                <w:sz w:val="20"/>
                <w:szCs w:val="20"/>
                <w:lang w:val="ru-RU"/>
              </w:rPr>
              <w:t>год</w:t>
            </w:r>
            <w:r w:rsidR="00A03321" w:rsidRPr="004B58B0">
              <w:rPr>
                <w:bCs/>
                <w:sz w:val="20"/>
                <w:szCs w:val="20"/>
                <w:lang w:val="ru-RU"/>
              </w:rPr>
              <w:t>”</w:t>
            </w:r>
            <w:r w:rsidR="00206782">
              <w:rPr>
                <w:bCs/>
                <w:sz w:val="20"/>
                <w:szCs w:val="20"/>
                <w:lang w:val="ru-RU"/>
              </w:rPr>
              <w:t>,</w:t>
            </w:r>
            <w:r w:rsidR="00A03321" w:rsidRPr="004B58B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и отмечается , что</w:t>
            </w:r>
            <w:r w:rsidR="00A03321" w:rsidRPr="004B58B0">
              <w:rPr>
                <w:bCs/>
                <w:sz w:val="20"/>
                <w:szCs w:val="20"/>
                <w:lang w:val="ru-RU"/>
              </w:rPr>
              <w:t xml:space="preserve"> “… </w:t>
            </w:r>
            <w:r>
              <w:rPr>
                <w:bCs/>
                <w:sz w:val="20"/>
                <w:szCs w:val="20"/>
                <w:lang w:val="ru-RU"/>
              </w:rPr>
              <w:t>он тем не менее включает всех крупных налогоплательщиков Кыргызской Республики</w:t>
            </w:r>
            <w:r w:rsidR="00A03321" w:rsidRPr="004B58B0">
              <w:rPr>
                <w:bCs/>
                <w:sz w:val="20"/>
                <w:szCs w:val="20"/>
                <w:lang w:val="ru-RU"/>
              </w:rPr>
              <w:t>”.</w:t>
            </w:r>
          </w:p>
        </w:tc>
        <w:tc>
          <w:tcPr>
            <w:tcW w:w="1701" w:type="dxa"/>
            <w:shd w:val="clear" w:color="auto" w:fill="auto"/>
          </w:tcPr>
          <w:p w:rsidR="00A03321" w:rsidRPr="004B58B0" w:rsidRDefault="00B43785" w:rsidP="008E4199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Комитет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представить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рекомендацию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том</w:t>
            </w:r>
            <w:r w:rsidRPr="00F41D3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должна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ли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оценке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Правлением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требования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4.1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быть</w:t>
            </w:r>
            <w:r w:rsidRPr="00F41D3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прогрессом</w:t>
            </w:r>
            <w:r w:rsidRPr="00F41D30">
              <w:rPr>
                <w:sz w:val="20"/>
                <w:szCs w:val="20"/>
                <w:lang w:val="ru-RU"/>
              </w:rPr>
              <w:t xml:space="preserve">”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 w:rsidRPr="004B58B0">
              <w:rPr>
                <w:sz w:val="20"/>
                <w:szCs w:val="20"/>
                <w:lang w:val="ru-RU"/>
              </w:rPr>
              <w:t>“</w:t>
            </w:r>
            <w:r>
              <w:rPr>
                <w:sz w:val="20"/>
                <w:szCs w:val="20"/>
                <w:lang w:val="ru-RU"/>
              </w:rPr>
              <w:t>удовлетворительным прогрессом</w:t>
            </w:r>
            <w:r w:rsidRPr="00F41D30">
              <w:rPr>
                <w:sz w:val="20"/>
                <w:szCs w:val="20"/>
                <w:lang w:val="ru-RU"/>
              </w:rPr>
              <w:t>”</w:t>
            </w:r>
            <w:r>
              <w:rPr>
                <w:sz w:val="20"/>
                <w:szCs w:val="20"/>
                <w:lang w:val="ru-RU"/>
              </w:rPr>
              <w:t>.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</w:t>
            </w:r>
          </w:p>
          <w:p w:rsidR="00A03321" w:rsidRPr="004B58B0" w:rsidRDefault="00A03321" w:rsidP="008E4199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</w:p>
          <w:p w:rsidR="00A03321" w:rsidRPr="00484754" w:rsidRDefault="00B43785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случае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признания</w:t>
            </w:r>
            <w:r w:rsidRPr="00F41D3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прогрессом</w:t>
            </w:r>
            <w:r w:rsidRPr="00F41D30">
              <w:rPr>
                <w:sz w:val="20"/>
                <w:szCs w:val="20"/>
                <w:lang w:val="ru-RU"/>
              </w:rPr>
              <w:t xml:space="preserve">”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указать</w:t>
            </w:r>
            <w:r w:rsidRPr="00F41D3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какие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положения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считает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нарушенными, и рекомендовать исправительные действия.</w:t>
            </w:r>
            <w:r w:rsidRPr="00F41D30" w:rsidDel="0048592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8592D" w:rsidRPr="008E4199" w:rsidTr="008E4199">
        <w:tc>
          <w:tcPr>
            <w:tcW w:w="2768" w:type="dxa"/>
            <w:shd w:val="clear" w:color="auto" w:fill="auto"/>
          </w:tcPr>
          <w:p w:rsidR="00A03321" w:rsidRPr="004B58B0" w:rsidRDefault="00A03321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4B58B0">
              <w:rPr>
                <w:sz w:val="20"/>
                <w:szCs w:val="20"/>
                <w:lang w:val="ru-RU"/>
              </w:rPr>
              <w:lastRenderedPageBreak/>
              <w:t xml:space="preserve">4.7 </w:t>
            </w:r>
            <w:r w:rsidR="00DF4B1F">
              <w:rPr>
                <w:sz w:val="20"/>
                <w:szCs w:val="20"/>
                <w:lang w:val="ru-RU"/>
              </w:rPr>
              <w:t>Уровень разукрупнения</w:t>
            </w:r>
            <w:r w:rsidRPr="004B58B0">
              <w:rPr>
                <w:sz w:val="20"/>
                <w:szCs w:val="20"/>
                <w:lang w:val="ru-RU"/>
              </w:rPr>
              <w:t>.</w:t>
            </w:r>
          </w:p>
          <w:p w:rsidR="00A03321" w:rsidRPr="00484754" w:rsidRDefault="00DF4B1F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 w:rsidRPr="004B58B0">
              <w:rPr>
                <w:sz w:val="20"/>
                <w:szCs w:val="20"/>
                <w:lang w:val="ru-RU"/>
              </w:rPr>
              <w:t xml:space="preserve">МГЗС должна </w:t>
            </w:r>
            <w:r w:rsidRPr="00DF4B1F">
              <w:rPr>
                <w:sz w:val="20"/>
                <w:szCs w:val="20"/>
              </w:rPr>
              <w:t>c</w:t>
            </w:r>
            <w:r w:rsidRPr="004B58B0">
              <w:rPr>
                <w:sz w:val="20"/>
                <w:szCs w:val="20"/>
                <w:lang w:val="ru-RU"/>
              </w:rPr>
              <w:t>огласовать уровень разукрупнения для публикации данных. Необходимо, чтобы данные ИПДО представлялись по отдельным компаниям, государственным организациям и потокам доходов. Необходимо/будет необходимо представлять отчетность на уровне проектов, в соответствии с принятыми правилами Комиссии США по ценным бумагам и биржам и предстоящим требованиям Европейского Союза</w:t>
            </w:r>
            <w:r w:rsidR="00A03321" w:rsidRPr="0048475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:rsidR="00A03321" w:rsidRPr="008E4199" w:rsidRDefault="00EC4A9A" w:rsidP="008E4199">
            <w:pPr>
              <w:tabs>
                <w:tab w:val="left" w:pos="11624"/>
                <w:tab w:val="left" w:pos="11907"/>
              </w:tabs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Первоначальная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оценка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 Секретариата заключает: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sz w:val="20"/>
                <w:szCs w:val="20"/>
                <w:lang w:val="ru-RU"/>
              </w:rPr>
              <w:t>“</w:t>
            </w:r>
            <w:r w:rsidRPr="004B58B0">
              <w:rPr>
                <w:sz w:val="20"/>
                <w:szCs w:val="20"/>
                <w:lang w:val="ru-RU"/>
              </w:rPr>
              <w:t xml:space="preserve">Данные Отчета ИПДО 2013-14 разукрупнены до уровней, требуемых Стандартом ИПДО, т.е. по отдельным потокам доходов, компаниям и органам правительства. Согласно предварительной оценке Международного Секретариата, Кыргызская Республика совершила </w:t>
            </w:r>
            <w:r w:rsidRPr="004B58B0">
              <w:rPr>
                <w:b/>
                <w:sz w:val="20"/>
                <w:szCs w:val="20"/>
                <w:lang w:val="ru-RU"/>
              </w:rPr>
              <w:t>УДОВЛЕТВОРИТЕЛЬНЫЙ</w:t>
            </w:r>
            <w:r w:rsidRPr="004B58B0">
              <w:rPr>
                <w:sz w:val="20"/>
                <w:szCs w:val="20"/>
                <w:lang w:val="ru-RU"/>
              </w:rPr>
              <w:t xml:space="preserve"> прогресс в выполнении этого требования. </w:t>
            </w:r>
            <w:r w:rsidR="00A03321" w:rsidRPr="004B58B0">
              <w:rPr>
                <w:sz w:val="20"/>
                <w:szCs w:val="20"/>
                <w:lang w:val="ru-RU"/>
              </w:rPr>
              <w:t>”</w:t>
            </w:r>
            <w:r w:rsidR="00A03321" w:rsidRPr="004B58B0">
              <w:rPr>
                <w:sz w:val="20"/>
                <w:szCs w:val="20"/>
                <w:lang w:val="ru-RU"/>
              </w:rPr>
              <w:cr/>
              <w:t xml:space="preserve"> (</w:t>
            </w:r>
            <w:r>
              <w:rPr>
                <w:sz w:val="20"/>
                <w:szCs w:val="20"/>
                <w:lang w:val="ru-RU"/>
              </w:rPr>
              <w:t>стр</w:t>
            </w:r>
            <w:r w:rsidR="00A03321" w:rsidRPr="004B58B0">
              <w:rPr>
                <w:sz w:val="20"/>
                <w:szCs w:val="20"/>
                <w:lang w:val="ru-RU"/>
              </w:rPr>
              <w:t>.57)</w:t>
            </w:r>
            <w:r w:rsidR="00206782">
              <w:rPr>
                <w:sz w:val="20"/>
                <w:szCs w:val="20"/>
                <w:lang w:val="ru-RU"/>
              </w:rPr>
              <w:t>.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дополнение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этому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первоначальная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Секретариата</w:t>
            </w:r>
            <w:r w:rsidRPr="004B58B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заключает</w:t>
            </w:r>
            <w:r w:rsidRPr="004B58B0">
              <w:rPr>
                <w:sz w:val="20"/>
                <w:szCs w:val="20"/>
                <w:lang w:val="ru-RU"/>
              </w:rPr>
              <w:t>:</w:t>
            </w:r>
            <w:r w:rsidR="00A03321" w:rsidRPr="004B58B0">
              <w:rPr>
                <w:sz w:val="20"/>
                <w:szCs w:val="20"/>
                <w:lang w:val="ru-RU"/>
              </w:rPr>
              <w:t xml:space="preserve"> “</w:t>
            </w:r>
            <w:r w:rsidRPr="00EC4A9A">
              <w:rPr>
                <w:sz w:val="20"/>
                <w:szCs w:val="20"/>
                <w:lang w:val="ru-RU"/>
              </w:rPr>
              <w:t xml:space="preserve">27 из 44 государственных органов представили шаблоны отчетности в 2014 году (стр. 128). Два центральных правительственных органа не представили отчетности – Государственная регистрационная служба и Фонд управления госимуществом (стр. 128). Однако отчет подтверждает, что первый орган не получал доходов в 2014 году, а </w:t>
            </w:r>
            <w:r w:rsidRPr="00EC4A9A">
              <w:rPr>
                <w:sz w:val="20"/>
                <w:szCs w:val="20"/>
                <w:lang w:val="ru-RU"/>
              </w:rPr>
              <w:lastRenderedPageBreak/>
              <w:t xml:space="preserve">доходы, собранные вторым органом, были фактически включены в отчеты Государственного фонда социального страхования (стр.128). Остальными 15-ю не отчитавшимися органами были местные органы правительства. 23 из 38 государственных органов представили данные для 2013 года (стр.128). </w:t>
            </w:r>
            <w:r w:rsidR="00FF3B08">
              <w:rPr>
                <w:sz w:val="20"/>
                <w:szCs w:val="20"/>
                <w:lang w:val="ru-RU"/>
              </w:rPr>
              <w:t xml:space="preserve">Отчет не дает оценку существенности упущенных доходов, полученных не </w:t>
            </w:r>
            <w:r w:rsidRPr="00EC4A9A">
              <w:rPr>
                <w:sz w:val="20"/>
                <w:szCs w:val="20"/>
                <w:lang w:val="ru-RU"/>
              </w:rPr>
              <w:t>отчитавши</w:t>
            </w:r>
            <w:r w:rsidR="00FF3B08">
              <w:rPr>
                <w:sz w:val="20"/>
                <w:szCs w:val="20"/>
                <w:lang w:val="ru-RU"/>
              </w:rPr>
              <w:t>мися государственными органами, но местные</w:t>
            </w:r>
            <w:r w:rsidRPr="00EC4A9A">
              <w:rPr>
                <w:sz w:val="20"/>
                <w:szCs w:val="20"/>
                <w:lang w:val="ru-RU"/>
              </w:rPr>
              <w:t xml:space="preserve"> орган</w:t>
            </w:r>
            <w:r w:rsidR="00FF3B08">
              <w:rPr>
                <w:sz w:val="20"/>
                <w:szCs w:val="20"/>
                <w:lang w:val="ru-RU"/>
              </w:rPr>
              <w:t>ы</w:t>
            </w:r>
            <w:r w:rsidRPr="00EC4A9A">
              <w:rPr>
                <w:sz w:val="20"/>
                <w:szCs w:val="20"/>
                <w:lang w:val="ru-RU"/>
              </w:rPr>
              <w:t xml:space="preserve"> управления</w:t>
            </w:r>
            <w:r w:rsidR="00B94588">
              <w:rPr>
                <w:sz w:val="20"/>
                <w:szCs w:val="20"/>
                <w:lang w:val="ru-RU"/>
              </w:rPr>
              <w:t xml:space="preserve"> собирают только земельный налог и налог на недвижимость</w:t>
            </w:r>
            <w:r w:rsidR="00A03321" w:rsidRPr="004B58B0">
              <w:rPr>
                <w:sz w:val="20"/>
                <w:szCs w:val="20"/>
                <w:lang w:val="ru-RU"/>
              </w:rPr>
              <w:t>.” (</w:t>
            </w:r>
            <w:r w:rsidR="00B94588">
              <w:rPr>
                <w:sz w:val="20"/>
                <w:szCs w:val="20"/>
                <w:lang w:val="ru-RU"/>
              </w:rPr>
              <w:t>стр</w:t>
            </w:r>
            <w:r w:rsidR="00A03321" w:rsidRPr="004B58B0">
              <w:rPr>
                <w:sz w:val="20"/>
                <w:szCs w:val="20"/>
                <w:lang w:val="ru-RU"/>
              </w:rPr>
              <w:t>.51) “</w:t>
            </w:r>
            <w:r w:rsidR="00B94588">
              <w:rPr>
                <w:sz w:val="20"/>
                <w:szCs w:val="20"/>
                <w:lang w:val="ru-RU"/>
              </w:rPr>
              <w:t>Д</w:t>
            </w:r>
            <w:r w:rsidR="00B94588" w:rsidRPr="004B58B0">
              <w:rPr>
                <w:sz w:val="20"/>
                <w:szCs w:val="20"/>
                <w:lang w:val="ru-RU"/>
              </w:rPr>
              <w:t xml:space="preserve">оходы, полученные от земельного налога и налога на недвижимость, представляются незначительными, составляя всего 25 033 киргизских сомов (466 долл. </w:t>
            </w:r>
            <w:r w:rsidR="00B94588" w:rsidRPr="00B94588">
              <w:rPr>
                <w:sz w:val="20"/>
                <w:szCs w:val="20"/>
              </w:rPr>
              <w:t xml:space="preserve">США) и 18 101 </w:t>
            </w:r>
            <w:proofErr w:type="spellStart"/>
            <w:r w:rsidR="00B94588" w:rsidRPr="00B94588">
              <w:rPr>
                <w:sz w:val="20"/>
                <w:szCs w:val="20"/>
              </w:rPr>
              <w:t>киргизс</w:t>
            </w:r>
            <w:r w:rsidR="00B94588">
              <w:rPr>
                <w:sz w:val="20"/>
                <w:szCs w:val="20"/>
              </w:rPr>
              <w:t>ких</w:t>
            </w:r>
            <w:proofErr w:type="spellEnd"/>
            <w:r w:rsidR="00B94588">
              <w:rPr>
                <w:sz w:val="20"/>
                <w:szCs w:val="20"/>
              </w:rPr>
              <w:t xml:space="preserve"> </w:t>
            </w:r>
            <w:proofErr w:type="spellStart"/>
            <w:r w:rsidR="00B94588">
              <w:rPr>
                <w:sz w:val="20"/>
                <w:szCs w:val="20"/>
              </w:rPr>
              <w:t>сомов</w:t>
            </w:r>
            <w:proofErr w:type="spellEnd"/>
            <w:r w:rsidR="00B94588">
              <w:rPr>
                <w:sz w:val="20"/>
                <w:szCs w:val="20"/>
              </w:rPr>
              <w:t xml:space="preserve"> (377 </w:t>
            </w:r>
            <w:proofErr w:type="spellStart"/>
            <w:r w:rsidR="00B94588">
              <w:rPr>
                <w:sz w:val="20"/>
                <w:szCs w:val="20"/>
              </w:rPr>
              <w:t>долл</w:t>
            </w:r>
            <w:proofErr w:type="spellEnd"/>
            <w:r w:rsidR="00B94588">
              <w:rPr>
                <w:sz w:val="20"/>
                <w:szCs w:val="20"/>
              </w:rPr>
              <w:t>. США) (стр.</w:t>
            </w:r>
            <w:r w:rsidR="00A03321" w:rsidRPr="008E4199">
              <w:rPr>
                <w:sz w:val="20"/>
                <w:szCs w:val="20"/>
              </w:rPr>
              <w:t>56).</w:t>
            </w:r>
          </w:p>
        </w:tc>
        <w:tc>
          <w:tcPr>
            <w:tcW w:w="2557" w:type="dxa"/>
            <w:shd w:val="clear" w:color="auto" w:fill="auto"/>
          </w:tcPr>
          <w:p w:rsidR="00A03321" w:rsidRPr="008E4199" w:rsidRDefault="00A03321" w:rsidP="008E4199">
            <w:pPr>
              <w:tabs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03321" w:rsidRPr="004B58B0" w:rsidRDefault="00F15880" w:rsidP="008E4199">
            <w:pPr>
              <w:tabs>
                <w:tab w:val="left" w:pos="5580"/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rFonts w:cs="Calibri"/>
                <w:sz w:val="20"/>
                <w:szCs w:val="20"/>
                <w:lang w:val="ru-RU" w:bidi="en-US"/>
              </w:rPr>
            </w:pPr>
            <w:r>
              <w:rPr>
                <w:sz w:val="20"/>
                <w:szCs w:val="20"/>
                <w:lang w:val="ru-RU"/>
              </w:rPr>
              <w:t>Валидатор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согласен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мнением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Международного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Секретариата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считает</w:t>
            </w:r>
            <w:r w:rsidRPr="00F41D3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что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уровень прогресса является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ru-RU" w:bidi="en-US"/>
              </w:rPr>
              <w:t>ЗНАЧИМЫМ</w:t>
            </w:r>
            <w:r>
              <w:rPr>
                <w:rFonts w:cs="Calibri"/>
                <w:sz w:val="20"/>
                <w:szCs w:val="20"/>
                <w:lang w:val="ru-RU" w:bidi="en-US"/>
              </w:rPr>
              <w:t>.</w:t>
            </w:r>
            <w:r w:rsidRPr="00F41D3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Валидатор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считает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ru-RU"/>
              </w:rPr>
              <w:t>что</w:t>
            </w:r>
            <w:r w:rsidRPr="004B58B0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>“</w:t>
            </w:r>
            <w:r w:rsidR="003A3477" w:rsidRPr="004B58B0">
              <w:rPr>
                <w:rFonts w:cs="Calibri"/>
                <w:sz w:val="20"/>
                <w:szCs w:val="20"/>
                <w:lang w:val="ru-RU" w:bidi="en-US"/>
              </w:rPr>
              <w:t>в Отчёте ИПДО за 2013-14 г</w:t>
            </w:r>
            <w:r w:rsidR="004A7EFB">
              <w:rPr>
                <w:rFonts w:cs="Calibri"/>
                <w:sz w:val="20"/>
                <w:szCs w:val="20"/>
                <w:lang w:val="ru-RU" w:bidi="en-US"/>
              </w:rPr>
              <w:t>г.</w:t>
            </w:r>
            <w:r w:rsidR="003A3477" w:rsidRPr="004B58B0">
              <w:rPr>
                <w:rFonts w:cs="Calibri"/>
                <w:sz w:val="20"/>
                <w:szCs w:val="20"/>
                <w:lang w:val="ru-RU" w:bidi="en-US"/>
              </w:rPr>
              <w:t xml:space="preserve"> данные по субнациональным правительственным органам не разукрупнены. Поскольку ни один местный правительственный орган не отчитался за 2013 или 2014 год (см. 4.1) и прогресс по отчётности субнациональных прямых платежей (4.6) и субнациональных трансфертов (5.2) был оценён как неадекватный, мы не думаем, что Кыргызская Республика добилась удовлетворительного прогресса в отношении положения требующего разукрупнение данных по отдельным </w:t>
            </w:r>
            <w:r w:rsidR="00371855">
              <w:rPr>
                <w:rFonts w:cs="Calibri"/>
                <w:sz w:val="20"/>
                <w:szCs w:val="20"/>
                <w:lang w:val="ru-RU" w:bidi="en-US"/>
              </w:rPr>
              <w:t xml:space="preserve">органам </w:t>
            </w:r>
            <w:r w:rsidR="003A3477" w:rsidRPr="004B58B0">
              <w:rPr>
                <w:rFonts w:cs="Calibri"/>
                <w:sz w:val="20"/>
                <w:szCs w:val="20"/>
                <w:lang w:val="ru-RU" w:bidi="en-US"/>
              </w:rPr>
              <w:t>правительств</w:t>
            </w:r>
            <w:r w:rsidR="00371855">
              <w:rPr>
                <w:rFonts w:cs="Calibri"/>
                <w:sz w:val="20"/>
                <w:szCs w:val="20"/>
                <w:lang w:val="ru-RU" w:bidi="en-US"/>
              </w:rPr>
              <w:t>а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>.” (</w:t>
            </w:r>
            <w:r w:rsidR="00C61649">
              <w:rPr>
                <w:rFonts w:cs="Calibri"/>
                <w:sz w:val="20"/>
                <w:szCs w:val="20"/>
                <w:lang w:val="ru-RU" w:bidi="en-US"/>
              </w:rPr>
              <w:t>стр</w:t>
            </w:r>
            <w:r w:rsidR="00A03321" w:rsidRPr="004B58B0">
              <w:rPr>
                <w:rFonts w:cs="Calibri"/>
                <w:sz w:val="20"/>
                <w:szCs w:val="20"/>
                <w:lang w:val="ru-RU" w:bidi="en-US"/>
              </w:rPr>
              <w:t>.6)</w:t>
            </w:r>
          </w:p>
        </w:tc>
        <w:tc>
          <w:tcPr>
            <w:tcW w:w="2410" w:type="dxa"/>
            <w:shd w:val="clear" w:color="auto" w:fill="auto"/>
          </w:tcPr>
          <w:p w:rsidR="005847E8" w:rsidRPr="004B58B0" w:rsidRDefault="00572FAB" w:rsidP="008E4199">
            <w:pPr>
              <w:tabs>
                <w:tab w:val="left" w:pos="5580"/>
                <w:tab w:val="left" w:pos="11624"/>
                <w:tab w:val="left" w:pos="11907"/>
              </w:tabs>
              <w:spacing w:before="120" w:after="120" w:line="220" w:lineRule="exact"/>
              <w:contextualSpacing/>
              <w:rPr>
                <w:rFonts w:eastAsia="Times New Roman" w:cs="Calibri"/>
                <w:sz w:val="20"/>
                <w:szCs w:val="20"/>
                <w:lang w:val="ru-RU" w:eastAsia="en-AU"/>
              </w:rPr>
            </w:pPr>
            <w:r>
              <w:rPr>
                <w:rFonts w:eastAsia="Times New Roman" w:cs="Calibri"/>
                <w:sz w:val="20"/>
                <w:szCs w:val="20"/>
                <w:lang w:val="ru-RU" w:eastAsia="en-AU"/>
              </w:rPr>
              <w:t>Реакция</w:t>
            </w:r>
            <w:r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ru-RU" w:eastAsia="en-AU"/>
              </w:rPr>
              <w:t>от</w:t>
            </w:r>
            <w:r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ru-RU" w:eastAsia="en-AU"/>
              </w:rPr>
              <w:t>Наблюдательного</w:t>
            </w:r>
            <w:r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ru-RU" w:eastAsia="en-AU"/>
              </w:rPr>
              <w:t>Совета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освещает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дискуссии</w:t>
            </w:r>
            <w:r w:rsidR="002A3B83" w:rsidRPr="008E4199">
              <w:rPr>
                <w:rFonts w:eastAsia="Times New Roman" w:cs="Calibri"/>
                <w:sz w:val="20"/>
                <w:szCs w:val="20"/>
                <w:lang w:val="en-AU" w:eastAsia="en-AU"/>
              </w:rPr>
              <w:t>e</w:t>
            </w:r>
            <w:r w:rsidR="002A3B83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по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отчетности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на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уровне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проектов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,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но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в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остальном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не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содержит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комментариев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по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разукрупнению</w:t>
            </w:r>
            <w:r w:rsidR="00CD6D71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CD6D71">
              <w:rPr>
                <w:rFonts w:eastAsia="Times New Roman" w:cs="Calibri"/>
                <w:sz w:val="20"/>
                <w:szCs w:val="20"/>
                <w:lang w:val="ru-RU" w:eastAsia="en-AU"/>
              </w:rPr>
              <w:t>данных по (несущественным) платежам местным органам правительства.</w:t>
            </w:r>
            <w:r w:rsidR="00CD6D71" w:rsidRPr="004B58B0" w:rsidDel="00CD6D71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  <w:r w:rsidR="002A3B83" w:rsidRPr="004B58B0">
              <w:rPr>
                <w:rFonts w:eastAsia="Times New Roman" w:cs="Calibri"/>
                <w:sz w:val="20"/>
                <w:szCs w:val="20"/>
                <w:lang w:val="ru-RU" w:eastAsia="en-A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43785" w:rsidRPr="00F41D30" w:rsidRDefault="00B43785" w:rsidP="00B43785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представить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рекомендацию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том</w:t>
            </w:r>
            <w:r w:rsidRPr="00F41D3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должна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ли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рекомендация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оценке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Правлением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требования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4.7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быть</w:t>
            </w:r>
            <w:r w:rsidRPr="00F41D3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прогрессом</w:t>
            </w:r>
            <w:r w:rsidRPr="00F41D30">
              <w:rPr>
                <w:sz w:val="20"/>
                <w:szCs w:val="20"/>
                <w:lang w:val="ru-RU"/>
              </w:rPr>
              <w:t xml:space="preserve">”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F41D3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удовлетворительным прогрессом</w:t>
            </w:r>
            <w:r w:rsidRPr="00F41D30">
              <w:rPr>
                <w:sz w:val="20"/>
                <w:szCs w:val="20"/>
                <w:lang w:val="ru-RU"/>
              </w:rPr>
              <w:t>”</w:t>
            </w:r>
            <w:r>
              <w:rPr>
                <w:sz w:val="20"/>
                <w:szCs w:val="20"/>
                <w:lang w:val="ru-RU"/>
              </w:rPr>
              <w:t>.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</w:p>
          <w:p w:rsidR="00B43785" w:rsidRPr="00F41D30" w:rsidRDefault="00B43785" w:rsidP="00B43785">
            <w:pPr>
              <w:spacing w:before="120" w:after="120" w:line="220" w:lineRule="exact"/>
              <w:contextualSpacing/>
              <w:rPr>
                <w:sz w:val="20"/>
                <w:szCs w:val="20"/>
                <w:lang w:val="ru-RU"/>
              </w:rPr>
            </w:pPr>
          </w:p>
          <w:p w:rsidR="00A03321" w:rsidRPr="008E4199" w:rsidRDefault="00B43785" w:rsidP="004B58B0">
            <w:pPr>
              <w:autoSpaceDE w:val="0"/>
              <w:autoSpaceDN w:val="0"/>
              <w:adjustRightInd w:val="0"/>
              <w:spacing w:before="120" w:after="120" w:line="22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случае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признания</w:t>
            </w:r>
            <w:r w:rsidRPr="00F41D30">
              <w:rPr>
                <w:sz w:val="20"/>
                <w:szCs w:val="20"/>
                <w:lang w:val="ru-RU"/>
              </w:rPr>
              <w:t xml:space="preserve"> “</w:t>
            </w:r>
            <w:r>
              <w:rPr>
                <w:sz w:val="20"/>
                <w:szCs w:val="20"/>
                <w:lang w:val="ru-RU"/>
              </w:rPr>
              <w:t>значимым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прогрессом</w:t>
            </w:r>
            <w:r w:rsidRPr="00F41D30">
              <w:rPr>
                <w:sz w:val="20"/>
                <w:szCs w:val="20"/>
                <w:lang w:val="ru-RU"/>
              </w:rPr>
              <w:t xml:space="preserve">”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должен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указать</w:t>
            </w:r>
            <w:r w:rsidRPr="00F41D3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какие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положения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считает</w:t>
            </w:r>
            <w:r w:rsidRPr="00F41D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нарушенными, и рекомендовать исправительные действия.</w:t>
            </w:r>
            <w:r w:rsidRPr="004B58B0" w:rsidDel="00B43785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731C1B" w:rsidRPr="00063951" w:rsidRDefault="00731C1B" w:rsidP="00063951">
      <w:pPr>
        <w:tabs>
          <w:tab w:val="left" w:pos="11624"/>
          <w:tab w:val="left" w:pos="11907"/>
        </w:tabs>
        <w:spacing w:before="120" w:after="120" w:line="220" w:lineRule="exact"/>
        <w:contextualSpacing/>
        <w:rPr>
          <w:sz w:val="20"/>
          <w:szCs w:val="20"/>
        </w:rPr>
      </w:pPr>
    </w:p>
    <w:sectPr w:rsidR="00731C1B" w:rsidRPr="00063951" w:rsidSect="00C15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9D" w:rsidRDefault="002A249D" w:rsidP="00937DB9">
      <w:pPr>
        <w:spacing w:after="0" w:line="240" w:lineRule="auto"/>
      </w:pPr>
      <w:r>
        <w:separator/>
      </w:r>
    </w:p>
  </w:endnote>
  <w:endnote w:type="continuationSeparator" w:id="0">
    <w:p w:rsidR="002A249D" w:rsidRDefault="002A249D" w:rsidP="0093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9D" w:rsidRDefault="002A249D" w:rsidP="00937DB9">
      <w:pPr>
        <w:spacing w:after="0" w:line="240" w:lineRule="auto"/>
      </w:pPr>
      <w:r>
        <w:separator/>
      </w:r>
    </w:p>
  </w:footnote>
  <w:footnote w:type="continuationSeparator" w:id="0">
    <w:p w:rsidR="002A249D" w:rsidRDefault="002A249D" w:rsidP="00937DB9">
      <w:pPr>
        <w:spacing w:after="0" w:line="240" w:lineRule="auto"/>
      </w:pPr>
      <w:r>
        <w:continuationSeparator/>
      </w:r>
    </w:p>
  </w:footnote>
  <w:footnote w:id="1">
    <w:p w:rsidR="003A7794" w:rsidRPr="004B58B0" w:rsidRDefault="003A779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B58B0">
        <w:rPr>
          <w:lang w:val="ru-RU"/>
        </w:rPr>
        <w:t xml:space="preserve"> </w:t>
      </w:r>
      <w:r>
        <w:rPr>
          <w:rFonts w:cs="Calibri"/>
          <w:sz w:val="16"/>
          <w:szCs w:val="16"/>
          <w:lang w:val="ru-RU"/>
        </w:rPr>
        <w:t xml:space="preserve">из </w:t>
      </w:r>
      <w:r w:rsidRPr="004B58B0">
        <w:rPr>
          <w:rFonts w:cs="Calibri"/>
          <w:sz w:val="16"/>
          <w:szCs w:val="16"/>
          <w:lang w:val="ru-RU"/>
        </w:rPr>
        <w:t xml:space="preserve">136 </w:t>
      </w:r>
      <w:r>
        <w:rPr>
          <w:rFonts w:cs="Calibri"/>
          <w:sz w:val="16"/>
          <w:szCs w:val="16"/>
          <w:lang w:val="ru-RU"/>
        </w:rPr>
        <w:t>компаний, которые соответствовали порогу существенности</w:t>
      </w:r>
    </w:p>
  </w:footnote>
  <w:footnote w:id="2">
    <w:p w:rsidR="003A7794" w:rsidRPr="004B58B0" w:rsidRDefault="003A779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B58B0">
        <w:rPr>
          <w:lang w:val="ru-RU"/>
        </w:rPr>
        <w:t xml:space="preserve"> </w:t>
      </w:r>
      <w:r>
        <w:rPr>
          <w:rFonts w:eastAsia="Times New Roman" w:cs="Arial"/>
          <w:sz w:val="16"/>
          <w:szCs w:val="16"/>
          <w:lang w:val="ru-RU" w:eastAsia="en-AU"/>
        </w:rPr>
        <w:t>Члены</w:t>
      </w:r>
      <w:r w:rsidRPr="004B58B0">
        <w:rPr>
          <w:rFonts w:eastAsia="Times New Roman" w:cs="Arial"/>
          <w:sz w:val="16"/>
          <w:szCs w:val="16"/>
          <w:lang w:val="ru-RU" w:eastAsia="en-AU"/>
        </w:rPr>
        <w:t xml:space="preserve"> </w:t>
      </w:r>
      <w:r>
        <w:rPr>
          <w:rFonts w:eastAsia="Times New Roman" w:cs="Arial"/>
          <w:sz w:val="16"/>
          <w:szCs w:val="16"/>
          <w:lang w:val="ru-RU" w:eastAsia="en-AU"/>
        </w:rPr>
        <w:t>Комитета</w:t>
      </w:r>
      <w:r w:rsidRPr="004B58B0">
        <w:rPr>
          <w:rFonts w:eastAsia="Times New Roman" w:cs="Arial"/>
          <w:sz w:val="16"/>
          <w:szCs w:val="16"/>
          <w:lang w:val="ru-RU" w:eastAsia="en-AU"/>
        </w:rPr>
        <w:t xml:space="preserve"> </w:t>
      </w:r>
      <w:r>
        <w:rPr>
          <w:rFonts w:eastAsia="Times New Roman" w:cs="Arial"/>
          <w:sz w:val="16"/>
          <w:szCs w:val="16"/>
          <w:lang w:val="ru-RU" w:eastAsia="en-AU"/>
        </w:rPr>
        <w:t>по</w:t>
      </w:r>
      <w:r w:rsidRPr="004B58B0">
        <w:rPr>
          <w:rFonts w:eastAsia="Times New Roman" w:cs="Arial"/>
          <w:sz w:val="16"/>
          <w:szCs w:val="16"/>
          <w:lang w:val="ru-RU" w:eastAsia="en-AU"/>
        </w:rPr>
        <w:t xml:space="preserve"> </w:t>
      </w:r>
      <w:r>
        <w:rPr>
          <w:rFonts w:eastAsia="Times New Roman" w:cs="Arial"/>
          <w:sz w:val="16"/>
          <w:szCs w:val="16"/>
          <w:lang w:val="ru-RU" w:eastAsia="en-AU"/>
        </w:rPr>
        <w:t>Минеральным</w:t>
      </w:r>
      <w:r w:rsidRPr="004B58B0">
        <w:rPr>
          <w:rFonts w:eastAsia="Times New Roman" w:cs="Arial"/>
          <w:sz w:val="16"/>
          <w:szCs w:val="16"/>
          <w:lang w:val="ru-RU" w:eastAsia="en-AU"/>
        </w:rPr>
        <w:t xml:space="preserve"> </w:t>
      </w:r>
      <w:r>
        <w:rPr>
          <w:rFonts w:eastAsia="Times New Roman" w:cs="Arial"/>
          <w:sz w:val="16"/>
          <w:szCs w:val="16"/>
          <w:lang w:val="ru-RU" w:eastAsia="en-AU"/>
        </w:rPr>
        <w:t>Ресурсам</w:t>
      </w:r>
      <w:r w:rsidRPr="004B58B0">
        <w:rPr>
          <w:rFonts w:eastAsia="Times New Roman" w:cs="Arial"/>
          <w:sz w:val="16"/>
          <w:szCs w:val="16"/>
          <w:lang w:val="ru-RU" w:eastAsia="en-AU"/>
        </w:rPr>
        <w:t xml:space="preserve"> </w:t>
      </w:r>
      <w:r>
        <w:rPr>
          <w:rFonts w:eastAsia="Times New Roman" w:cs="Arial"/>
          <w:sz w:val="16"/>
          <w:szCs w:val="16"/>
          <w:lang w:val="ru-RU" w:eastAsia="en-AU"/>
        </w:rPr>
        <w:t>являются</w:t>
      </w:r>
      <w:r w:rsidRPr="004B58B0">
        <w:rPr>
          <w:rFonts w:eastAsia="Times New Roman" w:cs="Arial"/>
          <w:sz w:val="16"/>
          <w:szCs w:val="16"/>
          <w:lang w:val="ru-RU" w:eastAsia="en-AU"/>
        </w:rPr>
        <w:t xml:space="preserve"> </w:t>
      </w:r>
      <w:r>
        <w:rPr>
          <w:rFonts w:eastAsia="Times New Roman" w:cs="Arial"/>
          <w:sz w:val="16"/>
          <w:szCs w:val="16"/>
          <w:lang w:val="ru-RU" w:eastAsia="en-AU"/>
        </w:rPr>
        <w:t>самыми крупными</w:t>
      </w:r>
      <w:r w:rsidRPr="004B58B0">
        <w:rPr>
          <w:rFonts w:eastAsia="Times New Roman" w:cs="Arial"/>
          <w:sz w:val="16"/>
          <w:szCs w:val="16"/>
          <w:lang w:val="ru-RU" w:eastAsia="en-AU"/>
        </w:rPr>
        <w:t xml:space="preserve"> </w:t>
      </w:r>
      <w:r>
        <w:rPr>
          <w:rFonts w:eastAsia="Times New Roman" w:cs="Arial"/>
          <w:sz w:val="16"/>
          <w:szCs w:val="16"/>
          <w:lang w:val="ru-RU" w:eastAsia="en-AU"/>
        </w:rPr>
        <w:t>представителями горнодобывающей промышленности в Кыргызской Республике</w:t>
      </w:r>
      <w:r w:rsidRPr="004B58B0">
        <w:rPr>
          <w:rFonts w:eastAsia="Times New Roman" w:cs="Arial"/>
          <w:sz w:val="16"/>
          <w:szCs w:val="16"/>
          <w:lang w:val="ru-RU" w:eastAsia="en-A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87A"/>
    <w:multiLevelType w:val="multilevel"/>
    <w:tmpl w:val="D960E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2D3506F3"/>
    <w:multiLevelType w:val="multilevel"/>
    <w:tmpl w:val="B150E4B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" w15:restartNumberingAfterBreak="0">
    <w:nsid w:val="2EA11790"/>
    <w:multiLevelType w:val="hybridMultilevel"/>
    <w:tmpl w:val="56F6AD08"/>
    <w:lvl w:ilvl="0" w:tplc="482C43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E98"/>
    <w:multiLevelType w:val="hybridMultilevel"/>
    <w:tmpl w:val="8C18FD12"/>
    <w:lvl w:ilvl="0" w:tplc="277E76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61C"/>
    <w:multiLevelType w:val="hybridMultilevel"/>
    <w:tmpl w:val="7FB823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51CE"/>
    <w:multiLevelType w:val="multilevel"/>
    <w:tmpl w:val="392A6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18"/>
    <w:rsid w:val="00006836"/>
    <w:rsid w:val="00016DF9"/>
    <w:rsid w:val="00021609"/>
    <w:rsid w:val="000221D9"/>
    <w:rsid w:val="00024506"/>
    <w:rsid w:val="00024A0F"/>
    <w:rsid w:val="000347C6"/>
    <w:rsid w:val="00041A82"/>
    <w:rsid w:val="00045579"/>
    <w:rsid w:val="000524A1"/>
    <w:rsid w:val="00053B72"/>
    <w:rsid w:val="00061DEF"/>
    <w:rsid w:val="000623FD"/>
    <w:rsid w:val="00062FD1"/>
    <w:rsid w:val="00063951"/>
    <w:rsid w:val="00081169"/>
    <w:rsid w:val="00082CC0"/>
    <w:rsid w:val="000975F5"/>
    <w:rsid w:val="000A06DC"/>
    <w:rsid w:val="000A0F2E"/>
    <w:rsid w:val="000A18CB"/>
    <w:rsid w:val="000A1EFF"/>
    <w:rsid w:val="000A5657"/>
    <w:rsid w:val="000B2700"/>
    <w:rsid w:val="000B2734"/>
    <w:rsid w:val="000B46BE"/>
    <w:rsid w:val="000C008F"/>
    <w:rsid w:val="000C05C8"/>
    <w:rsid w:val="000C1906"/>
    <w:rsid w:val="000E3B3D"/>
    <w:rsid w:val="000E4780"/>
    <w:rsid w:val="000E6B6F"/>
    <w:rsid w:val="000E7702"/>
    <w:rsid w:val="00115AB9"/>
    <w:rsid w:val="00124CF3"/>
    <w:rsid w:val="0012712E"/>
    <w:rsid w:val="00132AFD"/>
    <w:rsid w:val="00133439"/>
    <w:rsid w:val="001532E1"/>
    <w:rsid w:val="0015589F"/>
    <w:rsid w:val="00160AA4"/>
    <w:rsid w:val="0017604A"/>
    <w:rsid w:val="00180503"/>
    <w:rsid w:val="001827A8"/>
    <w:rsid w:val="001903CB"/>
    <w:rsid w:val="00194F18"/>
    <w:rsid w:val="001B55FB"/>
    <w:rsid w:val="001C526D"/>
    <w:rsid w:val="001C598C"/>
    <w:rsid w:val="001E0FFB"/>
    <w:rsid w:val="001E295B"/>
    <w:rsid w:val="001E5C08"/>
    <w:rsid w:val="001E5DBD"/>
    <w:rsid w:val="001F131C"/>
    <w:rsid w:val="001F277B"/>
    <w:rsid w:val="001F5120"/>
    <w:rsid w:val="00200AA3"/>
    <w:rsid w:val="002030D8"/>
    <w:rsid w:val="00203CED"/>
    <w:rsid w:val="00206782"/>
    <w:rsid w:val="0020751B"/>
    <w:rsid w:val="0020778E"/>
    <w:rsid w:val="00215B5E"/>
    <w:rsid w:val="00223239"/>
    <w:rsid w:val="002246C1"/>
    <w:rsid w:val="00232E71"/>
    <w:rsid w:val="00237E68"/>
    <w:rsid w:val="002408FD"/>
    <w:rsid w:val="0024181C"/>
    <w:rsid w:val="0024344B"/>
    <w:rsid w:val="00250DF6"/>
    <w:rsid w:val="002524F2"/>
    <w:rsid w:val="00256018"/>
    <w:rsid w:val="00261167"/>
    <w:rsid w:val="00271F42"/>
    <w:rsid w:val="00274540"/>
    <w:rsid w:val="00287BA6"/>
    <w:rsid w:val="002A04EE"/>
    <w:rsid w:val="002A249D"/>
    <w:rsid w:val="002A3B83"/>
    <w:rsid w:val="002A44B4"/>
    <w:rsid w:val="002A4EF2"/>
    <w:rsid w:val="002A6630"/>
    <w:rsid w:val="002B0277"/>
    <w:rsid w:val="002B03D0"/>
    <w:rsid w:val="002B23FF"/>
    <w:rsid w:val="002B4D58"/>
    <w:rsid w:val="002B5FD2"/>
    <w:rsid w:val="002C0945"/>
    <w:rsid w:val="002C4C37"/>
    <w:rsid w:val="002C62CA"/>
    <w:rsid w:val="002E00D1"/>
    <w:rsid w:val="002E15F4"/>
    <w:rsid w:val="002F7A67"/>
    <w:rsid w:val="00304E4B"/>
    <w:rsid w:val="00314EB5"/>
    <w:rsid w:val="003175A4"/>
    <w:rsid w:val="00325BB6"/>
    <w:rsid w:val="00326B38"/>
    <w:rsid w:val="0033179D"/>
    <w:rsid w:val="0033182A"/>
    <w:rsid w:val="003326E4"/>
    <w:rsid w:val="003332CA"/>
    <w:rsid w:val="00343309"/>
    <w:rsid w:val="003504AF"/>
    <w:rsid w:val="003512CD"/>
    <w:rsid w:val="00352113"/>
    <w:rsid w:val="0036425D"/>
    <w:rsid w:val="00370741"/>
    <w:rsid w:val="00371855"/>
    <w:rsid w:val="00376B16"/>
    <w:rsid w:val="003815B0"/>
    <w:rsid w:val="00381D99"/>
    <w:rsid w:val="0038770C"/>
    <w:rsid w:val="00396D37"/>
    <w:rsid w:val="003A3477"/>
    <w:rsid w:val="003A5DCD"/>
    <w:rsid w:val="003A7794"/>
    <w:rsid w:val="003B4C61"/>
    <w:rsid w:val="003C0939"/>
    <w:rsid w:val="003C0EA9"/>
    <w:rsid w:val="003C6DA6"/>
    <w:rsid w:val="003C737D"/>
    <w:rsid w:val="003D20BB"/>
    <w:rsid w:val="003D4026"/>
    <w:rsid w:val="003E6BFB"/>
    <w:rsid w:val="003F48CB"/>
    <w:rsid w:val="003F7C7A"/>
    <w:rsid w:val="004105A0"/>
    <w:rsid w:val="0041197E"/>
    <w:rsid w:val="00411C40"/>
    <w:rsid w:val="004441A9"/>
    <w:rsid w:val="004572B0"/>
    <w:rsid w:val="00467B78"/>
    <w:rsid w:val="00472828"/>
    <w:rsid w:val="00484754"/>
    <w:rsid w:val="00484ACE"/>
    <w:rsid w:val="0048592D"/>
    <w:rsid w:val="004944F4"/>
    <w:rsid w:val="004A7EFB"/>
    <w:rsid w:val="004B4028"/>
    <w:rsid w:val="004B58B0"/>
    <w:rsid w:val="004B7EC8"/>
    <w:rsid w:val="004D52FB"/>
    <w:rsid w:val="004E2291"/>
    <w:rsid w:val="004F3EF8"/>
    <w:rsid w:val="00502346"/>
    <w:rsid w:val="0050274B"/>
    <w:rsid w:val="00511171"/>
    <w:rsid w:val="00511E68"/>
    <w:rsid w:val="005256F9"/>
    <w:rsid w:val="00530469"/>
    <w:rsid w:val="005339BB"/>
    <w:rsid w:val="00541C13"/>
    <w:rsid w:val="00541D3B"/>
    <w:rsid w:val="00555664"/>
    <w:rsid w:val="00572347"/>
    <w:rsid w:val="00572FAB"/>
    <w:rsid w:val="00580097"/>
    <w:rsid w:val="00583C71"/>
    <w:rsid w:val="005847E8"/>
    <w:rsid w:val="00585359"/>
    <w:rsid w:val="005861CC"/>
    <w:rsid w:val="005861D4"/>
    <w:rsid w:val="00587924"/>
    <w:rsid w:val="00591B08"/>
    <w:rsid w:val="005956CA"/>
    <w:rsid w:val="00595E45"/>
    <w:rsid w:val="005969E0"/>
    <w:rsid w:val="005A15D5"/>
    <w:rsid w:val="005A33EC"/>
    <w:rsid w:val="005D19C1"/>
    <w:rsid w:val="005E2CF4"/>
    <w:rsid w:val="005E395E"/>
    <w:rsid w:val="005E64BF"/>
    <w:rsid w:val="005F72C8"/>
    <w:rsid w:val="005F7906"/>
    <w:rsid w:val="00605EB2"/>
    <w:rsid w:val="00616C2E"/>
    <w:rsid w:val="0062634A"/>
    <w:rsid w:val="00627A98"/>
    <w:rsid w:val="00631F65"/>
    <w:rsid w:val="006336D1"/>
    <w:rsid w:val="006364FC"/>
    <w:rsid w:val="00641806"/>
    <w:rsid w:val="00643DF0"/>
    <w:rsid w:val="006518A5"/>
    <w:rsid w:val="00652518"/>
    <w:rsid w:val="006528B2"/>
    <w:rsid w:val="006534BB"/>
    <w:rsid w:val="0065387A"/>
    <w:rsid w:val="00666517"/>
    <w:rsid w:val="00666F67"/>
    <w:rsid w:val="00671FCA"/>
    <w:rsid w:val="00673049"/>
    <w:rsid w:val="00675100"/>
    <w:rsid w:val="0068711D"/>
    <w:rsid w:val="006943C8"/>
    <w:rsid w:val="006B2D7D"/>
    <w:rsid w:val="006B30B6"/>
    <w:rsid w:val="006B5DAE"/>
    <w:rsid w:val="006C46AB"/>
    <w:rsid w:val="006D422F"/>
    <w:rsid w:val="006E0333"/>
    <w:rsid w:val="006E0ABC"/>
    <w:rsid w:val="006E1EED"/>
    <w:rsid w:val="006E53BA"/>
    <w:rsid w:val="006F0EDF"/>
    <w:rsid w:val="006F284B"/>
    <w:rsid w:val="006F6909"/>
    <w:rsid w:val="00712E81"/>
    <w:rsid w:val="007147E2"/>
    <w:rsid w:val="007170EC"/>
    <w:rsid w:val="00727837"/>
    <w:rsid w:val="00731C1B"/>
    <w:rsid w:val="00735CC8"/>
    <w:rsid w:val="00737DAE"/>
    <w:rsid w:val="00751DB9"/>
    <w:rsid w:val="00751E26"/>
    <w:rsid w:val="00754293"/>
    <w:rsid w:val="00765DFA"/>
    <w:rsid w:val="00767A81"/>
    <w:rsid w:val="00770A89"/>
    <w:rsid w:val="007741D4"/>
    <w:rsid w:val="00775018"/>
    <w:rsid w:val="00775101"/>
    <w:rsid w:val="0078502F"/>
    <w:rsid w:val="007B1906"/>
    <w:rsid w:val="007B5D9E"/>
    <w:rsid w:val="007B63C0"/>
    <w:rsid w:val="007D0AC3"/>
    <w:rsid w:val="007D159B"/>
    <w:rsid w:val="007D6726"/>
    <w:rsid w:val="007E74ED"/>
    <w:rsid w:val="007F3AA4"/>
    <w:rsid w:val="007F3ABB"/>
    <w:rsid w:val="008031C6"/>
    <w:rsid w:val="00805E12"/>
    <w:rsid w:val="0081477B"/>
    <w:rsid w:val="00817530"/>
    <w:rsid w:val="00823BFB"/>
    <w:rsid w:val="00827A7A"/>
    <w:rsid w:val="0084601F"/>
    <w:rsid w:val="00847432"/>
    <w:rsid w:val="008630E1"/>
    <w:rsid w:val="0087496E"/>
    <w:rsid w:val="00874D1C"/>
    <w:rsid w:val="0089659F"/>
    <w:rsid w:val="008A0D21"/>
    <w:rsid w:val="008A6424"/>
    <w:rsid w:val="008A7203"/>
    <w:rsid w:val="008B5123"/>
    <w:rsid w:val="008C2E38"/>
    <w:rsid w:val="008D0394"/>
    <w:rsid w:val="008D4D0A"/>
    <w:rsid w:val="008E4199"/>
    <w:rsid w:val="008E7B58"/>
    <w:rsid w:val="008F6FF4"/>
    <w:rsid w:val="00900DB6"/>
    <w:rsid w:val="00902399"/>
    <w:rsid w:val="009075E4"/>
    <w:rsid w:val="0091090F"/>
    <w:rsid w:val="00913E7D"/>
    <w:rsid w:val="00913FB0"/>
    <w:rsid w:val="009164F4"/>
    <w:rsid w:val="0092626A"/>
    <w:rsid w:val="00930C04"/>
    <w:rsid w:val="00934525"/>
    <w:rsid w:val="00934CDD"/>
    <w:rsid w:val="009373E0"/>
    <w:rsid w:val="00937DB9"/>
    <w:rsid w:val="009411CB"/>
    <w:rsid w:val="00941472"/>
    <w:rsid w:val="00943B4B"/>
    <w:rsid w:val="009450CC"/>
    <w:rsid w:val="009453DA"/>
    <w:rsid w:val="009523EB"/>
    <w:rsid w:val="00961FE7"/>
    <w:rsid w:val="0096551F"/>
    <w:rsid w:val="00965C1F"/>
    <w:rsid w:val="00974FFE"/>
    <w:rsid w:val="00982BD4"/>
    <w:rsid w:val="00984498"/>
    <w:rsid w:val="00991FA0"/>
    <w:rsid w:val="009925DD"/>
    <w:rsid w:val="00993249"/>
    <w:rsid w:val="009A510A"/>
    <w:rsid w:val="009B01A4"/>
    <w:rsid w:val="009D2BAF"/>
    <w:rsid w:val="009E32E9"/>
    <w:rsid w:val="009E338A"/>
    <w:rsid w:val="00A030C3"/>
    <w:rsid w:val="00A03321"/>
    <w:rsid w:val="00A10453"/>
    <w:rsid w:val="00A12227"/>
    <w:rsid w:val="00A258FA"/>
    <w:rsid w:val="00A3012C"/>
    <w:rsid w:val="00A3085E"/>
    <w:rsid w:val="00A457CF"/>
    <w:rsid w:val="00A506F0"/>
    <w:rsid w:val="00A53944"/>
    <w:rsid w:val="00A6029F"/>
    <w:rsid w:val="00A6047E"/>
    <w:rsid w:val="00A63821"/>
    <w:rsid w:val="00A6507E"/>
    <w:rsid w:val="00A653F2"/>
    <w:rsid w:val="00A843E0"/>
    <w:rsid w:val="00A85227"/>
    <w:rsid w:val="00A86A5E"/>
    <w:rsid w:val="00A93828"/>
    <w:rsid w:val="00A938AC"/>
    <w:rsid w:val="00AA4C49"/>
    <w:rsid w:val="00AA7CD8"/>
    <w:rsid w:val="00AB5873"/>
    <w:rsid w:val="00AB729F"/>
    <w:rsid w:val="00AC259E"/>
    <w:rsid w:val="00AD6687"/>
    <w:rsid w:val="00AE4E14"/>
    <w:rsid w:val="00AF5CCD"/>
    <w:rsid w:val="00AF7C76"/>
    <w:rsid w:val="00B02340"/>
    <w:rsid w:val="00B067B1"/>
    <w:rsid w:val="00B07AFF"/>
    <w:rsid w:val="00B12ECB"/>
    <w:rsid w:val="00B174F1"/>
    <w:rsid w:val="00B20E6D"/>
    <w:rsid w:val="00B20EEB"/>
    <w:rsid w:val="00B24ADE"/>
    <w:rsid w:val="00B25ADB"/>
    <w:rsid w:val="00B367BC"/>
    <w:rsid w:val="00B42A3A"/>
    <w:rsid w:val="00B43785"/>
    <w:rsid w:val="00B51ADB"/>
    <w:rsid w:val="00B57DDF"/>
    <w:rsid w:val="00B614D2"/>
    <w:rsid w:val="00B857A5"/>
    <w:rsid w:val="00B92636"/>
    <w:rsid w:val="00B94588"/>
    <w:rsid w:val="00BA4CAF"/>
    <w:rsid w:val="00BA7236"/>
    <w:rsid w:val="00BC1531"/>
    <w:rsid w:val="00BE07C1"/>
    <w:rsid w:val="00BF0004"/>
    <w:rsid w:val="00BF0EAD"/>
    <w:rsid w:val="00BF7383"/>
    <w:rsid w:val="00C04BEF"/>
    <w:rsid w:val="00C15318"/>
    <w:rsid w:val="00C1680B"/>
    <w:rsid w:val="00C417C3"/>
    <w:rsid w:val="00C420A4"/>
    <w:rsid w:val="00C42326"/>
    <w:rsid w:val="00C46FEE"/>
    <w:rsid w:val="00C565A3"/>
    <w:rsid w:val="00C568A3"/>
    <w:rsid w:val="00C60B38"/>
    <w:rsid w:val="00C61649"/>
    <w:rsid w:val="00C77ABB"/>
    <w:rsid w:val="00C84F7C"/>
    <w:rsid w:val="00C8605C"/>
    <w:rsid w:val="00C8668A"/>
    <w:rsid w:val="00C90D22"/>
    <w:rsid w:val="00C92DEE"/>
    <w:rsid w:val="00CA05A9"/>
    <w:rsid w:val="00CB027F"/>
    <w:rsid w:val="00CB184D"/>
    <w:rsid w:val="00CB5289"/>
    <w:rsid w:val="00CB63D9"/>
    <w:rsid w:val="00CB684B"/>
    <w:rsid w:val="00CB749E"/>
    <w:rsid w:val="00CB799A"/>
    <w:rsid w:val="00CC1EF3"/>
    <w:rsid w:val="00CC661B"/>
    <w:rsid w:val="00CC6B2C"/>
    <w:rsid w:val="00CD3A21"/>
    <w:rsid w:val="00CD6D71"/>
    <w:rsid w:val="00CE14A9"/>
    <w:rsid w:val="00CE15F2"/>
    <w:rsid w:val="00CE1A0E"/>
    <w:rsid w:val="00CE35F5"/>
    <w:rsid w:val="00CE50DD"/>
    <w:rsid w:val="00CF74E1"/>
    <w:rsid w:val="00D12350"/>
    <w:rsid w:val="00D12FA8"/>
    <w:rsid w:val="00D1564C"/>
    <w:rsid w:val="00D1597E"/>
    <w:rsid w:val="00D32B4F"/>
    <w:rsid w:val="00D37321"/>
    <w:rsid w:val="00D414A4"/>
    <w:rsid w:val="00D42619"/>
    <w:rsid w:val="00D56A7D"/>
    <w:rsid w:val="00D61F8F"/>
    <w:rsid w:val="00D66330"/>
    <w:rsid w:val="00D6778D"/>
    <w:rsid w:val="00D7083A"/>
    <w:rsid w:val="00D70E85"/>
    <w:rsid w:val="00D71884"/>
    <w:rsid w:val="00D73953"/>
    <w:rsid w:val="00D757DC"/>
    <w:rsid w:val="00D80734"/>
    <w:rsid w:val="00D9045B"/>
    <w:rsid w:val="00D92D0C"/>
    <w:rsid w:val="00DA0A43"/>
    <w:rsid w:val="00DA290D"/>
    <w:rsid w:val="00DB1DFC"/>
    <w:rsid w:val="00DD2F6B"/>
    <w:rsid w:val="00DD7A36"/>
    <w:rsid w:val="00DE0081"/>
    <w:rsid w:val="00DF127F"/>
    <w:rsid w:val="00DF4B1F"/>
    <w:rsid w:val="00DF565F"/>
    <w:rsid w:val="00DF61F3"/>
    <w:rsid w:val="00E063EB"/>
    <w:rsid w:val="00E17493"/>
    <w:rsid w:val="00E22361"/>
    <w:rsid w:val="00E2792A"/>
    <w:rsid w:val="00E31F85"/>
    <w:rsid w:val="00E34CE6"/>
    <w:rsid w:val="00E365AA"/>
    <w:rsid w:val="00E37166"/>
    <w:rsid w:val="00E425EF"/>
    <w:rsid w:val="00E43864"/>
    <w:rsid w:val="00E5103E"/>
    <w:rsid w:val="00E523FB"/>
    <w:rsid w:val="00E556BD"/>
    <w:rsid w:val="00E67353"/>
    <w:rsid w:val="00E7198A"/>
    <w:rsid w:val="00E80876"/>
    <w:rsid w:val="00E83CB6"/>
    <w:rsid w:val="00E85CCE"/>
    <w:rsid w:val="00E86736"/>
    <w:rsid w:val="00EA2A25"/>
    <w:rsid w:val="00EA47F1"/>
    <w:rsid w:val="00EB13B5"/>
    <w:rsid w:val="00EB6755"/>
    <w:rsid w:val="00EC4A9A"/>
    <w:rsid w:val="00ED009F"/>
    <w:rsid w:val="00EE07B5"/>
    <w:rsid w:val="00EE36FB"/>
    <w:rsid w:val="00EE5675"/>
    <w:rsid w:val="00EF5645"/>
    <w:rsid w:val="00F01529"/>
    <w:rsid w:val="00F05E84"/>
    <w:rsid w:val="00F15880"/>
    <w:rsid w:val="00F32665"/>
    <w:rsid w:val="00F41DA2"/>
    <w:rsid w:val="00F55EA7"/>
    <w:rsid w:val="00F74B51"/>
    <w:rsid w:val="00F817C0"/>
    <w:rsid w:val="00F84F41"/>
    <w:rsid w:val="00F859AE"/>
    <w:rsid w:val="00F86FAE"/>
    <w:rsid w:val="00F94A4D"/>
    <w:rsid w:val="00F96CAA"/>
    <w:rsid w:val="00FA1F98"/>
    <w:rsid w:val="00FA6EF0"/>
    <w:rsid w:val="00FB3120"/>
    <w:rsid w:val="00FB4743"/>
    <w:rsid w:val="00FC34AD"/>
    <w:rsid w:val="00FE143D"/>
    <w:rsid w:val="00FE2FF3"/>
    <w:rsid w:val="00FF3B08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86A5"/>
  <w15:chartTrackingRefBased/>
  <w15:docId w15:val="{E20AA42E-2349-4D2C-BF36-7CF3290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378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531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6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6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B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6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61B"/>
    <w:pPr>
      <w:spacing w:after="0" w:line="240" w:lineRule="auto"/>
      <w:ind w:left="720"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7D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37DB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74FFE"/>
    <w:rPr>
      <w:color w:val="800080"/>
      <w:u w:val="single"/>
    </w:rPr>
  </w:style>
  <w:style w:type="character" w:customStyle="1" w:styleId="yiv1273588666972150902-21092011">
    <w:name w:val="yiv1273588666972150902-21092011"/>
    <w:basedOn w:val="DefaultParagraphFont"/>
    <w:rsid w:val="00BC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3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61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70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5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i.org/sites/default/files/sdsg_validation_report_kyrgyz_republic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ti.org/sites/default/files/msg_and_national_secretariat_comments_on_ia_report_0.pdf" TargetMode="External"/><Relationship Id="rId17" Type="http://schemas.openxmlformats.org/officeDocument/2006/relationships/hyperlink" Target="http://www.budget.okmot.k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iti.org/sites/default/files/en_attachment_comments_from_i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ti.org/sites/default/files/eng_kyrgyz_republic_draft_report_on_initial_data_collection_and_stakeholder_consultation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iti.org/sites/default/files/en_kr_industry_comments_on_the_validation_report_-_jan_2017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iti.org/sites/default/files/en_kr_industry_comments_on_the_validation_report_-_jan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CE739233BB499185E9201691D117" ma:contentTypeVersion="45" ma:contentTypeDescription="Create a new document." ma:contentTypeScope="" ma:versionID="20182d0dbdd215c1e09bd485ed6324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4b5a4020cc0417531245af4bd946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7986-713B-4A89-AD87-3B6E1C60F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30F93-4C13-4B9F-B3C3-B63459F8F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547BE-7F3C-406A-9B74-ECE4BB6A3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D216C-2353-48B1-8CDB-649E4744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Links>
    <vt:vector size="42" baseType="variant"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http://www.budget.okmot.kg/</vt:lpwstr>
      </vt:variant>
      <vt:variant>
        <vt:lpwstr/>
      </vt:variant>
      <vt:variant>
        <vt:i4>3997817</vt:i4>
      </vt:variant>
      <vt:variant>
        <vt:i4>15</vt:i4>
      </vt:variant>
      <vt:variant>
        <vt:i4>0</vt:i4>
      </vt:variant>
      <vt:variant>
        <vt:i4>5</vt:i4>
      </vt:variant>
      <vt:variant>
        <vt:lpwstr>https://eiti.org/sites/default/files/en_attachment_comments_from_ia.pdf</vt:lpwstr>
      </vt:variant>
      <vt:variant>
        <vt:lpwstr/>
      </vt:variant>
      <vt:variant>
        <vt:i4>2424882</vt:i4>
      </vt:variant>
      <vt:variant>
        <vt:i4>12</vt:i4>
      </vt:variant>
      <vt:variant>
        <vt:i4>0</vt:i4>
      </vt:variant>
      <vt:variant>
        <vt:i4>5</vt:i4>
      </vt:variant>
      <vt:variant>
        <vt:lpwstr>https://eiti.org/sites/default/files/en_kr_industry_comments_on_the_validation_report_-_jan_2017.pdf</vt:lpwstr>
      </vt:variant>
      <vt:variant>
        <vt:lpwstr/>
      </vt:variant>
      <vt:variant>
        <vt:i4>2424882</vt:i4>
      </vt:variant>
      <vt:variant>
        <vt:i4>9</vt:i4>
      </vt:variant>
      <vt:variant>
        <vt:i4>0</vt:i4>
      </vt:variant>
      <vt:variant>
        <vt:i4>5</vt:i4>
      </vt:variant>
      <vt:variant>
        <vt:lpwstr>https://eiti.org/sites/default/files/en_kr_industry_comments_on_the_validation_report_-_jan_2017.pdf</vt:lpwstr>
      </vt:variant>
      <vt:variant>
        <vt:lpwstr/>
      </vt:variant>
      <vt:variant>
        <vt:i4>3014770</vt:i4>
      </vt:variant>
      <vt:variant>
        <vt:i4>6</vt:i4>
      </vt:variant>
      <vt:variant>
        <vt:i4>0</vt:i4>
      </vt:variant>
      <vt:variant>
        <vt:i4>5</vt:i4>
      </vt:variant>
      <vt:variant>
        <vt:lpwstr>https://eiti.org/sites/default/files/sdsg_validation_report_kyrgyz_republic.pdf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https://eiti.org/sites/default/files/msg_and_national_secretariat_comments_on_ia_report_0.pdf</vt:lpwstr>
      </vt:variant>
      <vt:variant>
        <vt:lpwstr/>
      </vt:variant>
      <vt:variant>
        <vt:i4>5308453</vt:i4>
      </vt:variant>
      <vt:variant>
        <vt:i4>0</vt:i4>
      </vt:variant>
      <vt:variant>
        <vt:i4>0</vt:i4>
      </vt:variant>
      <vt:variant>
        <vt:i4>5</vt:i4>
      </vt:variant>
      <vt:variant>
        <vt:lpwstr>https://eiti.org/sites/default/files/eng_kyrgyz_republic_draft_report_on_initial_data_collection_and_stakeholder_consultations.pdf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Shemshat Kasimova</dc:creator>
  <cp:keywords/>
  <dc:description/>
  <cp:lastModifiedBy>EITI International Secretariat</cp:lastModifiedBy>
  <cp:revision>3</cp:revision>
  <cp:lastPrinted>2016-11-29T13:18:00Z</cp:lastPrinted>
  <dcterms:created xsi:type="dcterms:W3CDTF">2017-02-10T21:19:00Z</dcterms:created>
  <dcterms:modified xsi:type="dcterms:W3CDTF">2017-02-10T21:19:00Z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0x0101004FDACE739233BB499185E9201691D117</vt:lpwstr>
  </property>
</Properties>
</file>